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5AAC" w:sz="12" w:space="6"/>
        </w:pBdr>
        <w:spacing w:after="60"/>
      </w:pPr>
      <w:r>
        <w:rPr>
          <w:rFonts w:ascii="Calibri" w:cs="Calibri" w:eastAsia="Calibri" w:hAnsi="Calibri"/>
          <w:b/>
          <w:bCs/>
          <w:color w:val="1F3864"/>
          <w:sz w:val="42"/>
          <w:szCs w:val="42"/>
        </w:rPr>
        <w:t xml:space="preserve">Artificial Intelligence Acceptable Use Policy - European Union</w:t>
      </w:r>
    </w:p>
    <w:p>
      <w:pPr>
        <w:shd w:fill="EDF2FA" w:val="clear"/>
        <w:spacing w:after="20"/>
        <w:ind w:left="60" w:right="60"/>
      </w:pPr>
      <w:r>
        <w:rPr>
          <w:rFonts w:ascii="Calibri" w:cs="Calibri" w:eastAsia="Calibri" w:hAnsi="Calibri"/>
          <w:b/>
          <w:bCs/>
          <w:color w:val="5A6472"/>
          <w:sz w:val="19"/>
          <w:szCs w:val="19"/>
        </w:rPr>
        <w:t xml:space="preserve">Organisation:</w:t>
      </w:r>
      <w:r>
        <w:rPr>
          <w:rFonts w:ascii="Calibri" w:cs="Calibri" w:eastAsia="Calibri" w:hAnsi="Calibri"/>
          <w:color w:val="5A6472"/>
          <w:sz w:val="19"/>
          <w:szCs w:val="19"/>
        </w:rPr>
        <w:t xml:space="preserve"> [ORGANISATION]</w:t>
      </w:r>
    </w:p>
    <w:p>
      <w:pPr>
        <w:shd w:fill="EDF2FA" w:val="clear"/>
        <w:spacing w:after="20"/>
        <w:ind w:left="60" w:right="60"/>
      </w:pPr>
      <w:r>
        <w:rPr>
          <w:rFonts w:ascii="Calibri" w:cs="Calibri" w:eastAsia="Calibri" w:hAnsi="Calibri"/>
          <w:b/>
          <w:bCs/>
          <w:color w:val="5A6472"/>
          <w:sz w:val="19"/>
          <w:szCs w:val="19"/>
        </w:rPr>
        <w:t xml:space="preserve">Effective date:</w:t>
      </w:r>
      <w:r>
        <w:rPr>
          <w:rFonts w:ascii="Calibri" w:cs="Calibri" w:eastAsia="Calibri" w:hAnsi="Calibri"/>
          <w:color w:val="5A6472"/>
          <w:sz w:val="19"/>
          <w:szCs w:val="19"/>
        </w:rPr>
        <w:t xml:space="preserve"> [DATE]  </w:t>
      </w:r>
      <w:r>
        <w:rPr>
          <w:rFonts w:ascii="Calibri" w:cs="Calibri" w:eastAsia="Calibri" w:hAnsi="Calibri"/>
          <w:b/>
          <w:bCs/>
          <w:color w:val="5A6472"/>
          <w:sz w:val="19"/>
          <w:szCs w:val="19"/>
        </w:rPr>
        <w:t xml:space="preserve">Version:</w:t>
      </w:r>
      <w:r>
        <w:rPr>
          <w:rFonts w:ascii="Calibri" w:cs="Calibri" w:eastAsia="Calibri" w:hAnsi="Calibri"/>
          <w:color w:val="5A6472"/>
          <w:sz w:val="19"/>
          <w:szCs w:val="19"/>
        </w:rPr>
        <w:t xml:space="preserve"> 1.0</w:t>
      </w:r>
    </w:p>
    <w:p>
      <w:pPr>
        <w:shd w:fill="EDF2FA" w:val="clear"/>
        <w:spacing w:after="20"/>
        <w:ind w:left="60" w:right="60"/>
      </w:pPr>
      <w:r>
        <w:rPr>
          <w:rFonts w:ascii="Calibri" w:cs="Calibri" w:eastAsia="Calibri" w:hAnsi="Calibri"/>
          <w:b/>
          <w:bCs/>
          <w:color w:val="5A6472"/>
          <w:sz w:val="19"/>
          <w:szCs w:val="19"/>
        </w:rPr>
        <w:t xml:space="preserve">Policy owner:</w:t>
      </w:r>
      <w:r>
        <w:rPr>
          <w:rFonts w:ascii="Calibri" w:cs="Calibri" w:eastAsia="Calibri" w:hAnsi="Calibri"/>
          <w:color w:val="5A6472"/>
          <w:sz w:val="19"/>
          <w:szCs w:val="19"/>
        </w:rPr>
        <w:t xml:space="preserve"> [CISO]  </w:t>
      </w:r>
      <w:r>
        <w:rPr>
          <w:rFonts w:ascii="Calibri" w:cs="Calibri" w:eastAsia="Calibri" w:hAnsi="Calibri"/>
          <w:b/>
          <w:bCs/>
          <w:color w:val="5A6472"/>
          <w:sz w:val="19"/>
          <w:szCs w:val="19"/>
        </w:rPr>
        <w:t xml:space="preserve">Data protection lead:</w:t>
      </w:r>
      <w:r>
        <w:rPr>
          <w:rFonts w:ascii="Calibri" w:cs="Calibri" w:eastAsia="Calibri" w:hAnsi="Calibri"/>
          <w:color w:val="5A6472"/>
          <w:sz w:val="19"/>
          <w:szCs w:val="19"/>
        </w:rPr>
        <w:t xml:space="preserve"> [DPO / privacy lead]</w:t>
      </w:r>
    </w:p>
    <w:p>
      <w:pPr>
        <w:shd w:fill="EDF2FA" w:val="clear"/>
        <w:spacing w:after="20"/>
        <w:ind w:left="60" w:right="60"/>
      </w:pPr>
      <w:r>
        <w:rPr>
          <w:rFonts w:ascii="Calibri" w:cs="Calibri" w:eastAsia="Calibri" w:hAnsi="Calibri"/>
          <w:b/>
          <w:bCs/>
          <w:color w:val="5A6472"/>
          <w:sz w:val="19"/>
          <w:szCs w:val="19"/>
        </w:rPr>
        <w:t xml:space="preserve">Classification:</w:t>
      </w:r>
      <w:r>
        <w:rPr>
          <w:rFonts w:ascii="Calibri" w:cs="Calibri" w:eastAsia="Calibri" w:hAnsi="Calibri"/>
          <w:color w:val="5A6472"/>
          <w:sz w:val="19"/>
          <w:szCs w:val="19"/>
        </w:rPr>
        <w:t xml:space="preserve"> Internal</w:t>
      </w:r>
    </w:p>
    <w:p>
      <w:pPr>
        <w:shd w:fill="EDF2FA" w:val="clear"/>
        <w:spacing w:after="20"/>
        <w:ind w:left="60" w:right="60"/>
      </w:pPr>
      <w:r>
        <w:rPr>
          <w:rFonts w:ascii="Calibri" w:cs="Calibri" w:eastAsia="Calibri" w:hAnsi="Calibri"/>
          <w:b/>
          <w:bCs/>
          <w:color w:val="5A6472"/>
          <w:sz w:val="19"/>
          <w:szCs w:val="19"/>
        </w:rPr>
        <w:t xml:space="preserve">Review:</w:t>
      </w:r>
      <w:r>
        <w:rPr>
          <w:rFonts w:ascii="Calibri" w:cs="Calibri" w:eastAsia="Calibri" w:hAnsi="Calibri"/>
          <w:color w:val="5A6472"/>
          <w:sz w:val="19"/>
          <w:szCs w:val="19"/>
        </w:rPr>
        <w:t xml:space="preserve"> at least every six months, and on material change in tools or regulation</w:t>
      </w:r>
    </w:p>
    <w:p>
      <w:pPr>
        <w:keepNext/>
        <w:pBdr>
          <w:bottom w:val="single" w:color="9DB9E8" w:sz="4" w:space="3"/>
        </w:pBdr>
        <w:spacing w:after="100" w:before="260"/>
      </w:pPr>
      <w:r>
        <w:rPr>
          <w:rFonts w:ascii="Calibri" w:cs="Calibri" w:eastAsia="Calibri" w:hAnsi="Calibri"/>
          <w:b/>
          <w:bCs/>
          <w:color w:val="2E5AAC"/>
          <w:sz w:val="26"/>
          <w:szCs w:val="26"/>
        </w:rPr>
        <w:t xml:space="preserve">1. Purpose</w:t>
      </w:r>
    </w:p>
    <w:p>
      <w:pPr>
        <w:spacing w:after="110"/>
      </w:pPr>
      <w:r>
        <w:rPr>
          <w:rFonts w:ascii="Calibri" w:cs="Calibri" w:eastAsia="Calibri" w:hAnsi="Calibri"/>
          <w:color w:val="333A45"/>
          <w:sz w:val="21"/>
          <w:szCs w:val="21"/>
        </w:rPr>
        <w:t xml:space="preserve">[ORGANISATION] permits the use of artificial intelligence (AI) tools to improve productivity, provided that use protects the organisation's data, its customers and staff, its intellectual property, and its obligations under Union data protection and artificial intelligence law. This policy sets the requirements for all such use.</w:t>
      </w:r>
    </w:p>
    <w:p>
      <w:pPr>
        <w:spacing w:after="110"/>
      </w:pPr>
      <w:r>
        <w:rPr>
          <w:rFonts w:ascii="Calibri" w:cs="Calibri" w:eastAsia="Calibri" w:hAnsi="Calibri"/>
          <w:color w:val="333A45"/>
          <w:sz w:val="21"/>
          <w:szCs w:val="21"/>
        </w:rPr>
        <w:t xml:space="preserve">Two features of the Union framework shape this document. First, </w:t>
      </w:r>
      <w:r>
        <w:rPr>
          <w:rFonts w:ascii="Calibri" w:cs="Calibri" w:eastAsia="Calibri" w:hAnsi="Calibri"/>
          <w:b/>
          <w:bCs/>
          <w:color w:val="333A45"/>
          <w:sz w:val="21"/>
          <w:szCs w:val="21"/>
        </w:rPr>
        <w:t xml:space="preserve">some AI practices are prohibited outright</w:t>
      </w:r>
      <w:r>
        <w:rPr>
          <w:rFonts w:ascii="Calibri" w:cs="Calibri" w:eastAsia="Calibri" w:hAnsi="Calibri"/>
          <w:color w:val="333A45"/>
          <w:sz w:val="21"/>
          <w:szCs w:val="21"/>
        </w:rPr>
        <w:t xml:space="preserve"> and no assessment, consent or business justification makes them lawful. Second, the artificial intelligence regime </w:t>
      </w:r>
      <w:r>
        <w:rPr>
          <w:rFonts w:ascii="Calibri" w:cs="Calibri" w:eastAsia="Calibri" w:hAnsi="Calibri"/>
          <w:b/>
          <w:bCs/>
          <w:color w:val="333A45"/>
          <w:sz w:val="21"/>
          <w:szCs w:val="21"/>
        </w:rPr>
        <w:t xml:space="preserve">commences in stages</w:t>
      </w:r>
      <w:r>
        <w:rPr>
          <w:rFonts w:ascii="Calibri" w:cs="Calibri" w:eastAsia="Calibri" w:hAnsi="Calibri"/>
          <w:color w:val="333A45"/>
          <w:sz w:val="21"/>
          <w:szCs w:val="21"/>
        </w:rPr>
        <w:t xml:space="preserve">: a substantial part of it binds today, and the part most people expect to bind - the high-risk regime - does not yet. Section 4 states which is which, because planning against the wrong date is the most common error in this area.</w:t>
      </w:r>
    </w:p>
    <w:p>
      <w:pPr>
        <w:keepNext/>
        <w:pBdr>
          <w:bottom w:val="single" w:color="9DB9E8" w:sz="4" w:space="3"/>
        </w:pBdr>
        <w:spacing w:after="100" w:before="260"/>
      </w:pPr>
      <w:r>
        <w:rPr>
          <w:rFonts w:ascii="Calibri" w:cs="Calibri" w:eastAsia="Calibri" w:hAnsi="Calibri"/>
          <w:b/>
          <w:bCs/>
          <w:color w:val="2E5AAC"/>
          <w:sz w:val="26"/>
          <w:szCs w:val="26"/>
        </w:rPr>
        <w:t xml:space="preserve">2. Scope</w:t>
      </w:r>
    </w:p>
    <w:p>
      <w:pPr>
        <w:spacing w:after="110"/>
      </w:pPr>
      <w:r>
        <w:rPr>
          <w:rFonts w:ascii="Calibri" w:cs="Calibri" w:eastAsia="Calibri" w:hAnsi="Calibri"/>
          <w:color w:val="333A45"/>
          <w:sz w:val="21"/>
          <w:szCs w:val="21"/>
        </w:rPr>
        <w:t xml:space="preserve">This policy applies to all employees, contractors, temporary staff, and third parties who use [ORGANISATION] systems, data, or accounts. It covers all AI tools, including public and generative AI services, AI features embedded in other software, coding assistants, meeting and note-taking assistants, media generators, AI agents, and internal AI systems. It applies on company devices and accounts, and on personal devices or accounts whenever used for [ORGANISATION] work or data.</w:t>
      </w:r>
    </w:p>
    <w:p>
      <w:pPr>
        <w:spacing w:after="110"/>
      </w:pPr>
      <w:r>
        <w:rPr>
          <w:rFonts w:ascii="Calibri" w:cs="Calibri" w:eastAsia="Calibri" w:hAnsi="Calibri"/>
          <w:color w:val="333A45"/>
          <w:sz w:val="21"/>
          <w:szCs w:val="21"/>
        </w:rPr>
        <w:t xml:space="preserve">Compliance is mandatory. Breaches may result in disciplinary action up to and including termination.</w:t>
      </w:r>
    </w:p>
    <w:p>
      <w:pPr>
        <w:keepNext/>
        <w:spacing w:after="80" w:before="200"/>
      </w:pPr>
      <w:r>
        <w:rPr>
          <w:rFonts w:ascii="Calibri" w:cs="Calibri" w:eastAsia="Calibri" w:hAnsi="Calibri"/>
          <w:b/>
          <w:bCs/>
          <w:color w:val="1F3864"/>
          <w:sz w:val="22"/>
          <w:szCs w:val="22"/>
        </w:rPr>
        <w:t xml:space="preserve">2.1 Which role [ORGANISATION] holds</w:t>
      </w:r>
    </w:p>
    <w:p>
      <w:pPr>
        <w:spacing w:after="110"/>
      </w:pPr>
      <w:r>
        <w:rPr>
          <w:rFonts w:ascii="Calibri" w:cs="Calibri" w:eastAsia="Calibri" w:hAnsi="Calibri"/>
          <w:color w:val="333A45"/>
          <w:sz w:val="21"/>
          <w:szCs w:val="21"/>
        </w:rPr>
        <w:t xml:space="preserve">Union AI law places different duties on the </w:t>
      </w:r>
      <w:r>
        <w:rPr>
          <w:rFonts w:ascii="Calibri" w:cs="Calibri" w:eastAsia="Calibri" w:hAnsi="Calibri"/>
          <w:b/>
          <w:bCs/>
          <w:color w:val="333A45"/>
          <w:sz w:val="21"/>
          <w:szCs w:val="21"/>
        </w:rPr>
        <w:t xml:space="preserve">provider</w:t>
      </w:r>
      <w:r>
        <w:rPr>
          <w:rFonts w:ascii="Calibri" w:cs="Calibri" w:eastAsia="Calibri" w:hAnsi="Calibri"/>
          <w:color w:val="333A45"/>
          <w:sz w:val="21"/>
          <w:szCs w:val="21"/>
        </w:rPr>
        <w:t xml:space="preserve"> of an AI system and on its </w:t>
      </w:r>
      <w:r>
        <w:rPr>
          <w:rFonts w:ascii="Calibri" w:cs="Calibri" w:eastAsia="Calibri" w:hAnsi="Calibri"/>
          <w:b/>
          <w:bCs/>
          <w:color w:val="333A45"/>
          <w:sz w:val="21"/>
          <w:szCs w:val="21"/>
        </w:rPr>
        <w:t xml:space="preserve">deployer</w:t>
      </w:r>
      <w:r>
        <w:rPr>
          <w:rFonts w:ascii="Calibri" w:cs="Calibri" w:eastAsia="Calibri" w:hAnsi="Calibri"/>
          <w:color w:val="333A45"/>
          <w:sz w:val="21"/>
          <w:szCs w:val="21"/>
        </w:rPr>
        <w:t xml:space="preserve">. [ORGANISATION] is ordinarily a deployer: it uses systems built by others. It becomes a provider, and takes on materially heavier duties, if it puts an AI system on the market or into service under its own name or trade mark, or if it substantially modifies a system, or if it puts its name to a system it has adapted.</w:t>
      </w:r>
    </w:p>
    <w:p>
      <w:pPr>
        <w:spacing w:after="110"/>
      </w:pPr>
      <w:r>
        <w:rPr>
          <w:rFonts w:ascii="Calibri" w:cs="Calibri" w:eastAsia="Calibri" w:hAnsi="Calibri"/>
          <w:b/>
          <w:bCs/>
          <w:color w:val="333A45"/>
          <w:sz w:val="21"/>
          <w:szCs w:val="21"/>
        </w:rPr>
        <w:t xml:space="preserve">Fine-tuning a model, rebranding a vendor's assistant, or embedding a third-party model in a product [ORGANISATION] sells can change the role.</w:t>
      </w:r>
      <w:r>
        <w:rPr>
          <w:rFonts w:ascii="Calibri" w:cs="Calibri" w:eastAsia="Calibri" w:hAnsi="Calibri"/>
          <w:color w:val="333A45"/>
          <w:sz w:val="21"/>
          <w:szCs w:val="21"/>
        </w:rPr>
        <w:t xml:space="preserve"> No such step may be taken without the assessment in Section 4.4.</w:t>
      </w:r>
    </w:p>
    <w:p>
      <w:pPr>
        <w:keepNext/>
        <w:pBdr>
          <w:bottom w:val="single" w:color="9DB9E8" w:sz="4" w:space="3"/>
        </w:pBdr>
        <w:spacing w:after="100" w:before="260"/>
      </w:pPr>
      <w:r>
        <w:rPr>
          <w:rFonts w:ascii="Calibri" w:cs="Calibri" w:eastAsia="Calibri" w:hAnsi="Calibri"/>
          <w:b/>
          <w:bCs/>
          <w:color w:val="2E5AAC"/>
          <w:sz w:val="26"/>
          <w:szCs w:val="26"/>
        </w:rPr>
        <w:t xml:space="preserve">3. Approved tools</w:t>
      </w:r>
    </w:p>
    <w:p>
      <w:pPr>
        <w:spacing w:after="110"/>
      </w:pPr>
      <w:r>
        <w:rPr>
          <w:rFonts w:ascii="Calibri" w:cs="Calibri" w:eastAsia="Calibri" w:hAnsi="Calibri"/>
          <w:color w:val="333A45"/>
          <w:sz w:val="21"/>
          <w:szCs w:val="21"/>
        </w:rPr>
        <w:t xml:space="preserve">3.1 Only AI tools on the [ORGANISATION] Approved AI Tools list may be used with [ORGANISATION] or personal data.</w:t>
      </w:r>
    </w:p>
    <w:p>
      <w:pPr>
        <w:spacing w:after="110"/>
      </w:pPr>
      <w:r>
        <w:rPr>
          <w:rFonts w:ascii="Calibri" w:cs="Calibri" w:eastAsia="Calibri" w:hAnsi="Calibri"/>
          <w:color w:val="333A45"/>
          <w:sz w:val="21"/>
          <w:szCs w:val="21"/>
        </w:rPr>
        <w:t xml:space="preserve">3.2 A tool is added to the list only after security and data protection review, and, where personal data is involved, on the basis of a written processing agreement binding the supplier to act only on [ORGANISATION]'s documented instructions.</w:t>
      </w:r>
    </w:p>
    <w:p>
      <w:pPr>
        <w:spacing w:after="110"/>
      </w:pPr>
      <w:r>
        <w:rPr>
          <w:rFonts w:ascii="Calibri" w:cs="Calibri" w:eastAsia="Calibri" w:hAnsi="Calibri"/>
          <w:color w:val="333A45"/>
          <w:sz w:val="21"/>
          <w:szCs w:val="21"/>
        </w:rPr>
        <w:t xml:space="preserve">3.3 Use of any tool not on the list - including free or personal-account versions of listed tools - is not permitted for [ORGANISATION] work or data. Staff who need a tool that is not listed must request it through [FORM / CHANNEL]; requests are assessed within [N] business days.</w:t>
      </w:r>
    </w:p>
    <w:p>
      <w:pPr>
        <w:spacing w:after="110"/>
      </w:pPr>
      <w:r>
        <w:rPr>
          <w:rFonts w:ascii="Calibri" w:cs="Calibri" w:eastAsia="Calibri" w:hAnsi="Calibri"/>
          <w:color w:val="333A45"/>
          <w:sz w:val="21"/>
          <w:szCs w:val="21"/>
        </w:rPr>
        <w:t xml:space="preserve">3.4 Staff already using an unapproved tool must disclose this to the policy owner. Good-faith disclosure will not of itself be treated as a disciplinary matter.</w:t>
      </w:r>
    </w:p>
    <w:p>
      <w:pPr>
        <w:keepNext/>
        <w:pBdr>
          <w:bottom w:val="single" w:color="9DB9E8" w:sz="4" w:space="3"/>
        </w:pBdr>
        <w:spacing w:after="100" w:before="260"/>
      </w:pPr>
      <w:r>
        <w:rPr>
          <w:rFonts w:ascii="Calibri" w:cs="Calibri" w:eastAsia="Calibri" w:hAnsi="Calibri"/>
          <w:b/>
          <w:bCs/>
          <w:color w:val="2E5AAC"/>
          <w:sz w:val="26"/>
          <w:szCs w:val="26"/>
        </w:rPr>
        <w:t xml:space="preserve">4. What binds today, and what lands next</w:t>
      </w:r>
    </w:p>
    <w:p>
      <w:pPr>
        <w:spacing w:after="110"/>
      </w:pPr>
      <w:r>
        <w:rPr>
          <w:rFonts w:ascii="Calibri" w:cs="Calibri" w:eastAsia="Calibri" w:hAnsi="Calibri"/>
          <w:b/>
          <w:bCs/>
          <w:color w:val="333A45"/>
          <w:sz w:val="21"/>
          <w:szCs w:val="21"/>
        </w:rPr>
        <w:t xml:space="preserve">Read this section before Section 5.</w:t>
      </w:r>
      <w:r>
        <w:rPr>
          <w:rFonts w:ascii="Calibri" w:cs="Calibri" w:eastAsia="Calibri" w:hAnsi="Calibri"/>
          <w:color w:val="333A45"/>
          <w:sz w:val="21"/>
          <w:szCs w:val="21"/>
        </w:rPr>
        <w:t xml:space="preserve"> Obligations under the artificial intelligence regime commence on different dates. Treating a deferred obligation as live wastes effort; treating a live one as deferred is a breach.</w:t>
      </w:r>
    </w:p>
    <w:p>
      <w:pPr>
        <w:keepNext/>
        <w:spacing w:after="80" w:before="200"/>
      </w:pPr>
      <w:r>
        <w:rPr>
          <w:rFonts w:ascii="Calibri" w:cs="Calibri" w:eastAsia="Calibri" w:hAnsi="Calibri"/>
          <w:b/>
          <w:bCs/>
          <w:color w:val="1F3864"/>
          <w:sz w:val="22"/>
          <w:szCs w:val="22"/>
        </w:rPr>
        <w:t xml:space="preserve">4.1 In force now</w:t>
      </w:r>
    </w:p>
    <w:p>
      <w:pPr>
        <w:pStyle w:val="ListParagraph"/>
        <w:numPr>
          <w:ilvl w:val="0"/>
          <w:numId w:val="2"/>
        </w:numPr>
        <w:spacing w:after="70"/>
      </w:pPr>
      <w:r>
        <w:rPr>
          <w:rFonts w:ascii="Calibri" w:cs="Calibri" w:eastAsia="Calibri" w:hAnsi="Calibri"/>
          <w:b/>
          <w:bCs/>
          <w:color w:val="333A45"/>
          <w:sz w:val="21"/>
          <w:szCs w:val="21"/>
        </w:rPr>
        <w:t xml:space="preserve">The prohibited practices</w:t>
      </w:r>
      <w:r>
        <w:rPr>
          <w:rFonts w:ascii="Calibri" w:cs="Calibri" w:eastAsia="Calibri" w:hAnsi="Calibri"/>
          <w:color w:val="333A45"/>
          <w:sz w:val="21"/>
          <w:szCs w:val="21"/>
        </w:rPr>
        <w:t xml:space="preserve"> in Section 6.1. In force since February 2025.</w:t>
      </w:r>
    </w:p>
    <w:p>
      <w:pPr>
        <w:pStyle w:val="ListParagraph"/>
        <w:numPr>
          <w:ilvl w:val="0"/>
          <w:numId w:val="2"/>
        </w:numPr>
        <w:spacing w:after="70"/>
      </w:pPr>
      <w:r>
        <w:rPr>
          <w:rFonts w:ascii="Calibri" w:cs="Calibri" w:eastAsia="Calibri" w:hAnsi="Calibri"/>
          <w:b/>
          <w:bCs/>
          <w:color w:val="333A45"/>
          <w:sz w:val="21"/>
          <w:szCs w:val="21"/>
        </w:rPr>
        <w:t xml:space="preserve">The staff knowledge and skills duty</w:t>
      </w:r>
      <w:r>
        <w:rPr>
          <w:rFonts w:ascii="Calibri" w:cs="Calibri" w:eastAsia="Calibri" w:hAnsi="Calibri"/>
          <w:color w:val="333A45"/>
          <w:sz w:val="21"/>
          <w:szCs w:val="21"/>
        </w:rPr>
        <w:t xml:space="preserve"> in Section 20. In force since February 2025.</w:t>
      </w:r>
    </w:p>
    <w:p>
      <w:pPr>
        <w:pStyle w:val="ListParagraph"/>
        <w:numPr>
          <w:ilvl w:val="0"/>
          <w:numId w:val="2"/>
        </w:numPr>
        <w:spacing w:after="70"/>
      </w:pPr>
      <w:r>
        <w:rPr>
          <w:rFonts w:ascii="Calibri" w:cs="Calibri" w:eastAsia="Calibri" w:hAnsi="Calibri"/>
          <w:b/>
          <w:bCs/>
          <w:color w:val="333A45"/>
          <w:sz w:val="21"/>
          <w:szCs w:val="21"/>
        </w:rPr>
        <w:t xml:space="preserve">Obligations on general-purpose AI models</w:t>
      </w:r>
      <w:r>
        <w:rPr>
          <w:rFonts w:ascii="Calibri" w:cs="Calibri" w:eastAsia="Calibri" w:hAnsi="Calibri"/>
          <w:color w:val="333A45"/>
          <w:sz w:val="21"/>
          <w:szCs w:val="21"/>
        </w:rPr>
        <w:t xml:space="preserve">, which fall on the model provider rather than on [ORGANISATION] as a user. In force since August 2025.</w:t>
      </w:r>
    </w:p>
    <w:p>
      <w:pPr>
        <w:pStyle w:val="ListParagraph"/>
        <w:numPr>
          <w:ilvl w:val="0"/>
          <w:numId w:val="2"/>
        </w:numPr>
        <w:spacing w:after="70"/>
      </w:pPr>
      <w:r>
        <w:rPr>
          <w:rFonts w:ascii="Calibri" w:cs="Calibri" w:eastAsia="Calibri" w:hAnsi="Calibri"/>
          <w:b/>
          <w:bCs/>
          <w:color w:val="333A45"/>
          <w:sz w:val="21"/>
          <w:szCs w:val="21"/>
        </w:rPr>
        <w:t xml:space="preserve">The transparency obligations</w:t>
      </w:r>
      <w:r>
        <w:rPr>
          <w:rFonts w:ascii="Calibri" w:cs="Calibri" w:eastAsia="Calibri" w:hAnsi="Calibri"/>
          <w:color w:val="333A45"/>
          <w:sz w:val="21"/>
          <w:szCs w:val="21"/>
        </w:rPr>
        <w:t xml:space="preserve"> in Section 9. </w:t>
      </w:r>
      <w:r>
        <w:rPr>
          <w:rFonts w:ascii="Calibri" w:cs="Calibri" w:eastAsia="Calibri" w:hAnsi="Calibri"/>
          <w:b/>
          <w:bCs/>
          <w:color w:val="333A45"/>
          <w:sz w:val="21"/>
          <w:szCs w:val="21"/>
        </w:rPr>
        <w:t xml:space="preserve">In force since 2 August 2026</w:t>
      </w:r>
      <w:r>
        <w:rPr>
          <w:rFonts w:ascii="Calibri" w:cs="Calibri" w:eastAsia="Calibri" w:hAnsi="Calibri"/>
          <w:color w:val="333A45"/>
          <w:sz w:val="21"/>
          <w:szCs w:val="21"/>
        </w:rPr>
        <w:t xml:space="preserve"> - these are new, and are the obligations most likely to affect [ORGANISATION]'s existing deployments today.</w:t>
      </w:r>
    </w:p>
    <w:p>
      <w:pPr>
        <w:pStyle w:val="ListParagraph"/>
        <w:numPr>
          <w:ilvl w:val="0"/>
          <w:numId w:val="2"/>
        </w:numPr>
        <w:spacing w:after="70"/>
      </w:pPr>
      <w:r>
        <w:rPr>
          <w:rFonts w:ascii="Calibri" w:cs="Calibri" w:eastAsia="Calibri" w:hAnsi="Calibri"/>
          <w:color w:val="333A45"/>
          <w:sz w:val="21"/>
          <w:szCs w:val="21"/>
        </w:rPr>
        <w:t xml:space="preserve">The whole of the data protection regime, which has bound since 2018 and is not staged.</w:t>
      </w:r>
    </w:p>
    <w:p>
      <w:pPr>
        <w:keepNext/>
        <w:spacing w:after="80" w:before="200"/>
      </w:pPr>
      <w:r>
        <w:rPr>
          <w:rFonts w:ascii="Calibri" w:cs="Calibri" w:eastAsia="Calibri" w:hAnsi="Calibri"/>
          <w:b/>
          <w:bCs/>
          <w:color w:val="1F3864"/>
          <w:sz w:val="22"/>
          <w:szCs w:val="22"/>
        </w:rPr>
        <w:t xml:space="preserve">4.2 Not yet in force</w:t>
      </w:r>
    </w:p>
    <w:p>
      <w:pPr>
        <w:pStyle w:val="ListParagraph"/>
        <w:numPr>
          <w:ilvl w:val="0"/>
          <w:numId w:val="2"/>
        </w:numPr>
        <w:spacing w:after="70"/>
      </w:pPr>
      <w:r>
        <w:rPr>
          <w:rFonts w:ascii="Calibri" w:cs="Calibri" w:eastAsia="Calibri" w:hAnsi="Calibri"/>
          <w:b/>
          <w:bCs/>
          <w:color w:val="333A45"/>
          <w:sz w:val="21"/>
          <w:szCs w:val="21"/>
        </w:rPr>
        <w:t xml:space="preserve">The high-risk regime</w:t>
      </w:r>
      <w:r>
        <w:rPr>
          <w:rFonts w:ascii="Calibri" w:cs="Calibri" w:eastAsia="Calibri" w:hAnsi="Calibri"/>
          <w:color w:val="333A45"/>
          <w:sz w:val="21"/>
          <w:szCs w:val="21"/>
        </w:rPr>
        <w:t xml:space="preserve"> - classification, risk management, data governance, technical documentation, logging, human oversight, accuracy and robustness, the conformity assessment, registration, and the deployer duties that go with them.</w:t>
      </w:r>
    </w:p>
    <w:p>
      <w:pPr>
        <w:spacing w:after="110"/>
      </w:pPr>
      <w:r>
        <w:rPr>
          <w:rFonts w:ascii="Calibri" w:cs="Calibri" w:eastAsia="Calibri" w:hAnsi="Calibri"/>
          <w:color w:val="333A45"/>
          <w:sz w:val="21"/>
          <w:szCs w:val="21"/>
        </w:rPr>
        <w:t xml:space="preserve">It applies from </w:t>
      </w:r>
      <w:r>
        <w:rPr>
          <w:rFonts w:ascii="Calibri" w:cs="Calibri" w:eastAsia="Calibri" w:hAnsi="Calibri"/>
          <w:b/>
          <w:bCs/>
          <w:color w:val="333A45"/>
          <w:sz w:val="21"/>
          <w:szCs w:val="21"/>
        </w:rPr>
        <w:t xml:space="preserve">2 December 2027</w:t>
      </w:r>
      <w:r>
        <w:rPr>
          <w:rFonts w:ascii="Calibri" w:cs="Calibri" w:eastAsia="Calibri" w:hAnsi="Calibri"/>
          <w:color w:val="333A45"/>
          <w:sz w:val="21"/>
          <w:szCs w:val="21"/>
        </w:rPr>
        <w:t xml:space="preserve"> for systems that are high-risk because of the purpose they are used for, and from </w:t>
      </w:r>
      <w:r>
        <w:rPr>
          <w:rFonts w:ascii="Calibri" w:cs="Calibri" w:eastAsia="Calibri" w:hAnsi="Calibri"/>
          <w:b/>
          <w:bCs/>
          <w:color w:val="333A45"/>
          <w:sz w:val="21"/>
          <w:szCs w:val="21"/>
        </w:rPr>
        <w:t xml:space="preserve">2 August 2028</w:t>
      </w:r>
      <w:r>
        <w:rPr>
          <w:rFonts w:ascii="Calibri" w:cs="Calibri" w:eastAsia="Calibri" w:hAnsi="Calibri"/>
          <w:color w:val="333A45"/>
          <w:sz w:val="21"/>
          <w:szCs w:val="21"/>
        </w:rPr>
        <w:t xml:space="preserve"> for AI embedded in products already covered by Union product safety legislation.</w:t>
      </w:r>
    </w:p>
    <w:p>
      <w:pPr>
        <w:spacing w:after="110"/>
      </w:pPr>
      <w:r>
        <w:rPr>
          <w:rFonts w:ascii="Calibri" w:cs="Calibri" w:eastAsia="Calibri" w:hAnsi="Calibri"/>
          <w:b/>
          <w:bCs/>
          <w:color w:val="333A45"/>
          <w:sz w:val="21"/>
          <w:szCs w:val="21"/>
        </w:rPr>
        <w:t xml:space="preserve">This is a deferral, not an exemption.</w:t>
      </w:r>
      <w:r>
        <w:rPr>
          <w:rFonts w:ascii="Calibri" w:cs="Calibri" w:eastAsia="Calibri" w:hAnsi="Calibri"/>
          <w:color w:val="333A45"/>
          <w:sz w:val="21"/>
          <w:szCs w:val="21"/>
        </w:rPr>
        <w:t xml:space="preserve"> Systems being procured or built now will be caught. Section 4.3 exists so that the deferral is used rather than wasted.</w:t>
      </w:r>
    </w:p>
    <w:p>
      <w:pPr>
        <w:pStyle w:val="ListParagraph"/>
        <w:numPr>
          <w:ilvl w:val="0"/>
          <w:numId w:val="2"/>
        </w:numPr>
        <w:spacing w:after="70"/>
      </w:pPr>
      <w:r>
        <w:rPr>
          <w:rFonts w:ascii="Calibri" w:cs="Calibri" w:eastAsia="Calibri" w:hAnsi="Calibri"/>
          <w:b/>
          <w:bCs/>
          <w:color w:val="333A45"/>
          <w:sz w:val="21"/>
          <w:szCs w:val="21"/>
        </w:rPr>
        <w:t xml:space="preserve">Two further prohibitions</w:t>
      </w:r>
      <w:r>
        <w:rPr>
          <w:rFonts w:ascii="Calibri" w:cs="Calibri" w:eastAsia="Calibri" w:hAnsi="Calibri"/>
          <w:color w:val="333A45"/>
          <w:sz w:val="21"/>
          <w:szCs w:val="21"/>
        </w:rPr>
        <w:t xml:space="preserve">, concerning non-consensual intimate imagery and child sexual abuse material, which apply from </w:t>
      </w:r>
      <w:r>
        <w:rPr>
          <w:rFonts w:ascii="Calibri" w:cs="Calibri" w:eastAsia="Calibri" w:hAnsi="Calibri"/>
          <w:b/>
          <w:bCs/>
          <w:color w:val="333A45"/>
          <w:sz w:val="21"/>
          <w:szCs w:val="21"/>
        </w:rPr>
        <w:t xml:space="preserve">2 December 2026</w:t>
      </w:r>
      <w:r>
        <w:rPr>
          <w:rFonts w:ascii="Calibri" w:cs="Calibri" w:eastAsia="Calibri" w:hAnsi="Calibri"/>
          <w:color w:val="333A45"/>
          <w:sz w:val="21"/>
          <w:szCs w:val="21"/>
        </w:rPr>
        <w:t xml:space="preserve">. [ORGANISATION] treats these as prohibited from today as a matter of policy; see Section 6.2.</w:t>
      </w:r>
    </w:p>
    <w:p>
      <w:pPr>
        <w:keepNext/>
        <w:spacing w:after="80" w:before="200"/>
      </w:pPr>
      <w:r>
        <w:rPr>
          <w:rFonts w:ascii="Calibri" w:cs="Calibri" w:eastAsia="Calibri" w:hAnsi="Calibri"/>
          <w:b/>
          <w:bCs/>
          <w:color w:val="1F3864"/>
          <w:sz w:val="22"/>
          <w:szCs w:val="22"/>
        </w:rPr>
        <w:t xml:space="preserve">4.3 What the deferral is for</w:t>
      </w:r>
    </w:p>
    <w:p>
      <w:pPr>
        <w:spacing w:after="110"/>
      </w:pPr>
      <w:r>
        <w:rPr>
          <w:rFonts w:ascii="Calibri" w:cs="Calibri" w:eastAsia="Calibri" w:hAnsi="Calibri"/>
          <w:color w:val="333A45"/>
          <w:sz w:val="21"/>
          <w:szCs w:val="21"/>
        </w:rPr>
        <w:t xml:space="preserve">Any AI system [ORGANISATION] procures, builds or adapts between now and December 2027 that would fall in the high-risk category must be recorded as such at the point of approval, and must have a documented path to meeting the high-risk requirements before the applicable date. The Enterprise Annex sets out how this is tracked.</w:t>
      </w:r>
    </w:p>
    <w:p>
      <w:pPr>
        <w:spacing w:after="110"/>
      </w:pPr>
      <w:r>
        <w:rPr>
          <w:rFonts w:ascii="Calibri" w:cs="Calibri" w:eastAsia="Calibri" w:hAnsi="Calibri"/>
          <w:b/>
          <w:bCs/>
          <w:color w:val="333A45"/>
          <w:sz w:val="21"/>
          <w:szCs w:val="21"/>
        </w:rPr>
        <w:t xml:space="preserve">A system may not be approved on the basis that the obligations do not apply yet.</w:t>
      </w:r>
      <w:r>
        <w:rPr>
          <w:rFonts w:ascii="Calibri" w:cs="Calibri" w:eastAsia="Calibri" w:hAnsi="Calibri"/>
          <w:color w:val="333A45"/>
          <w:sz w:val="21"/>
          <w:szCs w:val="21"/>
        </w:rPr>
        <w:t xml:space="preserve"> The approval must state when they will apply and who owns readiness.</w:t>
      </w:r>
    </w:p>
    <w:p>
      <w:pPr>
        <w:keepNext/>
        <w:spacing w:after="80" w:before="200"/>
      </w:pPr>
      <w:r>
        <w:rPr>
          <w:rFonts w:ascii="Calibri" w:cs="Calibri" w:eastAsia="Calibri" w:hAnsi="Calibri"/>
          <w:b/>
          <w:bCs/>
          <w:color w:val="1F3864"/>
          <w:sz w:val="22"/>
          <w:szCs w:val="22"/>
        </w:rPr>
        <w:t xml:space="preserve">4.4 Role change</w:t>
      </w:r>
    </w:p>
    <w:p>
      <w:pPr>
        <w:spacing w:after="110"/>
      </w:pPr>
      <w:r>
        <w:rPr>
          <w:rFonts w:ascii="Calibri" w:cs="Calibri" w:eastAsia="Calibri" w:hAnsi="Calibri"/>
          <w:color w:val="333A45"/>
          <w:sz w:val="21"/>
          <w:szCs w:val="21"/>
        </w:rPr>
        <w:t xml:space="preserve">Any proposal that would make [ORGANISATION] a provider rather than a deployer (Section 2.1) requires assessment and sign-off by the policy owner and the data protection lead before work begins.</w:t>
      </w:r>
    </w:p>
    <w:p>
      <w:pPr>
        <w:keepNext/>
        <w:pBdr>
          <w:bottom w:val="single" w:color="9DB9E8" w:sz="4" w:space="3"/>
        </w:pBdr>
        <w:spacing w:after="100" w:before="260"/>
      </w:pPr>
      <w:r>
        <w:rPr>
          <w:rFonts w:ascii="Calibri" w:cs="Calibri" w:eastAsia="Calibri" w:hAnsi="Calibri"/>
          <w:b/>
          <w:bCs/>
          <w:color w:val="2E5AAC"/>
          <w:sz w:val="26"/>
          <w:szCs w:val="26"/>
        </w:rPr>
        <w:t xml:space="preserve">5. Levels of use</w:t>
      </w:r>
    </w:p>
    <w:p>
      <w:pPr>
        <w:spacing w:after="110"/>
      </w:pPr>
      <w:r>
        <w:rPr>
          <w:rFonts w:ascii="Calibri" w:cs="Calibri" w:eastAsia="Calibri" w:hAnsi="Calibri"/>
          <w:color w:val="333A45"/>
          <w:sz w:val="21"/>
          <w:szCs w:val="21"/>
        </w:rPr>
        <w:t xml:space="preserve">Controls apply according to risk. Where the level is unclear, the higher level applies. These levels are [ORGANISATION]'s own classification for scaling controls; they are not categories defined in law and are distinct from the legal categories the artificial intelligence regime defines. Their boundaries are set where legal duties begin - and Level 4 records a statutory status: the high-risk classification, ahead of its commencement.</w:t>
      </w:r>
    </w:p>
    <w:p>
      <w:pPr>
        <w:pStyle w:val="ListParagraph"/>
        <w:numPr>
          <w:ilvl w:val="0"/>
          <w:numId w:val="2"/>
        </w:numPr>
        <w:spacing w:after="70"/>
      </w:pPr>
      <w:r>
        <w:rPr>
          <w:rFonts w:ascii="Calibri" w:cs="Calibri" w:eastAsia="Calibri" w:hAnsi="Calibri"/>
          <w:b/>
          <w:bCs/>
          <w:color w:val="333A45"/>
          <w:sz w:val="21"/>
          <w:szCs w:val="21"/>
        </w:rPr>
        <w:t xml:space="preserve">Level 1:</w:t>
      </w:r>
      <w:r>
        <w:rPr>
          <w:rFonts w:ascii="Calibri" w:cs="Calibri" w:eastAsia="Calibri" w:hAnsi="Calibri"/>
          <w:color w:val="333A45"/>
          <w:sz w:val="21"/>
          <w:szCs w:val="21"/>
        </w:rPr>
        <w:t xml:space="preserve"> No personal, confidential, or regulated data, and output not used to make decisions about individuals.</w:t>
      </w:r>
    </w:p>
    <w:p>
      <w:pPr>
        <w:pStyle w:val="ListParagraph"/>
        <w:numPr>
          <w:ilvl w:val="0"/>
          <w:numId w:val="2"/>
        </w:numPr>
        <w:spacing w:after="70"/>
      </w:pPr>
      <w:r>
        <w:rPr>
          <w:rFonts w:ascii="Calibri" w:cs="Calibri" w:eastAsia="Calibri" w:hAnsi="Calibri"/>
          <w:b/>
          <w:bCs/>
          <w:color w:val="333A45"/>
          <w:sz w:val="21"/>
          <w:szCs w:val="21"/>
        </w:rPr>
        <w:t xml:space="preserve">Level 2:</w:t>
      </w:r>
      <w:r>
        <w:rPr>
          <w:rFonts w:ascii="Calibri" w:cs="Calibri" w:eastAsia="Calibri" w:hAnsi="Calibri"/>
          <w:color w:val="333A45"/>
          <w:sz w:val="21"/>
          <w:szCs w:val="21"/>
        </w:rPr>
        <w:t xml:space="preserve"> Internal non-personal data, or output that informs work affecting the business. Data handling (Section 7) and output verification (Section 11) apply.</w:t>
      </w:r>
    </w:p>
    <w:p>
      <w:pPr>
        <w:pStyle w:val="ListParagraph"/>
        <w:numPr>
          <w:ilvl w:val="0"/>
          <w:numId w:val="2"/>
        </w:numPr>
        <w:spacing w:after="70"/>
      </w:pPr>
      <w:r>
        <w:rPr>
          <w:rFonts w:ascii="Calibri" w:cs="Calibri" w:eastAsia="Calibri" w:hAnsi="Calibri"/>
          <w:b/>
          <w:bCs/>
          <w:color w:val="333A45"/>
          <w:sz w:val="21"/>
          <w:szCs w:val="21"/>
        </w:rPr>
        <w:t xml:space="preserve">Level 3:</w:t>
      </w:r>
      <w:r>
        <w:rPr>
          <w:rFonts w:ascii="Calibri" w:cs="Calibri" w:eastAsia="Calibri" w:hAnsi="Calibri"/>
          <w:color w:val="333A45"/>
          <w:sz w:val="21"/>
          <w:szCs w:val="21"/>
        </w:rPr>
        <w:t xml:space="preserve"> Personal data, special category data, customer-facing output, or decisions affecting individuals or carrying financial or safety impact. All controls apply, together with a data protection impact assessment and sign-off by the policy owner and data protection lead before use.</w:t>
      </w:r>
    </w:p>
    <w:p>
      <w:pPr>
        <w:pStyle w:val="ListParagraph"/>
        <w:numPr>
          <w:ilvl w:val="0"/>
          <w:numId w:val="2"/>
        </w:numPr>
        <w:spacing w:after="70"/>
      </w:pPr>
      <w:r>
        <w:rPr>
          <w:rFonts w:ascii="Calibri" w:cs="Calibri" w:eastAsia="Calibri" w:hAnsi="Calibri"/>
          <w:b/>
          <w:bCs/>
          <w:color w:val="333A45"/>
          <w:sz w:val="21"/>
          <w:szCs w:val="21"/>
        </w:rPr>
        <w:t xml:space="preserve">Level 4 - high-risk track:</w:t>
      </w:r>
      <w:r>
        <w:rPr>
          <w:rFonts w:ascii="Calibri" w:cs="Calibri" w:eastAsia="Calibri" w:hAnsi="Calibri"/>
          <w:color w:val="333A45"/>
          <w:sz w:val="21"/>
          <w:szCs w:val="21"/>
        </w:rPr>
        <w:t xml:space="preserve"> Any system that would fall within the high-risk category when that regime commences. Treated as Level 3 </w:t>
      </w:r>
      <w:r>
        <w:rPr>
          <w:rFonts w:ascii="Calibri" w:cs="Calibri" w:eastAsia="Calibri" w:hAnsi="Calibri"/>
          <w:b/>
          <w:bCs/>
          <w:color w:val="333A45"/>
          <w:sz w:val="21"/>
          <w:szCs w:val="21"/>
        </w:rPr>
        <w:t xml:space="preserve">and</w:t>
      </w:r>
      <w:r>
        <w:rPr>
          <w:rFonts w:ascii="Calibri" w:cs="Calibri" w:eastAsia="Calibri" w:hAnsi="Calibri"/>
          <w:color w:val="333A45"/>
          <w:sz w:val="21"/>
          <w:szCs w:val="21"/>
        </w:rPr>
        <w:t xml:space="preserve"> recorded with a readiness owner and target date under Section 4.3.</w:t>
      </w:r>
    </w:p>
    <w:p>
      <w:pPr>
        <w:keepNext/>
        <w:pBdr>
          <w:bottom w:val="single" w:color="9DB9E8" w:sz="4" w:space="3"/>
        </w:pBdr>
        <w:spacing w:after="100" w:before="260"/>
      </w:pPr>
      <w:r>
        <w:rPr>
          <w:rFonts w:ascii="Calibri" w:cs="Calibri" w:eastAsia="Calibri" w:hAnsi="Calibri"/>
          <w:b/>
          <w:bCs/>
          <w:color w:val="2E5AAC"/>
          <w:sz w:val="26"/>
          <w:szCs w:val="26"/>
        </w:rPr>
        <w:t xml:space="preserve">6. Prohibited practices</w:t>
      </w:r>
    </w:p>
    <w:p>
      <w:pPr>
        <w:keepNext/>
        <w:spacing w:after="80" w:before="200"/>
      </w:pPr>
      <w:r>
        <w:rPr>
          <w:rFonts w:ascii="Calibri" w:cs="Calibri" w:eastAsia="Calibri" w:hAnsi="Calibri"/>
          <w:b/>
          <w:bCs/>
          <w:color w:val="1F3864"/>
          <w:sz w:val="22"/>
          <w:szCs w:val="22"/>
        </w:rPr>
        <w:t xml:space="preserve">6.1 Prohibited by law - no exception, no assessment, no consent</w:t>
      </w:r>
    </w:p>
    <w:p>
      <w:pPr>
        <w:spacing w:after="110"/>
      </w:pPr>
      <w:r>
        <w:rPr>
          <w:rFonts w:ascii="Calibri" w:cs="Calibri" w:eastAsia="Calibri" w:hAnsi="Calibri"/>
          <w:color w:val="333A45"/>
          <w:sz w:val="21"/>
          <w:szCs w:val="21"/>
        </w:rPr>
        <w:t xml:space="preserve">These are prohibited outright. They are not risks the organisation may accept.</w:t>
      </w:r>
    </w:p>
    <w:p>
      <w:pPr>
        <w:pStyle w:val="ListParagraph"/>
        <w:numPr>
          <w:ilvl w:val="0"/>
          <w:numId w:val="2"/>
        </w:numPr>
        <w:spacing w:after="70"/>
      </w:pPr>
      <w:r>
        <w:rPr>
          <w:rFonts w:ascii="Calibri" w:cs="Calibri" w:eastAsia="Calibri" w:hAnsi="Calibri"/>
          <w:color w:val="333A45"/>
          <w:sz w:val="21"/>
          <w:szCs w:val="21"/>
        </w:rPr>
        <w:t xml:space="preserve">AI that uses subliminal, purposefully manipulative or deceptive techniques to materially distort a person's behaviour so as to impair their ability to make an informed decision, causing or likely to cause significant harm;</w:t>
      </w:r>
    </w:p>
    <w:p>
      <w:pPr>
        <w:pStyle w:val="ListParagraph"/>
        <w:numPr>
          <w:ilvl w:val="0"/>
          <w:numId w:val="2"/>
        </w:numPr>
        <w:spacing w:after="70"/>
      </w:pPr>
      <w:r>
        <w:rPr>
          <w:rFonts w:ascii="Calibri" w:cs="Calibri" w:eastAsia="Calibri" w:hAnsi="Calibri"/>
          <w:color w:val="333A45"/>
          <w:sz w:val="21"/>
          <w:szCs w:val="21"/>
        </w:rPr>
        <w:t xml:space="preserve">AI that exploits vulnerabilities arising from a person's age, disability, or specific social or economic situation, so as to materially distort behaviour in a way that causes or is likely to cause significant harm;</w:t>
      </w:r>
    </w:p>
    <w:p>
      <w:pPr>
        <w:pStyle w:val="ListParagraph"/>
        <w:numPr>
          <w:ilvl w:val="0"/>
          <w:numId w:val="2"/>
        </w:numPr>
        <w:spacing w:after="70"/>
      </w:pPr>
      <w:r>
        <w:rPr>
          <w:rFonts w:ascii="Calibri" w:cs="Calibri" w:eastAsia="Calibri" w:hAnsi="Calibri"/>
          <w:color w:val="333A45"/>
          <w:sz w:val="21"/>
          <w:szCs w:val="21"/>
        </w:rPr>
        <w:t xml:space="preserve">social scoring - evaluating or classifying people over time on the basis of social behaviour or personal characteristics, where the score leads to detrimental treatment in an unrelated context, or to treatment that is unjustified or disproportionate;</w:t>
      </w:r>
    </w:p>
    <w:p>
      <w:pPr>
        <w:pStyle w:val="ListParagraph"/>
        <w:numPr>
          <w:ilvl w:val="0"/>
          <w:numId w:val="2"/>
        </w:numPr>
        <w:spacing w:after="70"/>
      </w:pPr>
      <w:r>
        <w:rPr>
          <w:rFonts w:ascii="Calibri" w:cs="Calibri" w:eastAsia="Calibri" w:hAnsi="Calibri"/>
          <w:color w:val="333A45"/>
          <w:sz w:val="21"/>
          <w:szCs w:val="21"/>
        </w:rPr>
        <w:t xml:space="preserve">assessing or predicting the risk that a person will commit a criminal offence based solely on profiling or personality traits;</w:t>
      </w:r>
    </w:p>
    <w:p>
      <w:pPr>
        <w:pStyle w:val="ListParagraph"/>
        <w:numPr>
          <w:ilvl w:val="0"/>
          <w:numId w:val="2"/>
        </w:numPr>
        <w:spacing w:after="70"/>
      </w:pPr>
      <w:r>
        <w:rPr>
          <w:rFonts w:ascii="Calibri" w:cs="Calibri" w:eastAsia="Calibri" w:hAnsi="Calibri"/>
          <w:color w:val="333A45"/>
          <w:sz w:val="21"/>
          <w:szCs w:val="21"/>
        </w:rPr>
        <w:t xml:space="preserve">creating or expanding facial recognition databases by untargeted scraping of facial images from the internet or CCTV;</w:t>
      </w:r>
    </w:p>
    <w:p>
      <w:pPr>
        <w:pStyle w:val="ListParagraph"/>
        <w:numPr>
          <w:ilvl w:val="0"/>
          <w:numId w:val="2"/>
        </w:numPr>
        <w:spacing w:after="70"/>
      </w:pPr>
      <w:r>
        <w:rPr>
          <w:rFonts w:ascii="Calibri" w:cs="Calibri" w:eastAsia="Calibri" w:hAnsi="Calibri"/>
          <w:b/>
          <w:bCs/>
          <w:color w:val="333A45"/>
          <w:sz w:val="21"/>
          <w:szCs w:val="21"/>
        </w:rPr>
        <w:t xml:space="preserve">inferring the emotions of a person in the workplace or in education institutions</w:t>
      </w:r>
      <w:r>
        <w:rPr>
          <w:rFonts w:ascii="Calibri" w:cs="Calibri" w:eastAsia="Calibri" w:hAnsi="Calibri"/>
          <w:color w:val="333A45"/>
          <w:sz w:val="21"/>
          <w:szCs w:val="21"/>
        </w:rPr>
        <w:t xml:space="preserve">, except where the system is intended for medical or safety reasons;</w:t>
      </w:r>
    </w:p>
    <w:p>
      <w:pPr>
        <w:pStyle w:val="ListParagraph"/>
        <w:numPr>
          <w:ilvl w:val="0"/>
          <w:numId w:val="2"/>
        </w:numPr>
        <w:spacing w:after="70"/>
      </w:pPr>
      <w:r>
        <w:rPr>
          <w:rFonts w:ascii="Calibri" w:cs="Calibri" w:eastAsia="Calibri" w:hAnsi="Calibri"/>
          <w:color w:val="333A45"/>
          <w:sz w:val="21"/>
          <w:szCs w:val="21"/>
        </w:rPr>
        <w:t xml:space="preserve">biometric categorisation that deduces or infers a person's race, political opinions, trade union membership, religious or philosophical beliefs, sex life or sexual orientation;</w:t>
      </w:r>
    </w:p>
    <w:p>
      <w:pPr>
        <w:pStyle w:val="ListParagraph"/>
        <w:numPr>
          <w:ilvl w:val="0"/>
          <w:numId w:val="2"/>
        </w:numPr>
        <w:spacing w:after="70"/>
      </w:pPr>
      <w:r>
        <w:rPr>
          <w:rFonts w:ascii="Calibri" w:cs="Calibri" w:eastAsia="Calibri" w:hAnsi="Calibri"/>
          <w:color w:val="333A45"/>
          <w:sz w:val="21"/>
          <w:szCs w:val="21"/>
        </w:rPr>
        <w:t xml:space="preserve">real-time remote biometric identification in publicly accessible spaces for law enforcement purposes, outside the narrow authorised cases.</w:t>
      </w:r>
    </w:p>
    <w:p>
      <w:pPr>
        <w:spacing w:after="110"/>
      </w:pPr>
      <w:r>
        <w:rPr>
          <w:rFonts w:ascii="Calibri" w:cs="Calibri" w:eastAsia="Calibri" w:hAnsi="Calibri"/>
          <w:b/>
          <w:bCs/>
          <w:color w:val="333A45"/>
          <w:sz w:val="21"/>
          <w:szCs w:val="21"/>
        </w:rPr>
        <w:t xml:space="preserve">The emotion-inference prohibition is the one most likely to be reached by an ordinary business proposal.</w:t>
      </w:r>
      <w:r>
        <w:rPr>
          <w:rFonts w:ascii="Calibri" w:cs="Calibri" w:eastAsia="Calibri" w:hAnsi="Calibri"/>
          <w:color w:val="333A45"/>
          <w:sz w:val="21"/>
          <w:szCs w:val="21"/>
        </w:rPr>
        <w:t xml:space="preserve"> Sentiment or engagement scoring of employees from camera, voice or keystroke data, AI-scored interview analysis of a candidate's demeanour, and productivity tools that rate staff mood are all within it. They are not permitted, and no impact assessment cures that.</w:t>
      </w:r>
    </w:p>
    <w:p>
      <w:pPr>
        <w:keepNext/>
        <w:spacing w:after="80" w:before="200"/>
      </w:pPr>
      <w:r>
        <w:rPr>
          <w:rFonts w:ascii="Calibri" w:cs="Calibri" w:eastAsia="Calibri" w:hAnsi="Calibri"/>
          <w:b/>
          <w:bCs/>
          <w:color w:val="1F3864"/>
          <w:sz w:val="22"/>
          <w:szCs w:val="22"/>
        </w:rPr>
        <w:t xml:space="preserve">6.2 Prohibited by policy from today</w:t>
      </w:r>
    </w:p>
    <w:p>
      <w:pPr>
        <w:spacing w:after="110"/>
      </w:pPr>
      <w:r>
        <w:rPr>
          <w:rFonts w:ascii="Calibri" w:cs="Calibri" w:eastAsia="Calibri" w:hAnsi="Calibri"/>
          <w:color w:val="333A45"/>
          <w:sz w:val="21"/>
          <w:szCs w:val="21"/>
        </w:rPr>
        <w:t xml:space="preserve">Generating or manipulating intimate imagery of an identifiable person without their explicit consent, and generating or manipulating child sexual abuse material, become prohibited practices in law from December 2026. [ORGANISATION] prohibits both from today. Any capability of an approved tool that could produce such material must be disabled or the tool removed from the list.</w:t>
      </w:r>
    </w:p>
    <w:p>
      <w:pPr>
        <w:keepNext/>
        <w:spacing w:after="80" w:before="200"/>
      </w:pPr>
      <w:r>
        <w:rPr>
          <w:rFonts w:ascii="Calibri" w:cs="Calibri" w:eastAsia="Calibri" w:hAnsi="Calibri"/>
          <w:b/>
          <w:bCs/>
          <w:color w:val="1F3864"/>
          <w:sz w:val="22"/>
          <w:szCs w:val="22"/>
        </w:rPr>
        <w:t xml:space="preserve">6.3 Prohibited by [ORGANISATION]</w:t>
      </w:r>
    </w:p>
    <w:p>
      <w:pPr>
        <w:pStyle w:val="ListParagraph"/>
        <w:numPr>
          <w:ilvl w:val="0"/>
          <w:numId w:val="2"/>
        </w:numPr>
        <w:spacing w:after="70"/>
      </w:pPr>
      <w:r>
        <w:rPr>
          <w:rFonts w:ascii="Calibri" w:cs="Calibri" w:eastAsia="Calibri" w:hAnsi="Calibri"/>
          <w:color w:val="333A45"/>
          <w:sz w:val="21"/>
          <w:szCs w:val="21"/>
        </w:rPr>
        <w:t xml:space="preserve">any other use that breaches the law or [ORGANISATION] policy;</w:t>
      </w:r>
    </w:p>
    <w:p>
      <w:pPr>
        <w:pStyle w:val="ListParagraph"/>
        <w:numPr>
          <w:ilvl w:val="0"/>
          <w:numId w:val="2"/>
        </w:numPr>
        <w:spacing w:after="70"/>
      </w:pPr>
      <w:r>
        <w:rPr>
          <w:rFonts w:ascii="Calibri" w:cs="Calibri" w:eastAsia="Calibri" w:hAnsi="Calibri"/>
          <w:color w:val="333A45"/>
          <w:sz w:val="21"/>
          <w:szCs w:val="21"/>
        </w:rPr>
        <w:t xml:space="preserve">entering prohibited data into any AI tool (Section 7.8);</w:t>
      </w:r>
    </w:p>
    <w:p>
      <w:pPr>
        <w:pStyle w:val="ListParagraph"/>
        <w:numPr>
          <w:ilvl w:val="0"/>
          <w:numId w:val="2"/>
        </w:numPr>
        <w:spacing w:after="70"/>
      </w:pPr>
      <w:r>
        <w:rPr>
          <w:rFonts w:ascii="Calibri" w:cs="Calibri" w:eastAsia="Calibri" w:hAnsi="Calibri"/>
          <w:color w:val="333A45"/>
          <w:sz w:val="21"/>
          <w:szCs w:val="21"/>
        </w:rPr>
        <w:t xml:space="preserve">allowing an AI tool to make a final decision about an individual without human review (Section 10);</w:t>
      </w:r>
    </w:p>
    <w:p>
      <w:pPr>
        <w:pStyle w:val="ListParagraph"/>
        <w:numPr>
          <w:ilvl w:val="0"/>
          <w:numId w:val="2"/>
        </w:numPr>
        <w:spacing w:after="70"/>
      </w:pPr>
      <w:r>
        <w:rPr>
          <w:rFonts w:ascii="Calibri" w:cs="Calibri" w:eastAsia="Calibri" w:hAnsi="Calibri"/>
          <w:color w:val="333A45"/>
          <w:sz w:val="21"/>
          <w:szCs w:val="21"/>
        </w:rPr>
        <w:t xml:space="preserve">using AI to produce legal, medical, financial, or safety-critical advice relied on without qualified human review;</w:t>
      </w:r>
    </w:p>
    <w:p>
      <w:pPr>
        <w:pStyle w:val="ListParagraph"/>
        <w:numPr>
          <w:ilvl w:val="0"/>
          <w:numId w:val="2"/>
        </w:numPr>
        <w:spacing w:after="70"/>
      </w:pPr>
      <w:r>
        <w:rPr>
          <w:rFonts w:ascii="Calibri" w:cs="Calibri" w:eastAsia="Calibri" w:hAnsi="Calibri"/>
          <w:color w:val="333A45"/>
          <w:sz w:val="21"/>
          <w:szCs w:val="21"/>
        </w:rPr>
        <w:t xml:space="preserve">using AI to conduct surveillance or assessment of staff except where separately authorised and lawful;</w:t>
      </w:r>
    </w:p>
    <w:p>
      <w:pPr>
        <w:pStyle w:val="ListParagraph"/>
        <w:numPr>
          <w:ilvl w:val="0"/>
          <w:numId w:val="2"/>
        </w:numPr>
        <w:spacing w:after="70"/>
      </w:pPr>
      <w:r>
        <w:rPr>
          <w:rFonts w:ascii="Calibri" w:cs="Calibri" w:eastAsia="Calibri" w:hAnsi="Calibri"/>
          <w:color w:val="333A45"/>
          <w:sz w:val="21"/>
          <w:szCs w:val="21"/>
        </w:rPr>
        <w:t xml:space="preserve">generating discriminatory, harassing, deceptive, or infringing content;</w:t>
      </w:r>
    </w:p>
    <w:p>
      <w:pPr>
        <w:pStyle w:val="ListParagraph"/>
        <w:numPr>
          <w:ilvl w:val="0"/>
          <w:numId w:val="2"/>
        </w:numPr>
        <w:spacing w:after="70"/>
      </w:pPr>
      <w:r>
        <w:rPr>
          <w:rFonts w:ascii="Calibri" w:cs="Calibri" w:eastAsia="Calibri" w:hAnsi="Calibri"/>
          <w:color w:val="333A45"/>
          <w:sz w:val="21"/>
          <w:szCs w:val="21"/>
        </w:rPr>
        <w:t xml:space="preserve">creating synthetic media of an identifiable person without authorisation;</w:t>
      </w:r>
    </w:p>
    <w:p>
      <w:pPr>
        <w:pStyle w:val="ListParagraph"/>
        <w:numPr>
          <w:ilvl w:val="0"/>
          <w:numId w:val="2"/>
        </w:numPr>
        <w:spacing w:after="70"/>
      </w:pPr>
      <w:r>
        <w:rPr>
          <w:rFonts w:ascii="Calibri" w:cs="Calibri" w:eastAsia="Calibri" w:hAnsi="Calibri"/>
          <w:color w:val="333A45"/>
          <w:sz w:val="21"/>
          <w:szCs w:val="21"/>
        </w:rPr>
        <w:t xml:space="preserve">presenting AI-generated output as verified when it has not been;</w:t>
      </w:r>
    </w:p>
    <w:p>
      <w:pPr>
        <w:pStyle w:val="ListParagraph"/>
        <w:numPr>
          <w:ilvl w:val="0"/>
          <w:numId w:val="2"/>
        </w:numPr>
        <w:spacing w:after="70"/>
      </w:pPr>
      <w:r>
        <w:rPr>
          <w:rFonts w:ascii="Calibri" w:cs="Calibri" w:eastAsia="Calibri" w:hAnsi="Calibri"/>
          <w:color w:val="333A45"/>
          <w:sz w:val="21"/>
          <w:szCs w:val="21"/>
        </w:rPr>
        <w:t xml:space="preserve">circumventing the security, monitoring, or approval requirements of this policy.</w:t>
      </w:r>
    </w:p>
    <w:p>
      <w:pPr>
        <w:keepNext/>
        <w:pBdr>
          <w:bottom w:val="single" w:color="9DB9E8" w:sz="4" w:space="3"/>
        </w:pBdr>
        <w:spacing w:after="100" w:before="260"/>
      </w:pPr>
      <w:r>
        <w:rPr>
          <w:rFonts w:ascii="Calibri" w:cs="Calibri" w:eastAsia="Calibri" w:hAnsi="Calibri"/>
          <w:b/>
          <w:bCs/>
          <w:color w:val="2E5AAC"/>
          <w:sz w:val="26"/>
          <w:szCs w:val="26"/>
        </w:rPr>
        <w:t xml:space="preserve">7. Personal data</w:t>
      </w:r>
    </w:p>
    <w:p>
      <w:pPr>
        <w:spacing w:after="110"/>
      </w:pPr>
      <w:r>
        <w:rPr>
          <w:rFonts w:ascii="Calibri" w:cs="Calibri" w:eastAsia="Calibri" w:hAnsi="Calibri"/>
          <w:color w:val="333A45"/>
          <w:sz w:val="21"/>
          <w:szCs w:val="21"/>
        </w:rPr>
        <w:t xml:space="preserve">7.1 Personal data may be processed by an AI tool only where a lawful basis for that processing exists and has been recorded before processing begins.</w:t>
      </w:r>
    </w:p>
    <w:p>
      <w:pPr>
        <w:spacing w:after="110"/>
      </w:pPr>
      <w:r>
        <w:rPr>
          <w:rFonts w:ascii="Calibri" w:cs="Calibri" w:eastAsia="Calibri" w:hAnsi="Calibri"/>
          <w:color w:val="333A45"/>
          <w:sz w:val="21"/>
          <w:szCs w:val="21"/>
        </w:rPr>
        <w:t xml:space="preserve">7.2 Personal data collected for one purpose must not be processed in a manner incompatible with that purpose. Customer or employee data must not be used to train or fine-tune an AI model unless that use has been separately assessed and approved.</w:t>
      </w:r>
    </w:p>
    <w:p>
      <w:pPr>
        <w:spacing w:after="110"/>
      </w:pPr>
      <w:r>
        <w:rPr>
          <w:rFonts w:ascii="Calibri" w:cs="Calibri" w:eastAsia="Calibri" w:hAnsi="Calibri"/>
          <w:color w:val="333A45"/>
          <w:sz w:val="21"/>
          <w:szCs w:val="21"/>
        </w:rPr>
        <w:t xml:space="preserve">7.3 Only personal data that is adequate, relevant and limited to what is necessary for the task may be provided to an AI tool.</w:t>
      </w:r>
    </w:p>
    <w:p>
      <w:pPr>
        <w:spacing w:after="110"/>
      </w:pPr>
      <w:r>
        <w:rPr>
          <w:rFonts w:ascii="Calibri" w:cs="Calibri" w:eastAsia="Calibri" w:hAnsi="Calibri"/>
          <w:color w:val="333A45"/>
          <w:sz w:val="21"/>
          <w:szCs w:val="21"/>
        </w:rPr>
        <w:t xml:space="preserve">7.4 Personal data must be accurate and, where necessary, kept up to date. Output that alters or supplements a record about a person must meet the same standard.</w:t>
      </w:r>
    </w:p>
    <w:p>
      <w:pPr>
        <w:spacing w:after="110"/>
      </w:pPr>
      <w:r>
        <w:rPr>
          <w:rFonts w:ascii="Calibri" w:cs="Calibri" w:eastAsia="Calibri" w:hAnsi="Calibri"/>
          <w:color w:val="333A45"/>
          <w:sz w:val="21"/>
          <w:szCs w:val="21"/>
        </w:rPr>
        <w:t xml:space="preserve">7.5 Personal data must be kept in a form permitting identification no longer than is necessary. Prompts, uploads, embeddings, caches and logs held by an AI tool are within this requirement.</w:t>
      </w:r>
    </w:p>
    <w:p>
      <w:pPr>
        <w:spacing w:after="110"/>
      </w:pPr>
      <w:r>
        <w:rPr>
          <w:rFonts w:ascii="Calibri" w:cs="Calibri" w:eastAsia="Calibri" w:hAnsi="Calibri"/>
          <w:color w:val="333A45"/>
          <w:sz w:val="21"/>
          <w:szCs w:val="21"/>
        </w:rPr>
        <w:t xml:space="preserve">7.6 A data protection impact assessment must be completed, and approved by the data protection lead, before processing likely to result in a high risk to individuals - including systematic and extensive automated evaluation of personal aspects producing legal or similarly significant effects, large-scale processing of special category data, and systematic monitoring of a publicly accessible area on a large scale. Where the supervisory authority has published a list of operations requiring an assessment, that list is followed.</w:t>
      </w:r>
    </w:p>
    <w:p>
      <w:pPr>
        <w:spacing w:after="110"/>
      </w:pPr>
      <w:r>
        <w:rPr>
          <w:rFonts w:ascii="Calibri" w:cs="Calibri" w:eastAsia="Calibri" w:hAnsi="Calibri"/>
          <w:color w:val="333A45"/>
          <w:sz w:val="21"/>
          <w:szCs w:val="21"/>
        </w:rPr>
        <w:t xml:space="preserve">7.7 AI tools must not be used in any way that prevents [ORGANISATION] from meeting individuals' rights of access, rectification, erasure, restriction, portability and objection. Personal data must not be placed in a tool from which it cannot be retrieved or deleted on request.</w:t>
      </w:r>
    </w:p>
    <w:p>
      <w:pPr>
        <w:spacing w:after="110"/>
      </w:pPr>
      <w:r>
        <w:rPr>
          <w:rFonts w:ascii="Calibri" w:cs="Calibri" w:eastAsia="Calibri" w:hAnsi="Calibri"/>
          <w:color w:val="333A45"/>
          <w:sz w:val="21"/>
          <w:szCs w:val="21"/>
        </w:rPr>
        <w:t xml:space="preserve">7.8 The following must never be entered into any AI tool: authentication credentials and secrets; payment card data; personal data outside an approved tool and processing agreement; special category data and data relating to criminal convictions and offences without recorded approval and a valid additional condition; children's data without approval; and any data [ORGANISATION] has no lawful basis to process in this way.</w:t>
      </w:r>
    </w:p>
    <w:p>
      <w:pPr>
        <w:spacing w:after="110"/>
      </w:pPr>
      <w:r>
        <w:rPr>
          <w:rFonts w:ascii="Calibri" w:cs="Calibri" w:eastAsia="Calibri" w:hAnsi="Calibri"/>
          <w:color w:val="333A45"/>
          <w:sz w:val="21"/>
          <w:szCs w:val="21"/>
        </w:rPr>
        <w:t xml:space="preserve">7.9 Where personal data is processed on [ORGANISATION]'s behalf by an AI supplier, a written contract must bind that supplier to process only on documented instructions, to impose confidentiality, to assist with security, breach notification, impact assessments and individuals' rights, and to delete or return the data at the end of the service. Sub-processors require prior authorisation.</w:t>
      </w:r>
    </w:p>
    <w:p>
      <w:pPr>
        <w:keepNext/>
        <w:pBdr>
          <w:bottom w:val="single" w:color="9DB9E8" w:sz="4" w:space="3"/>
        </w:pBdr>
        <w:spacing w:after="100" w:before="260"/>
      </w:pPr>
      <w:r>
        <w:rPr>
          <w:rFonts w:ascii="Calibri" w:cs="Calibri" w:eastAsia="Calibri" w:hAnsi="Calibri"/>
          <w:b/>
          <w:bCs/>
          <w:color w:val="2E5AAC"/>
          <w:sz w:val="26"/>
          <w:szCs w:val="26"/>
        </w:rPr>
        <w:t xml:space="preserve">8. Transfers outside the Union</w:t>
      </w:r>
    </w:p>
    <w:p>
      <w:pPr>
        <w:spacing w:after="110"/>
      </w:pPr>
      <w:r>
        <w:rPr>
          <w:rFonts w:ascii="Calibri" w:cs="Calibri" w:eastAsia="Calibri" w:hAnsi="Calibri"/>
          <w:color w:val="333A45"/>
          <w:sz w:val="21"/>
          <w:szCs w:val="21"/>
        </w:rPr>
        <w:t xml:space="preserve">8.1 Personal data must not be transferred to a third country or international organisation unless the transfer rests on an adequacy decision, on appropriate safeguards, or on a derogation that genuinely applies to the case.</w:t>
      </w:r>
    </w:p>
    <w:p>
      <w:pPr>
        <w:spacing w:after="110"/>
      </w:pPr>
      <w:r>
        <w:rPr>
          <w:rFonts w:ascii="Calibri" w:cs="Calibri" w:eastAsia="Calibri" w:hAnsi="Calibri"/>
          <w:color w:val="333A45"/>
          <w:sz w:val="21"/>
          <w:szCs w:val="21"/>
        </w:rPr>
        <w:t xml:space="preserve">8.2 </w:t>
      </w:r>
      <w:r>
        <w:rPr>
          <w:rFonts w:ascii="Calibri" w:cs="Calibri" w:eastAsia="Calibri" w:hAnsi="Calibri"/>
          <w:b/>
          <w:bCs/>
          <w:color w:val="333A45"/>
          <w:sz w:val="21"/>
          <w:szCs w:val="21"/>
        </w:rPr>
        <w:t xml:space="preserve">Most cloud AI services process data outside the Union, and many do not disclose where.</w:t>
      </w:r>
      <w:r>
        <w:rPr>
          <w:rFonts w:ascii="Calibri" w:cs="Calibri" w:eastAsia="Calibri" w:hAnsi="Calibri"/>
          <w:color w:val="333A45"/>
          <w:sz w:val="21"/>
          <w:szCs w:val="21"/>
        </w:rPr>
        <w:t xml:space="preserve"> A tool is not approved for personal data until its actual processing locations are established, the transfer basis is recorded, and any required assessment of the destination's legal regime has been done.</w:t>
      </w:r>
    </w:p>
    <w:p>
      <w:pPr>
        <w:spacing w:after="110"/>
      </w:pPr>
      <w:r>
        <w:rPr>
          <w:rFonts w:ascii="Calibri" w:cs="Calibri" w:eastAsia="Calibri" w:hAnsi="Calibri"/>
          <w:color w:val="333A45"/>
          <w:sz w:val="21"/>
          <w:szCs w:val="21"/>
        </w:rPr>
        <w:t xml:space="preserve">8.3 Reliance on a derogation - including a data subject's explicit consent - is exceptional, must be documented case by case, and must not be used to support routine or repetitive transfers.</w:t>
      </w:r>
    </w:p>
    <w:p>
      <w:pPr>
        <w:keepNext/>
        <w:pBdr>
          <w:bottom w:val="single" w:color="9DB9E8" w:sz="4" w:space="3"/>
        </w:pBdr>
        <w:spacing w:after="100" w:before="260"/>
      </w:pPr>
      <w:r>
        <w:rPr>
          <w:rFonts w:ascii="Calibri" w:cs="Calibri" w:eastAsia="Calibri" w:hAnsi="Calibri"/>
          <w:b/>
          <w:bCs/>
          <w:color w:val="2E5AAC"/>
          <w:sz w:val="26"/>
          <w:szCs w:val="26"/>
        </w:rPr>
        <w:t xml:space="preserve">9. Transparency obligations</w:t>
      </w:r>
    </w:p>
    <w:p>
      <w:pPr>
        <w:spacing w:after="110"/>
      </w:pPr>
      <w:r>
        <w:rPr>
          <w:rFonts w:ascii="Calibri" w:cs="Calibri" w:eastAsia="Calibri" w:hAnsi="Calibri"/>
          <w:b/>
          <w:bCs/>
          <w:color w:val="333A45"/>
          <w:sz w:val="21"/>
          <w:szCs w:val="21"/>
        </w:rPr>
        <w:t xml:space="preserve">In force since 2 August 2026.</w:t>
      </w:r>
      <w:r>
        <w:rPr>
          <w:rFonts w:ascii="Calibri" w:cs="Calibri" w:eastAsia="Calibri" w:hAnsi="Calibri"/>
          <w:color w:val="333A45"/>
          <w:sz w:val="21"/>
          <w:szCs w:val="21"/>
        </w:rPr>
        <w:t xml:space="preserve"> These are duties [ORGANISATION] owes as a deployer, and some it owes if it is a provider.</w:t>
      </w:r>
    </w:p>
    <w:p>
      <w:pPr>
        <w:spacing w:after="110"/>
      </w:pPr>
      <w:r>
        <w:rPr>
          <w:rFonts w:ascii="Calibri" w:cs="Calibri" w:eastAsia="Calibri" w:hAnsi="Calibri"/>
          <w:color w:val="333A45"/>
          <w:sz w:val="21"/>
          <w:szCs w:val="21"/>
        </w:rPr>
        <w:t xml:space="preserve">9.1 Where an AI system interacts directly with a person, that person must be informed they are interacting with an AI system, unless it is obvious to a reasonably well-informed, observant and circumspect person in the circumstances.</w:t>
      </w:r>
    </w:p>
    <w:p>
      <w:pPr>
        <w:spacing w:after="110"/>
      </w:pPr>
      <w:r>
        <w:rPr>
          <w:rFonts w:ascii="Calibri" w:cs="Calibri" w:eastAsia="Calibri" w:hAnsi="Calibri"/>
          <w:color w:val="333A45"/>
          <w:sz w:val="21"/>
          <w:szCs w:val="21"/>
        </w:rPr>
        <w:t xml:space="preserve">9.2 Where [ORGANISATION] deploys an emotion recognition system or a biometric categorisation system in a case not prohibited by Section 6.1, the people exposed to it must be informed of its operation, and the personal data must be processed in accordance with data protection law.</w:t>
      </w:r>
    </w:p>
    <w:p>
      <w:pPr>
        <w:spacing w:after="110"/>
      </w:pPr>
      <w:r>
        <w:rPr>
          <w:rFonts w:ascii="Calibri" w:cs="Calibri" w:eastAsia="Calibri" w:hAnsi="Calibri"/>
          <w:color w:val="333A45"/>
          <w:sz w:val="21"/>
          <w:szCs w:val="21"/>
        </w:rPr>
        <w:t xml:space="preserve">9.3 Where [ORGANISATION] deploys a system that generates or manipulates image, audio or video content constituting a deep fake, the fact that the content has been artificially generated or manipulated must be disclosed.</w:t>
      </w:r>
    </w:p>
    <w:p>
      <w:pPr>
        <w:spacing w:after="110"/>
      </w:pPr>
      <w:r>
        <w:rPr>
          <w:rFonts w:ascii="Calibri" w:cs="Calibri" w:eastAsia="Calibri" w:hAnsi="Calibri"/>
          <w:color w:val="333A45"/>
          <w:sz w:val="21"/>
          <w:szCs w:val="21"/>
        </w:rPr>
        <w:t xml:space="preserve">9.4 Where [ORGANISATION] acts as a provider of a system generating synthetic audio, image, video or text, the outputs must be marked in a machine-readable format and detectable as artificially generated or manipulated. The obligation does not extend to assistive functions for standard editing that do not substantially alter the input data or its meaning.</w:t>
      </w:r>
    </w:p>
    <w:p>
      <w:pPr>
        <w:spacing w:after="110"/>
      </w:pPr>
      <w:r>
        <w:rPr>
          <w:rFonts w:ascii="Calibri" w:cs="Calibri" w:eastAsia="Calibri" w:hAnsi="Calibri"/>
          <w:color w:val="333A45"/>
          <w:sz w:val="21"/>
          <w:szCs w:val="21"/>
        </w:rPr>
        <w:t xml:space="preserve">9.5 The obligations in this section are separate from, and additional to, the information duties owed under data protection law.</w:t>
      </w:r>
    </w:p>
    <w:p>
      <w:pPr>
        <w:keepNext/>
        <w:pBdr>
          <w:bottom w:val="single" w:color="9DB9E8" w:sz="4" w:space="3"/>
        </w:pBdr>
        <w:spacing w:after="100" w:before="260"/>
      </w:pPr>
      <w:r>
        <w:rPr>
          <w:rFonts w:ascii="Calibri" w:cs="Calibri" w:eastAsia="Calibri" w:hAnsi="Calibri"/>
          <w:b/>
          <w:bCs/>
          <w:color w:val="2E5AAC"/>
          <w:sz w:val="26"/>
          <w:szCs w:val="26"/>
        </w:rPr>
        <w:t xml:space="preserve">10. Automated decisions about people</w:t>
      </w:r>
    </w:p>
    <w:p>
      <w:pPr>
        <w:spacing w:after="110"/>
      </w:pPr>
      <w:r>
        <w:rPr>
          <w:rFonts w:ascii="Calibri" w:cs="Calibri" w:eastAsia="Calibri" w:hAnsi="Calibri"/>
          <w:color w:val="333A45"/>
          <w:sz w:val="21"/>
          <w:szCs w:val="21"/>
        </w:rPr>
        <w:t xml:space="preserve">10.1 An AI tool must not make a final decision that has a significant effect on an individual - including decisions on employment, credit, eligibility, or access to a service - without meaningful review by a person before the decision takes effect.</w:t>
      </w:r>
    </w:p>
    <w:p>
      <w:pPr>
        <w:spacing w:after="110"/>
      </w:pPr>
      <w:r>
        <w:rPr>
          <w:rFonts w:ascii="Calibri" w:cs="Calibri" w:eastAsia="Calibri" w:hAnsi="Calibri"/>
          <w:color w:val="333A45"/>
          <w:sz w:val="21"/>
          <w:szCs w:val="21"/>
        </w:rPr>
        <w:t xml:space="preserve">10.2 The reviewer must be able to understand, question, and override the outcome, and must have the authority and time to do so.</w:t>
      </w:r>
    </w:p>
    <w:p>
      <w:pPr>
        <w:spacing w:after="110"/>
      </w:pPr>
      <w:r>
        <w:rPr>
          <w:rFonts w:ascii="Calibri" w:cs="Calibri" w:eastAsia="Calibri" w:hAnsi="Calibri"/>
          <w:color w:val="333A45"/>
          <w:sz w:val="21"/>
          <w:szCs w:val="21"/>
        </w:rPr>
        <w:t xml:space="preserve">10.3 An individual has the right not to be subject to a decision based solely on automated processing, including profiling, that produces legal effects concerning them or similarly significantly affects them, save in the limited cases the law permits. Where such a decision is made in a permitted case, [ORGANISATION] implements suitable measures to safeguard the individual's rights, including at least the right to obtain human intervention, to express their point of view, and to contest the decision.</w:t>
      </w:r>
    </w:p>
    <w:p>
      <w:pPr>
        <w:spacing w:after="110"/>
      </w:pPr>
      <w:r>
        <w:rPr>
          <w:rFonts w:ascii="Calibri" w:cs="Calibri" w:eastAsia="Calibri" w:hAnsi="Calibri"/>
          <w:color w:val="333A45"/>
          <w:sz w:val="21"/>
          <w:szCs w:val="21"/>
        </w:rPr>
        <w:t xml:space="preserve">10.4 Decisions of that kind must not be based on special category data unless a narrow permitted condition applies and suitable safeguards are in place.</w:t>
      </w:r>
    </w:p>
    <w:p>
      <w:pPr>
        <w:spacing w:after="110"/>
      </w:pPr>
      <w:r>
        <w:rPr>
          <w:rFonts w:ascii="Calibri" w:cs="Calibri" w:eastAsia="Calibri" w:hAnsi="Calibri"/>
          <w:color w:val="333A45"/>
          <w:sz w:val="21"/>
          <w:szCs w:val="21"/>
        </w:rPr>
        <w:t xml:space="preserve">10.5 Section 10.1 is a </w:t>
      </w:r>
      <w:r>
        <w:rPr>
          <w:rFonts w:ascii="Calibri" w:cs="Calibri" w:eastAsia="Calibri" w:hAnsi="Calibri"/>
          <w:b/>
          <w:bCs/>
          <w:color w:val="333A45"/>
          <w:sz w:val="21"/>
          <w:szCs w:val="21"/>
        </w:rPr>
        <w:t xml:space="preserve">house standard stricter than the statutory floor</w:t>
      </w:r>
      <w:r>
        <w:rPr>
          <w:rFonts w:ascii="Calibri" w:cs="Calibri" w:eastAsia="Calibri" w:hAnsi="Calibri"/>
          <w:color w:val="333A45"/>
          <w:sz w:val="21"/>
          <w:szCs w:val="21"/>
        </w:rPr>
        <w:t xml:space="preserve">, which operates by way of a right the individual must invoke. Requiring review before effect is a deliberate choice, recorded as such.</w:t>
      </w:r>
    </w:p>
    <w:p>
      <w:pPr>
        <w:keepNext/>
        <w:pBdr>
          <w:bottom w:val="single" w:color="9DB9E8" w:sz="4" w:space="3"/>
        </w:pBdr>
        <w:spacing w:after="100" w:before="260"/>
      </w:pPr>
      <w:r>
        <w:rPr>
          <w:rFonts w:ascii="Calibri" w:cs="Calibri" w:eastAsia="Calibri" w:hAnsi="Calibri"/>
          <w:b/>
          <w:bCs/>
          <w:color w:val="2E5AAC"/>
          <w:sz w:val="26"/>
          <w:szCs w:val="26"/>
        </w:rPr>
        <w:t xml:space="preserve">11. Verification of output</w:t>
      </w:r>
    </w:p>
    <w:p>
      <w:pPr>
        <w:spacing w:after="110"/>
      </w:pPr>
      <w:r>
        <w:rPr>
          <w:rFonts w:ascii="Calibri" w:cs="Calibri" w:eastAsia="Calibri" w:hAnsi="Calibri"/>
          <w:color w:val="333A45"/>
          <w:sz w:val="21"/>
          <w:szCs w:val="21"/>
        </w:rPr>
        <w:t xml:space="preserve">11.1 AI output is a draft and must not be relied upon without verification by a competent person.</w:t>
      </w:r>
    </w:p>
    <w:p>
      <w:pPr>
        <w:spacing w:after="110"/>
      </w:pPr>
      <w:r>
        <w:rPr>
          <w:rFonts w:ascii="Calibri" w:cs="Calibri" w:eastAsia="Calibri" w:hAnsi="Calibri"/>
          <w:color w:val="333A45"/>
          <w:sz w:val="21"/>
          <w:szCs w:val="21"/>
        </w:rPr>
        <w:t xml:space="preserve">11.2 Facts, figures, citations, legal or regulatory statements, and code must be checked against authoritative sources before use.</w:t>
      </w:r>
    </w:p>
    <w:p>
      <w:pPr>
        <w:spacing w:after="110"/>
      </w:pPr>
      <w:r>
        <w:rPr>
          <w:rFonts w:ascii="Calibri" w:cs="Calibri" w:eastAsia="Calibri" w:hAnsi="Calibri"/>
          <w:color w:val="333A45"/>
          <w:sz w:val="21"/>
          <w:szCs w:val="21"/>
        </w:rPr>
        <w:t xml:space="preserve">11.3 The individual who uses AI output is accountable for its accuracy. For customer-facing or decision-bearing output, verification must be recorded.</w:t>
      </w:r>
    </w:p>
    <w:p>
      <w:pPr>
        <w:keepNext/>
        <w:pBdr>
          <w:bottom w:val="single" w:color="9DB9E8" w:sz="4" w:space="3"/>
        </w:pBdr>
        <w:spacing w:after="100" w:before="260"/>
      </w:pPr>
      <w:r>
        <w:rPr>
          <w:rFonts w:ascii="Calibri" w:cs="Calibri" w:eastAsia="Calibri" w:hAnsi="Calibri"/>
          <w:b/>
          <w:bCs/>
          <w:color w:val="2E5AAC"/>
          <w:sz w:val="26"/>
          <w:szCs w:val="26"/>
        </w:rPr>
        <w:t xml:space="preserve">12. Use by role and function</w:t>
      </w:r>
    </w:p>
    <w:p>
      <w:pPr>
        <w:spacing w:after="110"/>
      </w:pPr>
      <w:r>
        <w:rPr>
          <w:rFonts w:ascii="Calibri" w:cs="Calibri" w:eastAsia="Calibri" w:hAnsi="Calibri"/>
          <w:color w:val="333A45"/>
          <w:sz w:val="21"/>
          <w:szCs w:val="21"/>
        </w:rPr>
        <w:t xml:space="preserve">12.1 Rules apply according to how AI is used. In particular:</w:t>
      </w:r>
    </w:p>
    <w:p>
      <w:pPr>
        <w:pStyle w:val="ListParagraph"/>
        <w:numPr>
          <w:ilvl w:val="0"/>
          <w:numId w:val="2"/>
        </w:numPr>
        <w:spacing w:after="70"/>
      </w:pPr>
      <w:r>
        <w:rPr>
          <w:rFonts w:ascii="Calibri" w:cs="Calibri" w:eastAsia="Calibri" w:hAnsi="Calibri"/>
          <w:b/>
          <w:bCs/>
          <w:color w:val="333A45"/>
          <w:sz w:val="21"/>
          <w:szCs w:val="21"/>
        </w:rPr>
        <w:t xml:space="preserve">Developers:</w:t>
      </w:r>
      <w:r>
        <w:rPr>
          <w:rFonts w:ascii="Calibri" w:cs="Calibri" w:eastAsia="Calibri" w:hAnsi="Calibri"/>
          <w:color w:val="333A45"/>
          <w:sz w:val="21"/>
          <w:szCs w:val="21"/>
        </w:rPr>
        <w:t xml:space="preserve"> proprietary or confidential source code must not be entered into AI tools other than those expressly approved for code; AI-generated code must be reviewed before use (Section 13.3).</w:t>
      </w:r>
    </w:p>
    <w:p>
      <w:pPr>
        <w:pStyle w:val="ListParagraph"/>
        <w:numPr>
          <w:ilvl w:val="0"/>
          <w:numId w:val="2"/>
        </w:numPr>
        <w:spacing w:after="70"/>
      </w:pPr>
      <w:r>
        <w:rPr>
          <w:rFonts w:ascii="Calibri" w:cs="Calibri" w:eastAsia="Calibri" w:hAnsi="Calibri"/>
          <w:b/>
          <w:bCs/>
          <w:color w:val="333A45"/>
          <w:sz w:val="21"/>
          <w:szCs w:val="21"/>
        </w:rPr>
        <w:t xml:space="preserve">HR and recruitment:</w:t>
      </w:r>
      <w:r>
        <w:rPr>
          <w:rFonts w:ascii="Calibri" w:cs="Calibri" w:eastAsia="Calibri" w:hAnsi="Calibri"/>
          <w:color w:val="333A45"/>
          <w:sz w:val="21"/>
          <w:szCs w:val="21"/>
        </w:rPr>
        <w:t xml:space="preserve"> AI must not be used to make hiring, performance, or disciplinary decisions about individuals without human review (Section 10). Any tool that scores a candidate's or employee's emotional state is prohibited outright (Section 6.1). Systems used for recruitment or selection, or for decisions on promotion, termination, task allocation, or the monitoring and evaluation of performance and behaviour, are listed in the high-risk category that commences in December 2027 - subject to the narrow statutory derogation, which cannot apply where the system profiles individuals - and must be recorded under Section 4.3.</w:t>
      </w:r>
    </w:p>
    <w:p>
      <w:pPr>
        <w:pStyle w:val="ListParagraph"/>
        <w:numPr>
          <w:ilvl w:val="0"/>
          <w:numId w:val="2"/>
        </w:numPr>
        <w:spacing w:after="70"/>
      </w:pPr>
      <w:r>
        <w:rPr>
          <w:rFonts w:ascii="Calibri" w:cs="Calibri" w:eastAsia="Calibri" w:hAnsi="Calibri"/>
          <w:b/>
          <w:bCs/>
          <w:color w:val="333A45"/>
          <w:sz w:val="21"/>
          <w:szCs w:val="21"/>
        </w:rPr>
        <w:t xml:space="preserve">Security and facilities:</w:t>
      </w:r>
      <w:r>
        <w:rPr>
          <w:rFonts w:ascii="Calibri" w:cs="Calibri" w:eastAsia="Calibri" w:hAnsi="Calibri"/>
          <w:color w:val="333A45"/>
          <w:sz w:val="21"/>
          <w:szCs w:val="21"/>
        </w:rPr>
        <w:t xml:space="preserve"> biometric identification and categorisation, and emotion inference, are prohibited or tightly constrained. No pilot may be run without the policy owner's and data protection lead's approval.</w:t>
      </w:r>
    </w:p>
    <w:p>
      <w:pPr>
        <w:pStyle w:val="ListParagraph"/>
        <w:numPr>
          <w:ilvl w:val="0"/>
          <w:numId w:val="2"/>
        </w:numPr>
        <w:spacing w:after="70"/>
      </w:pPr>
      <w:r>
        <w:rPr>
          <w:rFonts w:ascii="Calibri" w:cs="Calibri" w:eastAsia="Calibri" w:hAnsi="Calibri"/>
          <w:b/>
          <w:bCs/>
          <w:color w:val="333A45"/>
          <w:sz w:val="21"/>
          <w:szCs w:val="21"/>
        </w:rPr>
        <w:t xml:space="preserve">Marketing and communications:</w:t>
      </w:r>
      <w:r>
        <w:rPr>
          <w:rFonts w:ascii="Calibri" w:cs="Calibri" w:eastAsia="Calibri" w:hAnsi="Calibri"/>
          <w:color w:val="333A45"/>
          <w:sz w:val="21"/>
          <w:szCs w:val="21"/>
        </w:rPr>
        <w:t xml:space="preserve"> AI-generated external content must be checked for accuracy, rights, and brand standards, and disclosed where required (Sections 9 and 15).</w:t>
      </w:r>
    </w:p>
    <w:p>
      <w:pPr>
        <w:pStyle w:val="ListParagraph"/>
        <w:numPr>
          <w:ilvl w:val="0"/>
          <w:numId w:val="2"/>
        </w:numPr>
        <w:spacing w:after="70"/>
      </w:pPr>
      <w:r>
        <w:rPr>
          <w:rFonts w:ascii="Calibri" w:cs="Calibri" w:eastAsia="Calibri" w:hAnsi="Calibri"/>
          <w:b/>
          <w:bCs/>
          <w:color w:val="333A45"/>
          <w:sz w:val="21"/>
          <w:szCs w:val="21"/>
        </w:rPr>
        <w:t xml:space="preserve">Customer-facing functions:</w:t>
      </w:r>
      <w:r>
        <w:rPr>
          <w:rFonts w:ascii="Calibri" w:cs="Calibri" w:eastAsia="Calibri" w:hAnsi="Calibri"/>
          <w:color w:val="333A45"/>
          <w:sz w:val="21"/>
          <w:szCs w:val="21"/>
        </w:rPr>
        <w:t xml:space="preserve"> see Section 16.</w:t>
      </w:r>
    </w:p>
    <w:p>
      <w:pPr>
        <w:keepNext/>
        <w:pBdr>
          <w:bottom w:val="single" w:color="9DB9E8" w:sz="4" w:space="3"/>
        </w:pBdr>
        <w:spacing w:after="100" w:before="260"/>
      </w:pPr>
      <w:r>
        <w:rPr>
          <w:rFonts w:ascii="Calibri" w:cs="Calibri" w:eastAsia="Calibri" w:hAnsi="Calibri"/>
          <w:b/>
          <w:bCs/>
          <w:color w:val="2E5AAC"/>
          <w:sz w:val="26"/>
          <w:szCs w:val="26"/>
        </w:rPr>
        <w:t xml:space="preserve">13. Security and confidentiality</w:t>
      </w:r>
    </w:p>
    <w:p>
      <w:pPr>
        <w:spacing w:after="110"/>
      </w:pPr>
      <w:r>
        <w:rPr>
          <w:rFonts w:ascii="Calibri" w:cs="Calibri" w:eastAsia="Calibri" w:hAnsi="Calibri"/>
          <w:color w:val="333A45"/>
          <w:sz w:val="21"/>
          <w:szCs w:val="21"/>
        </w:rPr>
        <w:t xml:space="preserve">13.1 AI tools must be used only through [ORGANISATION]-provisioned accounts. Personal accounts must not be used for [ORGANISATION] work.</w:t>
      </w:r>
    </w:p>
    <w:p>
      <w:pPr>
        <w:spacing w:after="110"/>
      </w:pPr>
      <w:r>
        <w:rPr>
          <w:rFonts w:ascii="Calibri" w:cs="Calibri" w:eastAsia="Calibri" w:hAnsi="Calibri"/>
          <w:color w:val="333A45"/>
          <w:sz w:val="21"/>
          <w:szCs w:val="21"/>
        </w:rPr>
        <w:t xml:space="preserve">13.2 Credentials, secrets, confidential source code, and non-public security information must not be entered into any AI tool other than as expressly approved.</w:t>
      </w:r>
    </w:p>
    <w:p>
      <w:pPr>
        <w:spacing w:after="110"/>
      </w:pPr>
      <w:r>
        <w:rPr>
          <w:rFonts w:ascii="Calibri" w:cs="Calibri" w:eastAsia="Calibri" w:hAnsi="Calibri"/>
          <w:color w:val="333A45"/>
          <w:sz w:val="21"/>
          <w:szCs w:val="21"/>
        </w:rPr>
        <w:t xml:space="preserve">13.3 AI-generated code and commands must be reviewed before execution. AI output derived from external or user-supplied content must be treated as untrusted.</w:t>
      </w:r>
    </w:p>
    <w:p>
      <w:pPr>
        <w:spacing w:after="110"/>
      </w:pPr>
      <w:r>
        <w:rPr>
          <w:rFonts w:ascii="Calibri" w:cs="Calibri" w:eastAsia="Calibri" w:hAnsi="Calibri"/>
          <w:color w:val="333A45"/>
          <w:sz w:val="21"/>
          <w:szCs w:val="21"/>
        </w:rPr>
        <w:t xml:space="preserve">13.4 Technical and organisational measures appropriate to the risk must be in place for any AI processing of personal data, and must be documented.</w:t>
      </w:r>
    </w:p>
    <w:p>
      <w:pPr>
        <w:keepNext/>
        <w:pBdr>
          <w:bottom w:val="single" w:color="9DB9E8" w:sz="4" w:space="3"/>
        </w:pBdr>
        <w:spacing w:after="100" w:before="260"/>
      </w:pPr>
      <w:r>
        <w:rPr>
          <w:rFonts w:ascii="Calibri" w:cs="Calibri" w:eastAsia="Calibri" w:hAnsi="Calibri"/>
          <w:b/>
          <w:bCs/>
          <w:color w:val="2E5AAC"/>
          <w:sz w:val="26"/>
          <w:szCs w:val="26"/>
        </w:rPr>
        <w:t xml:space="preserve">14. Incidents and complaints</w:t>
      </w:r>
    </w:p>
    <w:p>
      <w:pPr>
        <w:spacing w:after="110"/>
      </w:pPr>
      <w:r>
        <w:rPr>
          <w:rFonts w:ascii="Calibri" w:cs="Calibri" w:eastAsia="Calibri" w:hAnsi="Calibri"/>
          <w:color w:val="333A45"/>
          <w:sz w:val="21"/>
          <w:szCs w:val="21"/>
        </w:rPr>
        <w:t xml:space="preserve">Suspected exposure of personal or confidential data to an AI tool, harmful or materially incorrect AI output that has been acted upon, and suspected breaches of this policy must be reported immediately to the policy owner and data protection lead.</w:t>
      </w:r>
    </w:p>
    <w:p>
      <w:pPr>
        <w:spacing w:after="110"/>
      </w:pPr>
      <w:r>
        <w:rPr>
          <w:rFonts w:ascii="Calibri" w:cs="Calibri" w:eastAsia="Calibri" w:hAnsi="Calibri"/>
          <w:color w:val="333A45"/>
          <w:sz w:val="21"/>
          <w:szCs w:val="21"/>
        </w:rPr>
        <w:t xml:space="preserve">A personal data breach must be notified to the supervisory authority without undue delay and, where feasible, not later than </w:t>
      </w:r>
      <w:r>
        <w:rPr>
          <w:rFonts w:ascii="Calibri" w:cs="Calibri" w:eastAsia="Calibri" w:hAnsi="Calibri"/>
          <w:b/>
          <w:bCs/>
          <w:color w:val="333A45"/>
          <w:sz w:val="21"/>
          <w:szCs w:val="21"/>
        </w:rPr>
        <w:t xml:space="preserve">72 hours after [ORGANISATION] becomes aware of it</w:t>
      </w:r>
      <w:r>
        <w:rPr>
          <w:rFonts w:ascii="Calibri" w:cs="Calibri" w:eastAsia="Calibri" w:hAnsi="Calibri"/>
          <w:color w:val="333A45"/>
          <w:sz w:val="21"/>
          <w:szCs w:val="21"/>
        </w:rPr>
        <w:t xml:space="preserve">, unless it is unlikely to result in a risk to individuals. Notification later than that must be accompanied by the reasons for the delay. Where the breach is likely to result in a </w:t>
      </w:r>
      <w:r>
        <w:rPr>
          <w:rFonts w:ascii="Calibri" w:cs="Calibri" w:eastAsia="Calibri" w:hAnsi="Calibri"/>
          <w:b/>
          <w:bCs/>
          <w:color w:val="333A45"/>
          <w:sz w:val="21"/>
          <w:szCs w:val="21"/>
        </w:rPr>
        <w:t xml:space="preserve">high</w:t>
      </w:r>
      <w:r>
        <w:rPr>
          <w:rFonts w:ascii="Calibri" w:cs="Calibri" w:eastAsia="Calibri" w:hAnsi="Calibri"/>
          <w:color w:val="333A45"/>
          <w:sz w:val="21"/>
          <w:szCs w:val="21"/>
        </w:rPr>
        <w:t xml:space="preserve"> risk, the affected individuals must also be informed without undue delay.</w:t>
      </w:r>
    </w:p>
    <w:p>
      <w:pPr>
        <w:spacing w:after="110"/>
      </w:pPr>
      <w:r>
        <w:rPr>
          <w:rFonts w:ascii="Calibri" w:cs="Calibri" w:eastAsia="Calibri" w:hAnsi="Calibri"/>
          <w:b/>
          <w:bCs/>
          <w:color w:val="333A45"/>
          <w:sz w:val="21"/>
          <w:szCs w:val="21"/>
        </w:rPr>
        <w:t xml:space="preserve">The clock runs from awareness, not from the completion of an investigation</w:t>
      </w:r>
      <w:r>
        <w:rPr>
          <w:rFonts w:ascii="Calibri" w:cs="Calibri" w:eastAsia="Calibri" w:hAnsi="Calibri"/>
          <w:color w:val="333A45"/>
          <w:sz w:val="21"/>
          <w:szCs w:val="21"/>
        </w:rPr>
        <w:t xml:space="preserve">, so the internal report under this section must be immediate and is not to be deferred while facts are gathered.</w:t>
      </w:r>
    </w:p>
    <w:p>
      <w:pPr>
        <w:spacing w:after="110"/>
      </w:pPr>
      <w:r>
        <w:rPr>
          <w:rFonts w:ascii="Calibri" w:cs="Calibri" w:eastAsia="Calibri" w:hAnsi="Calibri"/>
          <w:color w:val="333A45"/>
          <w:sz w:val="21"/>
          <w:szCs w:val="21"/>
        </w:rPr>
        <w:t xml:space="preserve">Individuals may complain to [ORGANISATION] and, independently, to a supervisory authority. [ORGANISATION] provides an accessible means of complaint and informs the complainant of the outcome. [DPO / privacy lead] owns this process.</w:t>
      </w:r>
    </w:p>
    <w:p>
      <w:pPr>
        <w:keepNext/>
        <w:pBdr>
          <w:bottom w:val="single" w:color="9DB9E8" w:sz="4" w:space="3"/>
        </w:pBdr>
        <w:spacing w:after="100" w:before="260"/>
      </w:pPr>
      <w:r>
        <w:rPr>
          <w:rFonts w:ascii="Calibri" w:cs="Calibri" w:eastAsia="Calibri" w:hAnsi="Calibri"/>
          <w:b/>
          <w:bCs/>
          <w:color w:val="2E5AAC"/>
          <w:sz w:val="26"/>
          <w:szCs w:val="26"/>
        </w:rPr>
        <w:t xml:space="preserve">15. Intellectual property, transparency, and record-keeping</w:t>
      </w:r>
    </w:p>
    <w:p>
      <w:pPr>
        <w:spacing w:after="110"/>
      </w:pPr>
      <w:r>
        <w:rPr>
          <w:rFonts w:ascii="Calibri" w:cs="Calibri" w:eastAsia="Calibri" w:hAnsi="Calibri"/>
          <w:color w:val="333A45"/>
          <w:sz w:val="21"/>
          <w:szCs w:val="21"/>
        </w:rPr>
        <w:t xml:space="preserve">15.1 Third-party confidential or licensed material must not be entered into an AI tool without authorisation. Ownership and licensing of AI-generated content must be confirmed before commercial use, and copyright and trade marks must not be infringed.</w:t>
      </w:r>
    </w:p>
    <w:p>
      <w:pPr>
        <w:spacing w:after="110"/>
      </w:pPr>
      <w:r>
        <w:rPr>
          <w:rFonts w:ascii="Calibri" w:cs="Calibri" w:eastAsia="Calibri" w:hAnsi="Calibri"/>
          <w:color w:val="333A45"/>
          <w:sz w:val="21"/>
          <w:szCs w:val="21"/>
        </w:rPr>
        <w:t xml:space="preserve">15.2 Where AI has materially produced content presented as [ORGANISATION]'s work to customers, regulators, or the public, its use must be disclosed where required by Section 9 or where non-disclosure would mislead.</w:t>
      </w:r>
    </w:p>
    <w:p>
      <w:pPr>
        <w:spacing w:after="110"/>
      </w:pPr>
      <w:r>
        <w:rPr>
          <w:rFonts w:ascii="Calibri" w:cs="Calibri" w:eastAsia="Calibri" w:hAnsi="Calibri"/>
          <w:color w:val="333A45"/>
          <w:sz w:val="21"/>
          <w:szCs w:val="21"/>
        </w:rPr>
        <w:t xml:space="preserve">15.3 Records of approved AI uses, lawful bases relied on, impact assessments, processing agreements, transfer bases, high-risk readiness plans, and verification of decision-bearing output must be retained in accordance with [ORGANISATION]'s retention schedule.</w:t>
      </w:r>
    </w:p>
    <w:p>
      <w:pPr>
        <w:keepNext/>
        <w:pBdr>
          <w:bottom w:val="single" w:color="9DB9E8" w:sz="4" w:space="3"/>
        </w:pBdr>
        <w:spacing w:after="100" w:before="260"/>
      </w:pPr>
      <w:r>
        <w:rPr>
          <w:rFonts w:ascii="Calibri" w:cs="Calibri" w:eastAsia="Calibri" w:hAnsi="Calibri"/>
          <w:b/>
          <w:bCs/>
          <w:color w:val="2E5AAC"/>
          <w:sz w:val="26"/>
          <w:szCs w:val="26"/>
        </w:rPr>
        <w:t xml:space="preserve">16. Customer-facing AI</w:t>
      </w:r>
    </w:p>
    <w:p>
      <w:pPr>
        <w:spacing w:after="110"/>
      </w:pPr>
      <w:r>
        <w:rPr>
          <w:rFonts w:ascii="Calibri" w:cs="Calibri" w:eastAsia="Calibri" w:hAnsi="Calibri"/>
          <w:color w:val="333A45"/>
          <w:sz w:val="21"/>
          <w:szCs w:val="21"/>
        </w:rPr>
        <w:t xml:space="preserve">16.1 Where AI interacts directly with customers, the customer must be informed they are interacting with an AI system (Section 9.1), be able to reach a human where appropriate, and receive output that meets [ORGANISATION]'s accuracy and fairness standards.</w:t>
      </w:r>
    </w:p>
    <w:p>
      <w:pPr>
        <w:spacing w:after="110"/>
      </w:pPr>
      <w:r>
        <w:rPr>
          <w:rFonts w:ascii="Calibri" w:cs="Calibri" w:eastAsia="Calibri" w:hAnsi="Calibri"/>
          <w:color w:val="333A45"/>
          <w:sz w:val="21"/>
          <w:szCs w:val="21"/>
        </w:rPr>
        <w:t xml:space="preserve">16.2 Individuals must be given the information the law requires at the point their personal data is obtained, including the identity of the controller, the purposes and legal basis, the recipients, retention, their rights, and - where automated decision-making of the kind in Section 10.3 is used - meaningful information about the logic involved and the significance and envisaged consequences.</w:t>
      </w:r>
    </w:p>
    <w:p>
      <w:pPr>
        <w:keepNext/>
        <w:pBdr>
          <w:bottom w:val="single" w:color="9DB9E8" w:sz="4" w:space="3"/>
        </w:pBdr>
        <w:spacing w:after="100" w:before="260"/>
      </w:pPr>
      <w:r>
        <w:rPr>
          <w:rFonts w:ascii="Calibri" w:cs="Calibri" w:eastAsia="Calibri" w:hAnsi="Calibri"/>
          <w:b/>
          <w:bCs/>
          <w:color w:val="2E5AAC"/>
          <w:sz w:val="26"/>
          <w:szCs w:val="26"/>
        </w:rPr>
        <w:t xml:space="preserve">17. Fairness and non-discrimination</w:t>
      </w:r>
    </w:p>
    <w:p>
      <w:pPr>
        <w:spacing w:after="110"/>
      </w:pPr>
      <w:r>
        <w:rPr>
          <w:rFonts w:ascii="Calibri" w:cs="Calibri" w:eastAsia="Calibri" w:hAnsi="Calibri"/>
          <w:color w:val="333A45"/>
          <w:sz w:val="21"/>
          <w:szCs w:val="21"/>
        </w:rPr>
        <w:t xml:space="preserve">17.1 AI use affecting individuals must not produce discriminatory outcomes. Where AI informs such decisions, outputs must be checked for bias and a person remains accountable for fairness. Suspected biased behaviour must be reported to the policy owner.</w:t>
      </w:r>
    </w:p>
    <w:p>
      <w:pPr>
        <w:keepNext/>
        <w:pBdr>
          <w:bottom w:val="single" w:color="9DB9E8" w:sz="4" w:space="3"/>
        </w:pBdr>
        <w:spacing w:after="100" w:before="260"/>
      </w:pPr>
      <w:r>
        <w:rPr>
          <w:rFonts w:ascii="Calibri" w:cs="Calibri" w:eastAsia="Calibri" w:hAnsi="Calibri"/>
          <w:b/>
          <w:bCs/>
          <w:color w:val="2E5AAC"/>
          <w:sz w:val="26"/>
          <w:szCs w:val="26"/>
        </w:rPr>
        <w:t xml:space="preserve">18. Monitoring</w:t>
      </w:r>
    </w:p>
    <w:p>
      <w:pPr>
        <w:spacing w:after="110"/>
      </w:pPr>
      <w:r>
        <w:rPr>
          <w:rFonts w:ascii="Calibri" w:cs="Calibri" w:eastAsia="Calibri" w:hAnsi="Calibri"/>
          <w:color w:val="333A45"/>
          <w:sz w:val="21"/>
          <w:szCs w:val="21"/>
        </w:rPr>
        <w:t xml:space="preserve">[ORGANISATION] monitors AI use on its managed devices and networks, including the tools accessed, the discovery of unsanctioned tools, and records of policy breaches. Monitoring is proportionate, has a recorded lawful basis, and is notified to staff. </w:t>
      </w:r>
      <w:r>
        <w:rPr>
          <w:rFonts w:ascii="Calibri" w:cs="Calibri" w:eastAsia="Calibri" w:hAnsi="Calibri"/>
          <w:b/>
          <w:bCs/>
          <w:color w:val="333A45"/>
          <w:sz w:val="21"/>
          <w:szCs w:val="21"/>
        </w:rPr>
        <w:t xml:space="preserve">Monitoring must not extend to inferring employees' emotions</w:t>
      </w:r>
      <w:r>
        <w:rPr>
          <w:rFonts w:ascii="Calibri" w:cs="Calibri" w:eastAsia="Calibri" w:hAnsi="Calibri"/>
          <w:color w:val="333A45"/>
          <w:sz w:val="21"/>
          <w:szCs w:val="21"/>
        </w:rPr>
        <w:t xml:space="preserve">, which is prohibited (Section 6.1).</w:t>
      </w:r>
    </w:p>
    <w:p>
      <w:pPr>
        <w:keepNext/>
        <w:pBdr>
          <w:bottom w:val="single" w:color="9DB9E8" w:sz="4" w:space="3"/>
        </w:pBdr>
        <w:spacing w:after="100" w:before="260"/>
      </w:pPr>
      <w:r>
        <w:rPr>
          <w:rFonts w:ascii="Calibri" w:cs="Calibri" w:eastAsia="Calibri" w:hAnsi="Calibri"/>
          <w:b/>
          <w:bCs/>
          <w:color w:val="2E5AAC"/>
          <w:sz w:val="26"/>
          <w:szCs w:val="26"/>
        </w:rPr>
        <w:t xml:space="preserve">19. Responsibilities</w:t>
      </w:r>
    </w:p>
    <w:p>
      <w:pPr>
        <w:pStyle w:val="ListParagraph"/>
        <w:numPr>
          <w:ilvl w:val="0"/>
          <w:numId w:val="2"/>
        </w:numPr>
        <w:spacing w:after="70"/>
      </w:pPr>
      <w:r>
        <w:rPr>
          <w:rFonts w:ascii="Calibri" w:cs="Calibri" w:eastAsia="Calibri" w:hAnsi="Calibri"/>
          <w:color w:val="333A45"/>
          <w:sz w:val="21"/>
          <w:szCs w:val="21"/>
        </w:rPr>
        <w:t xml:space="preserve">All staff must comply with this policy, classify their use, verify output, and report incidents.</w:t>
      </w:r>
    </w:p>
    <w:p>
      <w:pPr>
        <w:pStyle w:val="ListParagraph"/>
        <w:numPr>
          <w:ilvl w:val="0"/>
          <w:numId w:val="2"/>
        </w:numPr>
        <w:spacing w:after="70"/>
      </w:pPr>
      <w:r>
        <w:rPr>
          <w:rFonts w:ascii="Calibri" w:cs="Calibri" w:eastAsia="Calibri" w:hAnsi="Calibri"/>
          <w:color w:val="333A45"/>
          <w:sz w:val="21"/>
          <w:szCs w:val="21"/>
        </w:rPr>
        <w:t xml:space="preserve">Managers are responsible for compliance within their teams.</w:t>
      </w:r>
    </w:p>
    <w:p>
      <w:pPr>
        <w:pStyle w:val="ListParagraph"/>
        <w:numPr>
          <w:ilvl w:val="0"/>
          <w:numId w:val="2"/>
        </w:numPr>
        <w:spacing w:after="70"/>
      </w:pPr>
      <w:r>
        <w:rPr>
          <w:rFonts w:ascii="Calibri" w:cs="Calibri" w:eastAsia="Calibri" w:hAnsi="Calibri"/>
          <w:color w:val="333A45"/>
          <w:sz w:val="21"/>
          <w:szCs w:val="21"/>
        </w:rPr>
        <w:t xml:space="preserve">The policy owner maintains this policy, the Approved AI Tools list, and security requirements.</w:t>
      </w:r>
    </w:p>
    <w:p>
      <w:pPr>
        <w:pStyle w:val="ListParagraph"/>
        <w:numPr>
          <w:ilvl w:val="0"/>
          <w:numId w:val="2"/>
        </w:numPr>
        <w:spacing w:after="70"/>
      </w:pPr>
      <w:r>
        <w:rPr>
          <w:rFonts w:ascii="Calibri" w:cs="Calibri" w:eastAsia="Calibri" w:hAnsi="Calibri"/>
          <w:color w:val="333A45"/>
          <w:sz w:val="21"/>
          <w:szCs w:val="21"/>
        </w:rPr>
        <w:t xml:space="preserve">The data protection lead is responsible for data protection sign-off, impact assessments, transfer bases, complaints handling, and liaison with the supervisory authority.</w:t>
      </w:r>
    </w:p>
    <w:p>
      <w:pPr>
        <w:pStyle w:val="ListParagraph"/>
        <w:numPr>
          <w:ilvl w:val="0"/>
          <w:numId w:val="2"/>
        </w:numPr>
        <w:spacing w:after="70"/>
      </w:pPr>
      <w:r>
        <w:rPr>
          <w:rFonts w:ascii="Calibri" w:cs="Calibri" w:eastAsia="Calibri" w:hAnsi="Calibri"/>
          <w:color w:val="333A45"/>
          <w:sz w:val="21"/>
          <w:szCs w:val="21"/>
        </w:rPr>
        <w:t xml:space="preserve">The owner named under Section 4.3 is responsible for high-risk readiness on each system recorded on that track.</w:t>
      </w:r>
    </w:p>
    <w:p>
      <w:pPr>
        <w:keepNext/>
        <w:pBdr>
          <w:bottom w:val="single" w:color="9DB9E8" w:sz="4" w:space="3"/>
        </w:pBdr>
        <w:spacing w:after="100" w:before="260"/>
      </w:pPr>
      <w:r>
        <w:rPr>
          <w:rFonts w:ascii="Calibri" w:cs="Calibri" w:eastAsia="Calibri" w:hAnsi="Calibri"/>
          <w:b/>
          <w:bCs/>
          <w:color w:val="2E5AAC"/>
          <w:sz w:val="26"/>
          <w:szCs w:val="26"/>
        </w:rPr>
        <w:t xml:space="preserve">20. Knowledge, skills and acknowledgement</w:t>
      </w:r>
    </w:p>
    <w:p>
      <w:pPr>
        <w:spacing w:after="110"/>
      </w:pPr>
      <w:r>
        <w:rPr>
          <w:rFonts w:ascii="Calibri" w:cs="Calibri" w:eastAsia="Calibri" w:hAnsi="Calibri"/>
          <w:color w:val="333A45"/>
          <w:sz w:val="21"/>
          <w:szCs w:val="21"/>
        </w:rPr>
        <w:t xml:space="preserve">20.1 Staff dealing with the operation and use of AI systems on [ORGANISATION]'s behalf must have a sufficient level of AI knowledge and skills for their role, taking account of their technical knowledge, experience, education and training, the context of use, and the persons on whom the systems are used. This is a legal duty on [ORGANISATION] as a deployer, in force since February 2025. It does not require any individual to reach a specified level.</w:t>
      </w:r>
    </w:p>
    <w:p>
      <w:pPr>
        <w:spacing w:after="110"/>
      </w:pPr>
      <w:r>
        <w:rPr>
          <w:rFonts w:ascii="Calibri" w:cs="Calibri" w:eastAsia="Calibri" w:hAnsi="Calibri"/>
          <w:color w:val="333A45"/>
          <w:sz w:val="21"/>
          <w:szCs w:val="21"/>
        </w:rPr>
        <w:t xml:space="preserve">20.2 Staff must complete AI-use training before using AI tools for [ORGANISATION] work, and on material change to this policy.</w:t>
      </w:r>
    </w:p>
    <w:p>
      <w:pPr>
        <w:spacing w:after="110"/>
      </w:pPr>
      <w:r>
        <w:rPr>
          <w:rFonts w:ascii="Calibri" w:cs="Calibri" w:eastAsia="Calibri" w:hAnsi="Calibri"/>
          <w:color w:val="333A45"/>
          <w:sz w:val="21"/>
          <w:szCs w:val="21"/>
        </w:rPr>
        <w:t xml:space="preserve">I acknowledge that I have read, understood, and agree to comply with this policy.</w:t>
      </w:r>
    </w:p>
    <w:p>
      <w:pPr>
        <w:spacing w:after="110"/>
      </w:pPr>
      <w:r>
        <w:rPr>
          <w:rFonts w:ascii="Calibri" w:cs="Calibri" w:eastAsia="Calibri" w:hAnsi="Calibri"/>
          <w:color w:val="333A45"/>
          <w:sz w:val="21"/>
          <w:szCs w:val="21"/>
        </w:rPr>
        <w:t xml:space="preserve">Name: __________________  Signature: __________________  Date: __________</w:t>
      </w:r>
    </w:p>
    <w:p>
      <w:pPr>
        <w:spacing w:after="110"/>
      </w:pPr>
      <w:r>
        <w:rPr>
          <w:rFonts w:ascii="Calibri" w:cs="Calibri" w:eastAsia="Calibri" w:hAnsi="Calibri"/>
          <w:b/>
          <w:bCs/>
          <w:color w:val="333A45"/>
          <w:sz w:val="21"/>
          <w:szCs w:val="21"/>
        </w:rPr>
        <w:t xml:space="preserve">Version history:</w:t>
      </w:r>
      <w:r>
        <w:rPr>
          <w:rFonts w:ascii="Calibri" w:cs="Calibri" w:eastAsia="Calibri" w:hAnsi="Calibri"/>
          <w:color w:val="333A45"/>
          <w:sz w:val="21"/>
          <w:szCs w:val="21"/>
        </w:rPr>
        <w:t xml:space="preserve"> 1.0 - initial policy.</w:t>
      </w:r>
    </w:p>
    <w:p>
      <w:pPr>
        <w:spacing w:after="110"/>
      </w:pPr>
      <w:r>
        <w:rPr>
          <w:rFonts w:ascii="Calibri" w:cs="Calibri" w:eastAsia="Calibri" w:hAnsi="Calibri"/>
          <w:i/>
          <w:iCs/>
          <w:color w:val="5A6472"/>
          <w:sz w:val="19"/>
          <w:szCs w:val="19"/>
        </w:rPr>
        <w:t xml:space="preserve">This document is a policy template and does not constitute legal advice. The requirements reflect obligations under Union data protection and artificial intelligence law as consolidated at the date of the research note accompanying it, and must be verified against primary sources and reviewed by the data protection lead or qualified legal counsel before adoption.</w:t>
      </w:r>
    </w:p>
    <w:sectPr>
      <w:footerReference w:type="default" r:id="rId7"/>
      <w:pgSz w:w="11906" w:h="16838" w:orient="portrait"/>
      <w:pgMar w:top="1240" w:right="1300" w:bottom="12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DB9E8" w:sz="4" w:space="4"/>
      </w:pBdr>
      <w:jc w:val="center"/>
    </w:pPr>
    <w:r>
      <w:rPr>
        <w:rFonts w:ascii="Calibri" w:cs="Calibri" w:eastAsia="Calibri" w:hAnsi="Calibri"/>
        <w:color w:val="5A6472"/>
        <w:sz w:val="16"/>
        <w:szCs w:val="16"/>
      </w:rPr>
      <w:t xml:space="preserve">AI Acceptable Use Policy (EU) - v1.0 - Internal   |   Page </w:t>
    </w:r>
    <w:r>
      <w:rPr>
        <w:rFonts w:ascii="Calibri" w:cs="Calibri" w:eastAsia="Calibri" w:hAnsi="Calibri"/>
        <w:color w:val="5A6472"/>
        <w:sz w:val="16"/>
        <w:szCs w:val="16"/>
      </w:rPr>
      <w:fldChar w:fldCharType="begin"/>
      <w:instrText xml:space="preserve">PAGE</w:instrText>
      <w:fldChar w:fldCharType="separate"/>
      <w:fldChar w:fldCharType="end"/>
    </w:r>
    <w:r>
      <w:rPr>
        <w:rFonts w:ascii="Calibri" w:cs="Calibri" w:eastAsia="Calibri" w:hAnsi="Calibri"/>
        <w:color w:val="5A6472"/>
        <w:sz w:val="16"/>
        <w:szCs w:val="16"/>
      </w:rPr>
      <w:t xml:space="preserve"> of </w:t>
    </w:r>
    <w:r>
      <w:rPr>
        <w:rFonts w:ascii="Calibri" w:cs="Calibri" w:eastAsia="Calibri" w:hAnsi="Calibri"/>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rPr>
        <w:color w:val="2E5AA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A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Acceptable Use Policy - European Union</dc:title>
  <dc:creator>Narendra Karki</dc:creator>
  <cp:lastModifiedBy>Narendra Karki</cp:lastModifiedBy>
  <cp:revision>1</cp:revision>
  <dcterms:created xsi:type="dcterms:W3CDTF">2026-08-31T05:57:45.770Z</dcterms:created>
  <dcterms:modified xsi:type="dcterms:W3CDTF">2026-08-31T05:57:45.770Z</dcterms:modified>
</cp:coreProperties>
</file>

<file path=docProps/custom.xml><?xml version="1.0" encoding="utf-8"?>
<Properties xmlns="http://schemas.openxmlformats.org/officeDocument/2006/custom-properties" xmlns:vt="http://schemas.openxmlformats.org/officeDocument/2006/docPropsVTypes"/>
</file>