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Research note - EU AI Acceptable Use Policy (v1.0) and Enterprise Annex (v1.0)</w:t>
      </w:r>
    </w:p>
    <w:p>
      <w:pPr>
        <w:spacing w:after="110"/>
      </w:pPr>
      <w:r>
        <w:rPr>
          <w:rFonts w:ascii="Calibri" w:cs="Calibri" w:eastAsia="Calibri" w:hAnsi="Calibri"/>
          <w:color w:val="333A45"/>
          <w:sz w:val="21"/>
          <w:szCs w:val="21"/>
        </w:rPr>
        <w:t xml:space="preserve">Purpose: records the primary-source verification behind each obligation, per the project rule that article numbers live in the research record, not the artifact body. Educational, not legal advice.</w:t>
      </w:r>
    </w:p>
    <w:p>
      <w:pPr>
        <w:keepNext/>
        <w:pBdr>
          <w:bottom w:val="single" w:color="9DB9E8" w:sz="4" w:space="3"/>
        </w:pBdr>
        <w:spacing w:after="100" w:before="260"/>
      </w:pPr>
      <w:r>
        <w:rPr>
          <w:rFonts w:ascii="Calibri" w:cs="Calibri" w:eastAsia="Calibri" w:hAnsi="Calibri"/>
          <w:b/>
          <w:bCs/>
          <w:color w:val="2E5AAC"/>
          <w:sz w:val="26"/>
          <w:szCs w:val="26"/>
        </w:rPr>
        <w:t xml:space="preserve">Sources verified</w:t>
      </w:r>
    </w:p>
    <w:p>
      <w:pPr>
        <w:spacing w:after="110"/>
      </w:pPr>
      <w:r>
        <w:rPr>
          <w:rFonts w:ascii="Calibri" w:cs="Calibri" w:eastAsia="Calibri" w:hAnsi="Calibri"/>
          <w:color w:val="333A45"/>
          <w:sz w:val="21"/>
          <w:szCs w:val="21"/>
        </w:rPr>
        <w:t xml:space="preserve">All citations below were read in the primary text. Verification date: </w:t>
      </w:r>
      <w:r>
        <w:rPr>
          <w:rFonts w:ascii="Calibri" w:cs="Calibri" w:eastAsia="Calibri" w:hAnsi="Calibri"/>
          <w:b/>
          <w:bCs/>
          <w:color w:val="333A45"/>
          <w:sz w:val="21"/>
          <w:szCs w:val="21"/>
        </w:rPr>
        <w:t xml:space="preserve">30 August 2026</w:t>
      </w:r>
      <w:r>
        <w:rPr>
          <w:rFonts w:ascii="Calibri" w:cs="Calibri" w:eastAsia="Calibri" w:hAnsi="Calibri"/>
          <w:color w:val="333A45"/>
          <w:sz w:val="21"/>
          <w:szCs w:val="21"/>
        </w:rPr>
        <w:t xml:space="preserv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2250"/>
        <w:gridCol w:w="2250"/>
        <w:gridCol w:w="2250"/>
        <w:gridCol w:w="2250"/>
      </w:tblGrid>
      <w:tr>
        <w:trPr>
          <w:tblHeader/>
        </w:trPr>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 used</w:t>
            </w:r>
          </w:p>
        </w:tc>
        <w:tc>
          <w:tcPr>
            <w:tcW w:type="dxa" w:w="225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2016/679</w:t>
            </w:r>
            <w:r>
              <w:rPr>
                <w:rFonts w:ascii="Calibri" w:cs="Calibri" w:eastAsia="Calibri" w:hAnsi="Calibri"/>
                <w:color w:val="333A45"/>
                <w:sz w:val="19"/>
                <w:szCs w:val="19"/>
              </w:rPr>
              <w:t xml:space="preserve"> (GDPR)</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OJ L 119, 4.5.2016, pp. 1-88</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 force</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2024/1689</w:t>
            </w:r>
            <w:r>
              <w:rPr>
                <w:rFonts w:ascii="Calibri" w:cs="Calibri" w:eastAsia="Calibri" w:hAnsi="Calibri"/>
                <w:color w:val="333A45"/>
                <w:sz w:val="19"/>
                <w:szCs w:val="19"/>
              </w:rPr>
              <w:t xml:space="preserve"> (AI Act)</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OJ L, 2024/1689, 12.7.2024 - as adopted</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 force, </w:t>
            </w:r>
            <w:r>
              <w:rPr>
                <w:rFonts w:ascii="Calibri" w:cs="Calibri" w:eastAsia="Calibri" w:hAnsi="Calibri"/>
                <w:b/>
                <w:bCs/>
                <w:color w:val="333A45"/>
                <w:sz w:val="19"/>
                <w:szCs w:val="19"/>
              </w:rPr>
              <w:t xml:space="preserve">amended</w:t>
            </w:r>
          </w:p>
        </w:tc>
      </w:tr>
      <w:tr>
        <w:trPr>
          <w:tblHeader w:val="false"/>
        </w:trPr>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3</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2024/1689 consolidated</w:t>
            </w:r>
          </w:p>
        </w:tc>
        <w:tc>
          <w:tcPr>
            <w:tcW w:type="dxa" w:w="225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02024R1689-20260727, ELI reg/2024/1689/2026-07-27</w:t>
            </w:r>
          </w:p>
        </w:tc>
        <w:tc>
          <w:tcPr>
            <w:tcW w:type="dxa" w:w="225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operative text.</w:t>
            </w:r>
            <w:r>
              <w:rPr>
                <w:rFonts w:ascii="Calibri" w:cs="Calibri" w:eastAsia="Calibri" w:hAnsi="Calibri"/>
                <w:color w:val="333A45"/>
                <w:sz w:val="19"/>
                <w:szCs w:val="19"/>
              </w:rPr>
              <w:t xml:space="preserve"> Incorporates amendment M1</w:t>
            </w:r>
          </w:p>
        </w:tc>
      </w:tr>
      <w:tr>
        <w:trPr>
          <w:tblHeader w:val="false"/>
        </w:trPr>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4</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Regulation (EU) 2026/1744</w:t>
            </w:r>
            <w:r>
              <w:rPr>
                <w:rFonts w:ascii="Calibri" w:cs="Calibri" w:eastAsia="Calibri" w:hAnsi="Calibri"/>
                <w:color w:val="333A45"/>
                <w:sz w:val="19"/>
                <w:szCs w:val="19"/>
              </w:rPr>
              <w:t xml:space="preserve"> (Digital Omnibus on AI)</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OJ L, 2026/1744, 24.7.2026, of 8 July 2026</w:t>
            </w:r>
          </w:p>
        </w:tc>
        <w:tc>
          <w:tcPr>
            <w:tcW w:type="dxa" w:w="225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In force.</w:t>
            </w:r>
            <w:r>
              <w:rPr>
                <w:rFonts w:ascii="Calibri" w:cs="Calibri" w:eastAsia="Calibri" w:hAnsi="Calibri"/>
                <w:color w:val="333A45"/>
                <w:sz w:val="19"/>
                <w:szCs w:val="19"/>
              </w:rPr>
              <w:t xml:space="preserve"> The M1 amendment</w:t>
            </w:r>
          </w:p>
        </w:tc>
      </w:tr>
    </w:tbl>
    <w:p>
      <w:pPr>
        <w:spacing w:after="120"/>
      </w:pPr>
    </w:p>
    <w:p>
      <w:pPr>
        <w:spacing w:after="110"/>
      </w:pPr>
      <w:r>
        <w:rPr>
          <w:rFonts w:ascii="Calibri" w:cs="Calibri" w:eastAsia="Calibri" w:hAnsi="Calibri"/>
          <w:b/>
          <w:bCs/>
          <w:color w:val="333A45"/>
          <w:sz w:val="21"/>
          <w:szCs w:val="21"/>
        </w:rPr>
        <w:t xml:space="preserve">Regulation (EU) 2026/1744 was adopted and published.</w:t>
      </w:r>
      <w:r>
        <w:rPr>
          <w:rFonts w:ascii="Calibri" w:cs="Calibri" w:eastAsia="Calibri" w:hAnsi="Calibri"/>
          <w:color w:val="333A45"/>
          <w:sz w:val="21"/>
          <w:szCs w:val="21"/>
        </w:rPr>
        <w:t xml:space="preserve"> The consolidated AI Act marks its changes as ▼M1. Every AI Act citation below is taken from the </w:t>
      </w:r>
      <w:r>
        <w:rPr>
          <w:rFonts w:ascii="Calibri" w:cs="Calibri" w:eastAsia="Calibri" w:hAnsi="Calibri"/>
          <w:b/>
          <w:bCs/>
          <w:color w:val="333A45"/>
          <w:sz w:val="21"/>
          <w:szCs w:val="21"/>
        </w:rPr>
        <w:t xml:space="preserve">consolidated</w:t>
      </w:r>
      <w:r>
        <w:rPr>
          <w:rFonts w:ascii="Calibri" w:cs="Calibri" w:eastAsia="Calibri" w:hAnsi="Calibri"/>
          <w:color w:val="333A45"/>
          <w:sz w:val="21"/>
          <w:szCs w:val="21"/>
        </w:rPr>
        <w:t xml:space="preserve"> text, not the 2024 original, and the original is retained only to show what changed.</w:t>
      </w:r>
    </w:p>
    <w:p>
      <w:pPr>
        <w:spacing w:after="110"/>
      </w:pPr>
      <w:r>
        <w:rPr>
          <w:rFonts w:ascii="Calibri" w:cs="Calibri" w:eastAsia="Calibri" w:hAnsi="Calibri"/>
          <w:b/>
          <w:bCs/>
          <w:color w:val="333A45"/>
          <w:sz w:val="21"/>
          <w:szCs w:val="21"/>
        </w:rPr>
        <w:t xml:space="preserve">Nothing in these documents rests on web content.</w:t>
      </w:r>
      <w:r>
        <w:rPr>
          <w:rFonts w:ascii="Calibri" w:cs="Calibri" w:eastAsia="Calibri" w:hAnsi="Calibri"/>
          <w:color w:val="333A45"/>
          <w:sz w:val="21"/>
          <w:szCs w:val="21"/>
        </w:rPr>
        <w:t xml:space="preserve"> A Commission overview page on the AI Act was supplied alongside the primary texts; it is </w:t>
      </w:r>
      <w:r>
        <w:rPr>
          <w:rFonts w:ascii="Calibri" w:cs="Calibri" w:eastAsia="Calibri" w:hAnsi="Calibri"/>
          <w:b/>
          <w:bCs/>
          <w:color w:val="333A45"/>
          <w:sz w:val="21"/>
          <w:szCs w:val="21"/>
        </w:rPr>
        <w:t xml:space="preserve">not cited anywhere</w:t>
      </w:r>
      <w:r>
        <w:rPr>
          <w:rFonts w:ascii="Calibri" w:cs="Calibri" w:eastAsia="Calibri" w:hAnsi="Calibri"/>
          <w:color w:val="333A45"/>
          <w:sz w:val="21"/>
          <w:szCs w:val="21"/>
        </w:rPr>
        <w:t xml:space="preserve"> and was used only to confirm which instruments to read.</w:t>
      </w:r>
    </w:p>
    <w:p>
      <w:pPr>
        <w:keepNext/>
        <w:spacing w:after="80" w:before="200"/>
      </w:pPr>
      <w:r>
        <w:rPr>
          <w:rFonts w:ascii="Calibri" w:cs="Calibri" w:eastAsia="Calibri" w:hAnsi="Calibri"/>
          <w:b/>
          <w:bCs/>
          <w:color w:val="1F3864"/>
          <w:sz w:val="22"/>
          <w:szCs w:val="22"/>
        </w:rPr>
        <w:t xml:space="preserve">NOT HELD - and therefore not asserted</w:t>
      </w:r>
    </w:p>
    <w:p>
      <w:pPr>
        <w:spacing w:after="110"/>
      </w:pPr>
      <w:r>
        <w:rPr>
          <w:rFonts w:ascii="Calibri" w:cs="Calibri" w:eastAsia="Calibri" w:hAnsi="Calibri"/>
          <w:b/>
          <w:bCs/>
          <w:color w:val="333A45"/>
          <w:sz w:val="21"/>
          <w:szCs w:val="21"/>
        </w:rPr>
        <w:t xml:space="preserve">Regulation (EU) 2022/2554 (DORA) is not among the sources.</w:t>
      </w:r>
      <w:r>
        <w:rPr>
          <w:rFonts w:ascii="Calibri" w:cs="Calibri" w:eastAsia="Calibri" w:hAnsi="Calibri"/>
          <w:color w:val="333A45"/>
          <w:sz w:val="21"/>
          <w:szCs w:val="21"/>
        </w:rPr>
        <w:t xml:space="preserve"> It was requested but no copy was supplied. Nothing about digital operational resilience is asserted in these documents. Annex A11.2 is a pointer that says so explicitly and defers to a separate annex that cannot yet be written. See "What is needed to complete the set" below.</w:t>
      </w:r>
    </w:p>
    <w:p>
      <w:pPr>
        <w:keepNext/>
        <w:pBdr>
          <w:bottom w:val="single" w:color="9DB9E8" w:sz="4" w:space="3"/>
        </w:pBdr>
        <w:spacing w:after="100" w:before="260"/>
      </w:pPr>
      <w:r>
        <w:rPr>
          <w:rFonts w:ascii="Calibri" w:cs="Calibri" w:eastAsia="Calibri" w:hAnsi="Calibri"/>
          <w:b/>
          <w:bCs/>
          <w:color w:val="2E5AAC"/>
          <w:sz w:val="26"/>
          <w:szCs w:val="26"/>
        </w:rPr>
        <w:t xml:space="preserve">The commencement position - the central finding</w:t>
      </w:r>
    </w:p>
    <w:p>
      <w:pPr>
        <w:spacing w:after="110"/>
      </w:pPr>
      <w:r>
        <w:rPr>
          <w:rFonts w:ascii="Calibri" w:cs="Calibri" w:eastAsia="Calibri" w:hAnsi="Calibri"/>
          <w:color w:val="333A45"/>
          <w:sz w:val="21"/>
          <w:szCs w:val="21"/>
        </w:rPr>
        <w:t xml:space="preserve">The single most consequential fact for an EU AI policy written today is </w:t>
      </w:r>
      <w:r>
        <w:rPr>
          <w:rFonts w:ascii="Calibri" w:cs="Calibri" w:eastAsia="Calibri" w:hAnsi="Calibri"/>
          <w:b/>
          <w:bCs/>
          <w:color w:val="333A45"/>
          <w:sz w:val="21"/>
          <w:szCs w:val="21"/>
        </w:rPr>
        <w:t xml:space="preserve">which obligations are in force</w:t>
      </w:r>
      <w:r>
        <w:rPr>
          <w:rFonts w:ascii="Calibri" w:cs="Calibri" w:eastAsia="Calibri" w:hAnsi="Calibri"/>
          <w:color w:val="333A45"/>
          <w:sz w:val="21"/>
          <w:szCs w:val="21"/>
        </w:rPr>
        <w:t xml:space="preserve">. Verified against Article 113 of the consolidated text as amended: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700"/>
        <w:gridCol w:w="1400"/>
        <w:gridCol w:w="3900"/>
      </w:tblGrid>
      <w:tr>
        <w:trPr>
          <w:tblHeader/>
        </w:trPr>
        <w:tc>
          <w:tcPr>
            <w:tcW w:type="dxa" w:w="37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w:t>
            </w:r>
          </w:p>
        </w:tc>
        <w:tc>
          <w:tcPr>
            <w:tcW w:type="dxa" w:w="14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Applies from</w:t>
            </w:r>
          </w:p>
        </w:tc>
        <w:tc>
          <w:tcPr>
            <w:tcW w:type="dxa" w:w="39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Source</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The Regulation generally</w:t>
            </w:r>
          </w:p>
        </w:tc>
        <w:tc>
          <w:tcPr>
            <w:tcW w:type="dxa" w:w="14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 August 2026</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 second paragraph</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Chapters I and II (definitions, AI literacy, prohibited practices)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 February 2025</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113(a) ▼M1</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 except Art 5(1) points (ba) and (bb), and Art 5(1a) and (1b)</w:t>
            </w:r>
          </w:p>
        </w:tc>
        <w:tc>
          <w:tcPr>
            <w:tcW w:type="dxa" w:w="14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 December 2026</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113(a) ▼M1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Chapter III Section 4, Chapter V, Chapter VII, Chapter XII, Art 78 (except Art 101)</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 August 2025</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113(b)</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Chapter III Sections 1, 2 and 3 (except Art 6(5)) - </w:t>
            </w:r>
            <w:r>
              <w:rPr>
                <w:rFonts w:ascii="Calibri" w:cs="Calibri" w:eastAsia="Calibri" w:hAnsi="Calibri"/>
                <w:b/>
                <w:bCs/>
                <w:color w:val="333A45"/>
                <w:sz w:val="19"/>
                <w:szCs w:val="19"/>
              </w:rPr>
              <w:t xml:space="preserve">high-risk</w:t>
            </w:r>
            <w:r>
              <w:rPr>
                <w:rFonts w:ascii="Calibri" w:cs="Calibri" w:eastAsia="Calibri" w:hAnsi="Calibri"/>
                <w:color w:val="333A45"/>
                <w:sz w:val="19"/>
                <w:szCs w:val="19"/>
              </w:rPr>
              <w:t xml:space="preserve"> - Annex III systems</w:t>
            </w:r>
          </w:p>
        </w:tc>
        <w:tc>
          <w:tcPr>
            <w:tcW w:type="dxa" w:w="14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 December 2027</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113(c)(i) ▼M1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Chapter III Sections 1, 2 and 3 - </w:t>
            </w:r>
            <w:r>
              <w:rPr>
                <w:rFonts w:ascii="Calibri" w:cs="Calibri" w:eastAsia="Calibri" w:hAnsi="Calibri"/>
                <w:b/>
                <w:bCs/>
                <w:color w:val="333A45"/>
                <w:sz w:val="19"/>
                <w:szCs w:val="19"/>
              </w:rPr>
              <w:t xml:space="preserve">high-risk</w:t>
            </w:r>
            <w:r>
              <w:rPr>
                <w:rFonts w:ascii="Calibri" w:cs="Calibri" w:eastAsia="Calibri" w:hAnsi="Calibri"/>
                <w:color w:val="333A45"/>
                <w:sz w:val="19"/>
                <w:szCs w:val="19"/>
              </w:rPr>
              <w:t xml:space="preserve"> - Annex I systems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 August 2028</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113(c)(ii) ▼M1</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Articles 102 to 110</w:t>
            </w:r>
          </w:p>
        </w:tc>
        <w:tc>
          <w:tcPr>
            <w:tcW w:type="dxa" w:w="14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27 July 2026</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113(d) ▼M1</w:t>
            </w:r>
          </w:p>
        </w:tc>
      </w:tr>
    </w:tbl>
    <w:p>
      <w:pPr>
        <w:spacing w:after="120"/>
      </w:pPr>
    </w:p>
    <w:p>
      <w:pPr>
        <w:spacing w:after="110"/>
      </w:pPr>
      <w:r>
        <w:rPr>
          <w:rFonts w:ascii="Calibri" w:cs="Calibri" w:eastAsia="Calibri" w:hAnsi="Calibri"/>
          <w:b/>
          <w:bCs/>
          <w:color w:val="333A45"/>
          <w:sz w:val="21"/>
          <w:szCs w:val="21"/>
        </w:rPr>
        <w:t xml:space="preserve">Chapter IV (Article 50, transparency) is not carved out</w:t>
      </w:r>
      <w:r>
        <w:rPr>
          <w:rFonts w:ascii="Calibri" w:cs="Calibri" w:eastAsia="Calibri" w:hAnsi="Calibri"/>
          <w:color w:val="333A45"/>
          <w:sz w:val="21"/>
          <w:szCs w:val="21"/>
        </w:rPr>
        <w:t xml:space="preserve">, so it applies from the general date of </w:t>
      </w:r>
      <w:r>
        <w:rPr>
          <w:rFonts w:ascii="Calibri" w:cs="Calibri" w:eastAsia="Calibri" w:hAnsi="Calibri"/>
          <w:b/>
          <w:bCs/>
          <w:color w:val="333A45"/>
          <w:sz w:val="21"/>
          <w:szCs w:val="21"/>
        </w:rPr>
        <w:t xml:space="preserve">2 August 2026</w:t>
      </w:r>
      <w:r>
        <w:rPr>
          <w:rFonts w:ascii="Calibri" w:cs="Calibri" w:eastAsia="Calibri" w:hAnsi="Calibri"/>
          <w:color w:val="333A45"/>
          <w:sz w:val="21"/>
          <w:szCs w:val="21"/>
        </w:rPr>
        <w:t xml:space="preserve">. It is in force now, and it is the newest live obligation - which is why the policy gives it its own section rather than folding it into a general transparency clause.</w:t>
      </w:r>
    </w:p>
    <w:p>
      <w:pPr>
        <w:spacing w:after="110"/>
      </w:pPr>
      <w:r>
        <w:rPr>
          <w:rFonts w:ascii="Calibri" w:cs="Calibri" w:eastAsia="Calibri" w:hAnsi="Calibri"/>
          <w:b/>
          <w:bCs/>
          <w:color w:val="333A45"/>
          <w:sz w:val="21"/>
          <w:szCs w:val="21"/>
        </w:rPr>
        <w:t xml:space="preserve">The high-risk regime is deferred, not removed.</w:t>
      </w:r>
      <w:r>
        <w:rPr>
          <w:rFonts w:ascii="Calibri" w:cs="Calibri" w:eastAsia="Calibri" w:hAnsi="Calibri"/>
          <w:color w:val="333A45"/>
          <w:sz w:val="21"/>
          <w:szCs w:val="21"/>
        </w:rPr>
        <w:t xml:space="preserve"> Policy Section 4.3 and Annex A3 exist because a deferral quietly consumed is a deferral wasted.</w:t>
      </w:r>
    </w:p>
    <w:p>
      <w:pPr>
        <w:keepNext/>
        <w:pBdr>
          <w:bottom w:val="single" w:color="9DB9E8" w:sz="4" w:space="3"/>
        </w:pBdr>
        <w:spacing w:after="100" w:before="260"/>
      </w:pPr>
      <w:r>
        <w:rPr>
          <w:rFonts w:ascii="Calibri" w:cs="Calibri" w:eastAsia="Calibri" w:hAnsi="Calibri"/>
          <w:b/>
          <w:bCs/>
          <w:color w:val="2E5AAC"/>
          <w:sz w:val="26"/>
          <w:szCs w:val="26"/>
        </w:rPr>
        <w:t xml:space="preserve">Obligation -&gt; policy clause -&gt; source</w:t>
      </w:r>
    </w:p>
    <w:p>
      <w:pPr>
        <w:keepNext/>
        <w:spacing w:after="80" w:before="200"/>
      </w:pPr>
      <w:r>
        <w:rPr>
          <w:rFonts w:ascii="Calibri" w:cs="Calibri" w:eastAsia="Calibri" w:hAnsi="Calibri"/>
          <w:b/>
          <w:bCs/>
          <w:color w:val="1F3864"/>
          <w:sz w:val="22"/>
          <w:szCs w:val="22"/>
        </w:rPr>
        <w:t xml:space="preserve">Artificial intelligence</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700"/>
        <w:gridCol w:w="1400"/>
        <w:gridCol w:w="3900"/>
      </w:tblGrid>
      <w:tr>
        <w:trPr>
          <w:tblHeader/>
        </w:trPr>
        <w:tc>
          <w:tcPr>
            <w:tcW w:type="dxa" w:w="37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Obligation (as expressed in artifact)</w:t>
            </w:r>
          </w:p>
        </w:tc>
        <w:tc>
          <w:tcPr>
            <w:tcW w:type="dxa" w:w="14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Clause</w:t>
            </w:r>
          </w:p>
        </w:tc>
        <w:tc>
          <w:tcPr>
            <w:tcW w:type="dxa" w:w="39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Source (consolidated AI Act unless stated)</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Provider / deployer role distinction; role can change on substantial modification or own-name placing</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2.1, 4.4; Annex A2.1, A4.2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3 definitions; Art 25</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Staff AI knowledge and skills; no guaranteed individual level</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20.1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4</w:t>
            </w:r>
            <w:r>
              <w:rPr>
                <w:rFonts w:ascii="Calibri" w:cs="Calibri" w:eastAsia="Calibri" w:hAnsi="Calibri"/>
                <w:color w:val="333A45"/>
                <w:sz w:val="19"/>
                <w:szCs w:val="19"/>
              </w:rPr>
              <w:t xml:space="preserve">, in force since 2 Feb 2025</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subliminal / manipulative / deceptive techniques causing significant harm</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5(1)(a)</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exploiting vulnerabilities of age, disability, social or economic situation</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5(1)(b)</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social scoring leading to detrimental treatment in unrelated context, or unjustified / disproportionate treatment</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5(1)(c)(i)-(ii)</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predicting criminal offending based solely on profiling or personality traits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5(1)(d)</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untargeted scraping of facial images to build or expand facial recognition databases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5(1)(e)</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Prohibited: inferring emotions in the workplace and education institutions</w:t>
            </w:r>
            <w:r>
              <w:rPr>
                <w:rFonts w:ascii="Calibri" w:cs="Calibri" w:eastAsia="Calibri" w:hAnsi="Calibri"/>
                <w:color w:val="333A45"/>
                <w:sz w:val="19"/>
                <w:szCs w:val="19"/>
              </w:rPr>
              <w:t xml:space="preserve">, except for medical or safety reasons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 12.1, 18</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5(1)(f)</w:t>
            </w:r>
            <w:r>
              <w:rPr>
                <w:rFonts w:ascii="Calibri" w:cs="Calibri" w:eastAsia="Calibri" w:hAnsi="Calibri"/>
                <w:color w:val="333A45"/>
                <w:sz w:val="19"/>
                <w:szCs w:val="19"/>
              </w:rPr>
              <w:t xml:space="preserve"> - verbatim: "to infer emotions of a natural person in the areas of workplace and education institutions, except where the use of the AI system is intended to be put in place or into the market for medical or safety reasons"</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biometric categorisation deducing race, political opinions, trade union membership, religious or philosophical beliefs, sex life or sexual orientation</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5(1)(g)</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Prohibited: real-time remote biometric identification in public spaces for law enforcement, outside authorised cases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5(1)(h), with Art 5(2)-(4)</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Non-consensual intimate imagery; CSAM material - prohibited </w:t>
            </w:r>
            <w:r>
              <w:rPr>
                <w:rFonts w:ascii="Calibri" w:cs="Calibri" w:eastAsia="Calibri" w:hAnsi="Calibri"/>
                <w:b/>
                <w:bCs/>
                <w:color w:val="333A45"/>
                <w:sz w:val="19"/>
                <w:szCs w:val="19"/>
              </w:rPr>
              <w:t xml:space="preserve">from 2 Dec 2026</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6.2, Annex A3.4</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5(1)(ba), (bb) ▼M1</w:t>
            </w:r>
            <w:r>
              <w:rPr>
                <w:rFonts w:ascii="Calibri" w:cs="Calibri" w:eastAsia="Calibri" w:hAnsi="Calibri"/>
                <w:color w:val="333A45"/>
                <w:sz w:val="19"/>
                <w:szCs w:val="19"/>
              </w:rPr>
              <w:t xml:space="preserve">, scoped by Art 5(1a), (1b) ▼M1; commencement Art 113(a) ▼M1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Inform people they are interacting with an AI system, unless obvious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9.1, 16.1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50(1)</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Machine-readable marking of synthetic audio, image, video, text by providers; editing-assistance carve-out</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9.4</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50(2)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Deployers of emotion recognition / biometric categorisation must inform those exposed and process per GDPR</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9.2</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50(3)</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Deep fake disclosure by deployers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9.3</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50(4)</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GPAI model obligations fall on the model provider</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Chapter V (Arts 51-56), from 2 Aug 2025 per Art 113(b)</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High-risk classification and requirements - deferred</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4.2, 5 (Level 4), Annex A3</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Chapter III Sections 1-3; commencement Art 113(c) ▼M1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Recruitment / employment-management systems expected high-risk</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12.1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III - </w:t>
            </w:r>
            <w:r>
              <w:rPr>
                <w:rFonts w:ascii="Calibri" w:cs="Calibri" w:eastAsia="Calibri" w:hAnsi="Calibri"/>
                <w:b/>
                <w:bCs/>
                <w:color w:val="333A45"/>
                <w:sz w:val="19"/>
                <w:szCs w:val="19"/>
              </w:rPr>
              <w:t xml:space="preserve">classification not individually verified; see Limitation 3</w:t>
            </w:r>
          </w:p>
        </w:tc>
      </w:tr>
    </w:tbl>
    <w:p>
      <w:pPr>
        <w:spacing w:after="120"/>
      </w:pPr>
    </w:p>
    <w:p>
      <w:pPr>
        <w:keepNext/>
        <w:spacing w:after="80" w:before="200"/>
      </w:pPr>
      <w:r>
        <w:rPr>
          <w:rFonts w:ascii="Calibri" w:cs="Calibri" w:eastAsia="Calibri" w:hAnsi="Calibri"/>
          <w:b/>
          <w:bCs/>
          <w:color w:val="1F3864"/>
          <w:sz w:val="22"/>
          <w:szCs w:val="22"/>
        </w:rPr>
        <w:t xml:space="preserve">Data protection</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700"/>
        <w:gridCol w:w="1400"/>
        <w:gridCol w:w="3900"/>
      </w:tblGrid>
      <w:tr>
        <w:trPr>
          <w:tblHeader/>
        </w:trPr>
        <w:tc>
          <w:tcPr>
            <w:tcW w:type="dxa" w:w="37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Obligation</w:t>
            </w:r>
          </w:p>
        </w:tc>
        <w:tc>
          <w:tcPr>
            <w:tcW w:type="dxa" w:w="14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Clause</w:t>
            </w:r>
          </w:p>
        </w:tc>
        <w:tc>
          <w:tcPr>
            <w:tcW w:type="dxa" w:w="39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Source (GDPR)</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Lawfulness, fairness, transparency; purpose limitation; minimisation; accuracy; storage limitation; integrity; accountability</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7.1-7.5</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5(1)-(2)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Lawful basis recorded before processing</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6</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Special categories - additional condition</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7.8</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9</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Criminal convictions and offences data</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7.8</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10</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Information to be provided to the data subject, including meaningful information about the logic of automated decision-making</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16.2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13-14, incl. 13(2)(f), 14(2)(g)</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Rights of access, rectification, erasure, restriction, portability, objection</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7.7; Annex A8.1</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15-21</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One month to respond, extendable by two months with notice and reasons</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A8.2</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12(3)</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Notification of rectification or erasure to recipients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A8.4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19</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Right not to be subject to a solely automated decision</w:t>
            </w:r>
            <w:r>
              <w:rPr>
                <w:rFonts w:ascii="Calibri" w:cs="Calibri" w:eastAsia="Calibri" w:hAnsi="Calibri"/>
                <w:color w:val="333A45"/>
                <w:sz w:val="19"/>
                <w:szCs w:val="19"/>
              </w:rPr>
              <w:t xml:space="preserve"> producing legal or similarly significant effects; permitted cases; safeguards including human intervention, expressing a view, contesting</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10.3</w:t>
            </w:r>
          </w:p>
        </w:tc>
        <w:tc>
          <w:tcPr>
            <w:tcW w:type="dxa" w:w="39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22(1)-(3)</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Such decisions not based on special category data save narrow conditions with safeguards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10.4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22(4)</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Processor contract terms; sub-processor authorisation</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7.9; Annex A5.1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28(2)-(4)</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Record of processing activities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A2.3</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30</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Security of processing appropriate to risk</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13.4</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32</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Breach notification to the supervisory authority without undue delay and where feasible within 72 hours of becoming aware</w:t>
            </w:r>
            <w:r>
              <w:rPr>
                <w:rFonts w:ascii="Calibri" w:cs="Calibri" w:eastAsia="Calibri" w:hAnsi="Calibri"/>
                <w:color w:val="333A45"/>
                <w:sz w:val="19"/>
                <w:szCs w:val="19"/>
              </w:rPr>
              <w:t xml:space="preserve">, unless unlikely to result in risk; reasons required if late</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14</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Art 33(1)</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Communication to the data subject where high risk</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14</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34(1)</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DPIA where high risk; the three listed triggers; authority lists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7.6</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35(1), 35(3)(a)-(c), 35(4)</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protection officer position, independence, no penalisation, reports to highest management</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Annex A1.4</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37-38, esp. 38(3)</w:t>
            </w:r>
          </w:p>
        </w:tc>
      </w:tr>
      <w:tr>
        <w:trPr>
          <w:tblHeader w:val="false"/>
        </w:trPr>
        <w:tc>
          <w:tcPr>
            <w:tcW w:type="dxa" w:w="37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Transfers on adequacy, appropriate safeguards, or derogations; derogations not for repetitive transfers</w:t>
            </w:r>
          </w:p>
        </w:tc>
        <w:tc>
          <w:tcPr>
            <w:tcW w:type="dxa" w:w="14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8.1-8.3</w:t>
            </w:r>
          </w:p>
        </w:tc>
        <w:tc>
          <w:tcPr>
            <w:tcW w:type="dxa" w:w="39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Arts 45, 46, 49(1) and 49(1) second subparagraph</w:t>
            </w:r>
          </w:p>
        </w:tc>
      </w:tr>
      <w:tr>
        <w:trPr>
          <w:tblHeader w:val="false"/>
        </w:trPr>
        <w:tc>
          <w:tcPr>
            <w:tcW w:type="dxa" w:w="37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Right to lodge a complaint with a supervisory authority</w:t>
            </w:r>
          </w:p>
        </w:tc>
        <w:tc>
          <w:tcPr>
            <w:tcW w:type="dxa" w:w="14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14; Annex A10.1</w:t>
            </w:r>
          </w:p>
        </w:tc>
        <w:tc>
          <w:tcPr>
            <w:tcW w:type="dxa" w:w="39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Art 77</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House standards that EXCEED or sit outside statute (flagged, kept knowingly)</w:t>
      </w:r>
    </w:p>
    <w:p>
      <w:pPr>
        <w:pStyle w:val="ListParagraph"/>
        <w:numPr>
          <w:ilvl w:val="0"/>
          <w:numId w:val="2"/>
        </w:numPr>
        <w:spacing w:after="70"/>
      </w:pPr>
      <w:r>
        <w:rPr>
          <w:rFonts w:ascii="Calibri" w:cs="Calibri" w:eastAsia="Calibri" w:hAnsi="Calibri"/>
          <w:b/>
          <w:bCs/>
          <w:color w:val="333A45"/>
          <w:sz w:val="21"/>
          <w:szCs w:val="21"/>
        </w:rPr>
        <w:t xml:space="preserve">Policy 10.1 pre-decision human review.</w:t>
      </w:r>
      <w:r>
        <w:rPr>
          <w:rFonts w:ascii="Calibri" w:cs="Calibri" w:eastAsia="Calibri" w:hAnsi="Calibri"/>
          <w:color w:val="333A45"/>
          <w:sz w:val="21"/>
          <w:szCs w:val="21"/>
        </w:rPr>
        <w:t xml:space="preserve"> Article 22 GDPR operates as a right the individual holds, with safeguards attaching where a permitted exception applies. The policy instead requires meaningful human review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the decision takes effect, for a wider class of significant decisions. Deliberate; labelled in Policy 10.5.</w:t>
      </w:r>
    </w:p>
    <w:p>
      <w:pPr>
        <w:pStyle w:val="ListParagraph"/>
        <w:numPr>
          <w:ilvl w:val="0"/>
          <w:numId w:val="2"/>
        </w:numPr>
        <w:spacing w:after="70"/>
      </w:pPr>
      <w:r>
        <w:rPr>
          <w:rFonts w:ascii="Calibri" w:cs="Calibri" w:eastAsia="Calibri" w:hAnsi="Calibri"/>
          <w:b/>
          <w:bCs/>
          <w:color w:val="333A45"/>
          <w:sz w:val="21"/>
          <w:szCs w:val="21"/>
        </w:rPr>
        <w:t xml:space="preserve">Policy 6.2 - the December 2026 prohibitions applied from today.</w:t>
      </w:r>
      <w:r>
        <w:rPr>
          <w:rFonts w:ascii="Calibri" w:cs="Calibri" w:eastAsia="Calibri" w:hAnsi="Calibri"/>
          <w:color w:val="333A45"/>
          <w:sz w:val="21"/>
          <w:szCs w:val="21"/>
        </w:rPr>
        <w:t xml:space="preserve"> The law defers them; the policy does not. A conscious choice, and one with no downside.</w:t>
      </w:r>
    </w:p>
    <w:p>
      <w:pPr>
        <w:pStyle w:val="ListParagraph"/>
        <w:numPr>
          <w:ilvl w:val="0"/>
          <w:numId w:val="2"/>
        </w:numPr>
        <w:spacing w:after="70"/>
      </w:pPr>
      <w:r>
        <w:rPr>
          <w:rFonts w:ascii="Calibri" w:cs="Calibri" w:eastAsia="Calibri" w:hAnsi="Calibri"/>
          <w:b/>
          <w:bCs/>
          <w:color w:val="333A45"/>
          <w:sz w:val="21"/>
          <w:szCs w:val="21"/>
        </w:rPr>
        <w:t xml:space="preserve">Policy 4.3 / Annex A3 - the readiness register.</w:t>
      </w:r>
      <w:r>
        <w:rPr>
          <w:rFonts w:ascii="Calibri" w:cs="Calibri" w:eastAsia="Calibri" w:hAnsi="Calibri"/>
          <w:color w:val="333A45"/>
          <w:sz w:val="21"/>
          <w:szCs w:val="21"/>
        </w:rPr>
        <w:t xml:space="preserve"> Nothing requires an organisation to prepare for the high-risk regime in advance. This is governance, not statute.</w:t>
      </w:r>
    </w:p>
    <w:p>
      <w:pPr>
        <w:pStyle w:val="ListParagraph"/>
        <w:numPr>
          <w:ilvl w:val="0"/>
          <w:numId w:val="2"/>
        </w:numPr>
        <w:spacing w:after="70"/>
      </w:pPr>
      <w:r>
        <w:rPr>
          <w:rFonts w:ascii="Calibri" w:cs="Calibri" w:eastAsia="Calibri" w:hAnsi="Calibri"/>
          <w:b/>
          <w:bCs/>
          <w:color w:val="333A45"/>
          <w:sz w:val="21"/>
          <w:szCs w:val="21"/>
        </w:rPr>
        <w:t xml:space="preserve">Annex A5.4 - contractual breach-notification timing.</w:t>
      </w:r>
      <w:r>
        <w:rPr>
          <w:rFonts w:ascii="Calibri" w:cs="Calibri" w:eastAsia="Calibri" w:hAnsi="Calibri"/>
          <w:color w:val="333A45"/>
          <w:sz w:val="21"/>
          <w:szCs w:val="21"/>
        </w:rPr>
        <w:t xml:space="preserve"> Article 33 binds the controller; requiring suppliers to notify fast enough to make the controller's clock achievable is good practice, not an express statutory term.</w:t>
      </w:r>
    </w:p>
    <w:p>
      <w:pPr>
        <w:pStyle w:val="ListParagraph"/>
        <w:numPr>
          <w:ilvl w:val="0"/>
          <w:numId w:val="2"/>
        </w:numPr>
        <w:spacing w:after="70"/>
      </w:pPr>
      <w:r>
        <w:rPr>
          <w:rFonts w:ascii="Calibri" w:cs="Calibri" w:eastAsia="Calibri" w:hAnsi="Calibri"/>
          <w:b/>
          <w:bCs/>
          <w:color w:val="333A45"/>
          <w:sz w:val="21"/>
          <w:szCs w:val="21"/>
        </w:rPr>
        <w:t xml:space="preserve">Policy 11 - output verification.</w:t>
      </w:r>
      <w:r>
        <w:rPr>
          <w:rFonts w:ascii="Calibri" w:cs="Calibri" w:eastAsia="Calibri" w:hAnsi="Calibri"/>
          <w:color w:val="333A45"/>
          <w:sz w:val="21"/>
          <w:szCs w:val="21"/>
        </w:rPr>
        <w:t xml:space="preserve"> No statutory duty in these instruments; a house standard.</w:t>
      </w:r>
    </w:p>
    <w:p>
      <w:pPr>
        <w:pStyle w:val="ListParagraph"/>
        <w:numPr>
          <w:ilvl w:val="0"/>
          <w:numId w:val="2"/>
        </w:numPr>
        <w:spacing w:after="70"/>
      </w:pPr>
      <w:r>
        <w:rPr>
          <w:rFonts w:ascii="Calibri" w:cs="Calibri" w:eastAsia="Calibri" w:hAnsi="Calibri"/>
          <w:b/>
          <w:bCs/>
          <w:color w:val="333A45"/>
          <w:sz w:val="21"/>
          <w:szCs w:val="21"/>
        </w:rPr>
        <w:t xml:space="preserve">Policy 15.1 - intellectual property.</w:t>
      </w:r>
      <w:r>
        <w:rPr>
          <w:rFonts w:ascii="Calibri" w:cs="Calibri" w:eastAsia="Calibri" w:hAnsi="Calibri"/>
          <w:color w:val="333A45"/>
          <w:sz w:val="21"/>
          <w:szCs w:val="21"/>
        </w:rPr>
        <w:t xml:space="preserve"> No Union IP instrument was supplied. The clause is a house standard and </w:t>
      </w:r>
      <w:r>
        <w:rPr>
          <w:rFonts w:ascii="Calibri" w:cs="Calibri" w:eastAsia="Calibri" w:hAnsi="Calibri"/>
          <w:b/>
          <w:bCs/>
          <w:color w:val="333A45"/>
          <w:sz w:val="21"/>
          <w:szCs w:val="21"/>
        </w:rPr>
        <w:t xml:space="preserve">no statutory basis is asserted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Policy 17 - non-discrimination.</w:t>
      </w:r>
      <w:r>
        <w:rPr>
          <w:rFonts w:ascii="Calibri" w:cs="Calibri" w:eastAsia="Calibri" w:hAnsi="Calibri"/>
          <w:color w:val="333A45"/>
          <w:sz w:val="21"/>
          <w:szCs w:val="21"/>
        </w:rPr>
        <w:t xml:space="preserve"> No Union equality instrument was supplied. The clause is a house standard; the GDPR fairness principle in Art 5(1)(a) supports part of it but is not cited as the basis for the whole.</w:t>
      </w:r>
    </w:p>
    <w:p>
      <w:pPr>
        <w:keepNext/>
        <w:pBdr>
          <w:bottom w:val="single" w:color="9DB9E8" w:sz="4" w:space="3"/>
        </w:pBdr>
        <w:spacing w:after="100" w:before="260"/>
      </w:pPr>
      <w:r>
        <w:rPr>
          <w:rFonts w:ascii="Calibri" w:cs="Calibri" w:eastAsia="Calibri" w:hAnsi="Calibri"/>
          <w:b/>
          <w:bCs/>
          <w:color w:val="2E5AAC"/>
          <w:sz w:val="26"/>
          <w:szCs w:val="26"/>
        </w:rPr>
        <w:t xml:space="preserve">Annex provisions - basis</w:t>
      </w:r>
    </w:p>
    <w:p>
      <w:pPr>
        <w:pStyle w:val="ListParagraph"/>
        <w:numPr>
          <w:ilvl w:val="0"/>
          <w:numId w:val="2"/>
        </w:numPr>
        <w:spacing w:after="70"/>
      </w:pPr>
      <w:r>
        <w:rPr>
          <w:rFonts w:ascii="Calibri" w:cs="Calibri" w:eastAsia="Calibri" w:hAnsi="Calibri"/>
          <w:color w:val="333A45"/>
          <w:sz w:val="21"/>
          <w:szCs w:val="21"/>
        </w:rPr>
        <w:t xml:space="preserve">A1 (committee, accountable executive, three lines), A2 (inventory), A4 (lifecycle), A6 (exceptions), A7 (agentic AI), A9 (assurance): governance controls, not statutory duties, consistent with the accountability principle in GDPR Art 5(2) and Art 24. No article numbers claimed in the body.</w:t>
      </w:r>
    </w:p>
    <w:p>
      <w:pPr>
        <w:pStyle w:val="ListParagraph"/>
        <w:numPr>
          <w:ilvl w:val="0"/>
          <w:numId w:val="2"/>
        </w:numPr>
        <w:spacing w:after="70"/>
      </w:pPr>
      <w:r>
        <w:rPr>
          <w:rFonts w:ascii="Calibri" w:cs="Calibri" w:eastAsia="Calibri" w:hAnsi="Calibri"/>
          <w:b/>
          <w:bCs/>
          <w:color w:val="333A45"/>
          <w:sz w:val="21"/>
          <w:szCs w:val="21"/>
        </w:rPr>
        <w:t xml:space="preserve">A1.4</w:t>
      </w:r>
      <w:r>
        <w:rPr>
          <w:rFonts w:ascii="Calibri" w:cs="Calibri" w:eastAsia="Calibri" w:hAnsi="Calibri"/>
          <w:color w:val="333A45"/>
          <w:sz w:val="21"/>
          <w:szCs w:val="21"/>
        </w:rPr>
        <w:t xml:space="preserve"> is statutory: GDPR Arts 37-38.</w:t>
      </w:r>
    </w:p>
    <w:p>
      <w:pPr>
        <w:pStyle w:val="ListParagraph"/>
        <w:numPr>
          <w:ilvl w:val="0"/>
          <w:numId w:val="2"/>
        </w:numPr>
        <w:spacing w:after="70"/>
      </w:pPr>
      <w:r>
        <w:rPr>
          <w:rFonts w:ascii="Calibri" w:cs="Calibri" w:eastAsia="Calibri" w:hAnsi="Calibri"/>
          <w:b/>
          <w:bCs/>
          <w:color w:val="333A45"/>
          <w:sz w:val="21"/>
          <w:szCs w:val="21"/>
        </w:rPr>
        <w:t xml:space="preserve">A2.3</w:t>
      </w:r>
      <w:r>
        <w:rPr>
          <w:rFonts w:ascii="Calibri" w:cs="Calibri" w:eastAsia="Calibri" w:hAnsi="Calibri"/>
          <w:color w:val="333A45"/>
          <w:sz w:val="21"/>
          <w:szCs w:val="21"/>
        </w:rPr>
        <w:t xml:space="preserve"> is statutory: GDPR Art 30.</w:t>
      </w:r>
    </w:p>
    <w:p>
      <w:pPr>
        <w:pStyle w:val="ListParagraph"/>
        <w:numPr>
          <w:ilvl w:val="0"/>
          <w:numId w:val="2"/>
        </w:numPr>
        <w:spacing w:after="70"/>
      </w:pPr>
      <w:r>
        <w:rPr>
          <w:rFonts w:ascii="Calibri" w:cs="Calibri" w:eastAsia="Calibri" w:hAnsi="Calibri"/>
          <w:b/>
          <w:bCs/>
          <w:color w:val="333A45"/>
          <w:sz w:val="21"/>
          <w:szCs w:val="21"/>
        </w:rPr>
        <w:t xml:space="preserve">A3 (commencement readiness register)</w:t>
      </w:r>
      <w:r>
        <w:rPr>
          <w:rFonts w:ascii="Calibri" w:cs="Calibri" w:eastAsia="Calibri" w:hAnsi="Calibri"/>
          <w:color w:val="333A45"/>
          <w:sz w:val="21"/>
          <w:szCs w:val="21"/>
        </w:rPr>
        <w:t xml:space="preserve"> is a governance wrapper around a statutory commencement schedule, AI Act Art 113 as amended. It is the one annex section whose reason for existing is a hard date rather than good practice.</w:t>
      </w:r>
    </w:p>
    <w:p>
      <w:pPr>
        <w:pStyle w:val="ListParagraph"/>
        <w:numPr>
          <w:ilvl w:val="0"/>
          <w:numId w:val="2"/>
        </w:numPr>
        <w:spacing w:after="70"/>
      </w:pPr>
      <w:r>
        <w:rPr>
          <w:rFonts w:ascii="Calibri" w:cs="Calibri" w:eastAsia="Calibri" w:hAnsi="Calibri"/>
          <w:color w:val="333A45"/>
          <w:sz w:val="21"/>
          <w:szCs w:val="21"/>
        </w:rPr>
        <w:t xml:space="preserve">A5 (suppliers): GDPR Art 28 underpins the processing terms; the AI-specific terms are contractual good practice beyond statute.</w:t>
      </w:r>
    </w:p>
    <w:p>
      <w:pPr>
        <w:pStyle w:val="ListParagraph"/>
        <w:numPr>
          <w:ilvl w:val="0"/>
          <w:numId w:val="2"/>
        </w:numPr>
        <w:spacing w:after="70"/>
      </w:pPr>
      <w:r>
        <w:rPr>
          <w:rFonts w:ascii="Calibri" w:cs="Calibri" w:eastAsia="Calibri" w:hAnsi="Calibri"/>
          <w:color w:val="333A45"/>
          <w:sz w:val="21"/>
          <w:szCs w:val="21"/>
        </w:rPr>
        <w:t xml:space="preserve">A8 (rights operations): GDPR Arts 12, 15-21.</w:t>
      </w:r>
    </w:p>
    <w:p>
      <w:pPr>
        <w:pStyle w:val="ListParagraph"/>
        <w:numPr>
          <w:ilvl w:val="0"/>
          <w:numId w:val="2"/>
        </w:numPr>
        <w:spacing w:after="70"/>
      </w:pPr>
      <w:r>
        <w:rPr>
          <w:rFonts w:ascii="Calibri" w:cs="Calibri" w:eastAsia="Calibri" w:hAnsi="Calibri"/>
          <w:color w:val="333A45"/>
          <w:sz w:val="21"/>
          <w:szCs w:val="21"/>
        </w:rPr>
        <w:t xml:space="preserve">A11: sector overlay is a pointer, not a mapping.</w:t>
      </w:r>
    </w:p>
    <w:p>
      <w:pPr>
        <w:keepNext/>
        <w:pBdr>
          <w:bottom w:val="single" w:color="9DB9E8" w:sz="4" w:space="3"/>
        </w:pBdr>
        <w:spacing w:after="100" w:before="260"/>
      </w:pPr>
      <w:r>
        <w:rPr>
          <w:rFonts w:ascii="Calibri" w:cs="Calibri" w:eastAsia="Calibri" w:hAnsi="Calibri"/>
          <w:b/>
          <w:bCs/>
          <w:color w:val="2E5AAC"/>
          <w:sz w:val="26"/>
          <w:szCs w:val="26"/>
        </w:rPr>
        <w:t xml:space="preserve">Limitations - stated rather than left to be found</w:t>
      </w:r>
    </w:p>
    <w:p>
      <w:pPr>
        <w:spacing w:after="110"/>
      </w:pPr>
      <w:r>
        <w:rPr>
          <w:rFonts w:ascii="Calibri" w:cs="Calibri" w:eastAsia="Calibri" w:hAnsi="Calibri"/>
          <w:color w:val="333A45"/>
          <w:sz w:val="21"/>
          <w:szCs w:val="21"/>
        </w:rPr>
        <w:t xml:space="preserve">1. </w:t>
      </w:r>
      <w:r>
        <w:rPr>
          <w:rFonts w:ascii="Calibri" w:cs="Calibri" w:eastAsia="Calibri" w:hAnsi="Calibri"/>
          <w:b/>
          <w:bCs/>
          <w:color w:val="333A45"/>
          <w:sz w:val="21"/>
          <w:szCs w:val="21"/>
        </w:rPr>
        <w:t xml:space="preserve">The AI Act's own commencement dates have already been amended once.</w:t>
      </w:r>
      <w:r>
        <w:rPr>
          <w:rFonts w:ascii="Calibri" w:cs="Calibri" w:eastAsia="Calibri" w:hAnsi="Calibri"/>
          <w:color w:val="333A45"/>
          <w:sz w:val="21"/>
          <w:szCs w:val="21"/>
        </w:rPr>
        <w:t xml:space="preserve"> Regulation (EU) 2026/1744 changed them. The position in this note is the consolidated text at </w:t>
      </w:r>
      <w:r>
        <w:rPr>
          <w:rFonts w:ascii="Calibri" w:cs="Calibri" w:eastAsia="Calibri" w:hAnsi="Calibri"/>
          <w:b/>
          <w:bCs/>
          <w:color w:val="333A45"/>
          <w:sz w:val="21"/>
          <w:szCs w:val="21"/>
        </w:rPr>
        <w:t xml:space="preserve">27 July 2026</w:t>
      </w:r>
      <w:r>
        <w:rPr>
          <w:rFonts w:ascii="Calibri" w:cs="Calibri" w:eastAsia="Calibri" w:hAnsi="Calibri"/>
          <w:color w:val="333A45"/>
          <w:sz w:val="21"/>
          <w:szCs w:val="21"/>
        </w:rPr>
        <w:t xml:space="preserve">. Any later consolidation supersedes it, and Annex A3.5 requires the committee to record which version its position rests on. 2. </w:t>
      </w:r>
      <w:r>
        <w:rPr>
          <w:rFonts w:ascii="Calibri" w:cs="Calibri" w:eastAsia="Calibri" w:hAnsi="Calibri"/>
          <w:b/>
          <w:bCs/>
          <w:color w:val="333A45"/>
          <w:sz w:val="21"/>
          <w:szCs w:val="21"/>
        </w:rPr>
        <w:t xml:space="preserve">GDPR is cited from the OJ text as published on 4 May 2016.</w:t>
      </w:r>
      <w:r>
        <w:rPr>
          <w:rFonts w:ascii="Calibri" w:cs="Calibri" w:eastAsia="Calibri" w:hAnsi="Calibri"/>
          <w:color w:val="333A45"/>
          <w:sz w:val="21"/>
          <w:szCs w:val="21"/>
        </w:rPr>
        <w:t xml:space="preserve"> The EUR-Lex record supplied notes the act has been changed and gives 04/05/2016 as the current consolidated version; the corrigenda published since should be checked before any position turns on precise wording. 3. </w:t>
      </w:r>
      <w:r>
        <w:rPr>
          <w:rFonts w:ascii="Calibri" w:cs="Calibri" w:eastAsia="Calibri" w:hAnsi="Calibri"/>
          <w:b/>
          <w:bCs/>
          <w:color w:val="333A45"/>
          <w:sz w:val="21"/>
          <w:szCs w:val="21"/>
        </w:rPr>
        <w:t xml:space="preserve">Annex III was not individually verified.</w:t>
      </w:r>
      <w:r>
        <w:rPr>
          <w:rFonts w:ascii="Calibri" w:cs="Calibri" w:eastAsia="Calibri" w:hAnsi="Calibri"/>
          <w:color w:val="333A45"/>
          <w:sz w:val="21"/>
          <w:szCs w:val="21"/>
        </w:rPr>
        <w:t xml:space="preserve"> Policy 12.1 says recruitment and employment-management systems are "expected" to fall in the high-risk category. That word is doing real work: the Annex III list was not read item by item for this note, and the omnibus amended Annex I. </w:t>
      </w:r>
      <w:r>
        <w:rPr>
          <w:rFonts w:ascii="Calibri" w:cs="Calibri" w:eastAsia="Calibri" w:hAnsi="Calibri"/>
          <w:b/>
          <w:bCs/>
          <w:color w:val="333A45"/>
          <w:sz w:val="21"/>
          <w:szCs w:val="21"/>
        </w:rPr>
        <w:t xml:space="preserve">Any specific classification must be verified against the Annex before it is relied on.</w:t>
      </w:r>
      <w:r>
        <w:rPr>
          <w:rFonts w:ascii="Calibri" w:cs="Calibri" w:eastAsia="Calibri" w:hAnsi="Calibri"/>
          <w:color w:val="333A45"/>
          <w:sz w:val="21"/>
          <w:szCs w:val="21"/>
        </w:rPr>
        <w:t xml:space="preserve"> 4. </w:t>
      </w:r>
      <w:r>
        <w:rPr>
          <w:rFonts w:ascii="Calibri" w:cs="Calibri" w:eastAsia="Calibri" w:hAnsi="Calibri"/>
          <w:b/>
          <w:bCs/>
          <w:color w:val="333A45"/>
          <w:sz w:val="21"/>
          <w:szCs w:val="21"/>
        </w:rPr>
        <w:t xml:space="preserve">Article 6(5) is excluded from the deferral</w:t>
      </w:r>
      <w:r>
        <w:rPr>
          <w:rFonts w:ascii="Calibri" w:cs="Calibri" w:eastAsia="Calibri" w:hAnsi="Calibri"/>
          <w:color w:val="333A45"/>
          <w:sz w:val="21"/>
          <w:szCs w:val="21"/>
        </w:rPr>
        <w:t xml:space="preserve"> by Art 113(c) and was not examined. It concerns Commission guidelines on high-risk classification and may affect how classification is done in the interim. 5. </w:t>
      </w:r>
      <w:r>
        <w:rPr>
          <w:rFonts w:ascii="Calibri" w:cs="Calibri" w:eastAsia="Calibri" w:hAnsi="Calibri"/>
          <w:b/>
          <w:bCs/>
          <w:color w:val="333A45"/>
          <w:sz w:val="21"/>
          <w:szCs w:val="21"/>
        </w:rPr>
        <w:t xml:space="preserve">No provision cited here has been reviewed by qualified counsel.</w:t>
      </w:r>
      <w:r>
        <w:rPr>
          <w:rFonts w:ascii="Calibri" w:cs="Calibri" w:eastAsia="Calibri" w:hAnsi="Calibri"/>
          <w:color w:val="333A45"/>
          <w:sz w:val="21"/>
          <w:szCs w:val="21"/>
        </w:rPr>
        <w:t xml:space="preserve"> 6. </w:t>
      </w:r>
      <w:r>
        <w:rPr>
          <w:rFonts w:ascii="Calibri" w:cs="Calibri" w:eastAsia="Calibri" w:hAnsi="Calibri"/>
          <w:b/>
          <w:bCs/>
          <w:color w:val="333A45"/>
          <w:sz w:val="21"/>
          <w:szCs w:val="21"/>
        </w:rPr>
        <w:t xml:space="preserve">Member State law is not addressed.</w:t>
      </w:r>
      <w:r>
        <w:rPr>
          <w:rFonts w:ascii="Calibri" w:cs="Calibri" w:eastAsia="Calibri" w:hAnsi="Calibri"/>
          <w:color w:val="333A45"/>
          <w:sz w:val="21"/>
          <w:szCs w:val="21"/>
        </w:rPr>
        <w:t xml:space="preserve"> The GDPR leaves room for national provisions</w:t>
      </w:r>
    </w:p>
    <w:p>
      <w:pPr>
        <w:spacing w:after="110"/>
      </w:pPr>
      <w:r>
        <w:rPr>
          <w:rFonts w:ascii="Calibri" w:cs="Calibri" w:eastAsia="Calibri" w:hAnsi="Calibri"/>
          <w:color w:val="333A45"/>
          <w:sz w:val="21"/>
          <w:szCs w:val="21"/>
        </w:rPr>
        <w:t xml:space="preserve">- notably on employment data, special categories, and criminal convictions data - and none was supplied or consulted. An organisation operating in a specific Member State must overlay that law. 7. </w:t>
      </w:r>
      <w:r>
        <w:rPr>
          <w:rFonts w:ascii="Calibri" w:cs="Calibri" w:eastAsia="Calibri" w:hAnsi="Calibri"/>
          <w:b/>
          <w:bCs/>
          <w:color w:val="333A45"/>
          <w:sz w:val="21"/>
          <w:szCs w:val="21"/>
        </w:rPr>
        <w:t xml:space="preserve">DORA is absent.</w:t>
      </w:r>
      <w:r>
        <w:rPr>
          <w:rFonts w:ascii="Calibri" w:cs="Calibri" w:eastAsia="Calibri" w:hAnsi="Calibri"/>
          <w:color w:val="333A45"/>
          <w:sz w:val="21"/>
          <w:szCs w:val="21"/>
        </w:rPr>
        <w:t xml:space="preserve"> See below.</w:t>
      </w:r>
    </w:p>
    <w:p>
      <w:pPr>
        <w:keepNext/>
        <w:pBdr>
          <w:bottom w:val="single" w:color="9DB9E8" w:sz="4" w:space="3"/>
        </w:pBdr>
        <w:spacing w:after="100" w:before="260"/>
      </w:pPr>
      <w:r>
        <w:rPr>
          <w:rFonts w:ascii="Calibri" w:cs="Calibri" w:eastAsia="Calibri" w:hAnsi="Calibri"/>
          <w:b/>
          <w:bCs/>
          <w:color w:val="2E5AAC"/>
          <w:sz w:val="26"/>
          <w:szCs w:val="26"/>
        </w:rPr>
        <w:t xml:space="preserve">What is needed to complete the set</w:t>
      </w:r>
    </w:p>
    <w:p>
      <w:pPr>
        <w:spacing w:after="110"/>
      </w:pPr>
      <w:r>
        <w:rPr>
          <w:rFonts w:ascii="Calibri" w:cs="Calibri" w:eastAsia="Calibri" w:hAnsi="Calibri"/>
          <w:color w:val="333A45"/>
          <w:sz w:val="21"/>
          <w:szCs w:val="21"/>
        </w:rPr>
        <w:t xml:space="preserve">1. </w:t>
      </w:r>
      <w:r>
        <w:rPr>
          <w:rFonts w:ascii="Calibri" w:cs="Calibri" w:eastAsia="Calibri" w:hAnsi="Calibri"/>
          <w:b/>
          <w:bCs/>
          <w:color w:val="333A45"/>
          <w:sz w:val="21"/>
          <w:szCs w:val="21"/>
        </w:rPr>
        <w:t xml:space="preserve">Regulation (EU) 2022/2554 (DORA)</w:t>
      </w:r>
      <w:r>
        <w:rPr>
          <w:rFonts w:ascii="Calibri" w:cs="Calibri" w:eastAsia="Calibri" w:hAnsi="Calibri"/>
          <w:color w:val="333A45"/>
          <w:sz w:val="21"/>
          <w:szCs w:val="21"/>
        </w:rPr>
        <w:t xml:space="preserve">, consolidated. Without it the financial-entity annex cannot be written to this standard, and nothing about ICT third-party risk, the register of information, ICT incident classification and reporting, contractual requirements or critical-provider designation is asserted anywhere in this set. 2. </w:t>
      </w:r>
      <w:r>
        <w:rPr>
          <w:rFonts w:ascii="Calibri" w:cs="Calibri" w:eastAsia="Calibri" w:hAnsi="Calibri"/>
          <w:b/>
          <w:bCs/>
          <w:color w:val="333A45"/>
          <w:sz w:val="21"/>
          <w:szCs w:val="21"/>
        </w:rPr>
        <w:t xml:space="preserve">Annex III of the consolidated AI Act</w:t>
      </w:r>
      <w:r>
        <w:rPr>
          <w:rFonts w:ascii="Calibri" w:cs="Calibri" w:eastAsia="Calibri" w:hAnsi="Calibri"/>
          <w:color w:val="333A45"/>
          <w:sz w:val="21"/>
          <w:szCs w:val="21"/>
        </w:rPr>
        <w:t xml:space="preserve">, read item by item, to replace "expected to fall" with a verified classification for the specific systems [ORGANISATION] uses. 3. </w:t>
      </w:r>
      <w:r>
        <w:rPr>
          <w:rFonts w:ascii="Calibri" w:cs="Calibri" w:eastAsia="Calibri" w:hAnsi="Calibri"/>
          <w:b/>
          <w:bCs/>
          <w:color w:val="333A45"/>
          <w:sz w:val="21"/>
          <w:szCs w:val="21"/>
        </w:rPr>
        <w:t xml:space="preserve">A current GDPR consolidation</w:t>
      </w:r>
      <w:r>
        <w:rPr>
          <w:rFonts w:ascii="Calibri" w:cs="Calibri" w:eastAsia="Calibri" w:hAnsi="Calibri"/>
          <w:color w:val="333A45"/>
          <w:sz w:val="21"/>
          <w:szCs w:val="21"/>
        </w:rPr>
        <w:t xml:space="preserve">, to close Limitation 2. 4. </w:t>
      </w:r>
      <w:r>
        <w:rPr>
          <w:rFonts w:ascii="Calibri" w:cs="Calibri" w:eastAsia="Calibri" w:hAnsi="Calibri"/>
          <w:b/>
          <w:bCs/>
          <w:color w:val="333A45"/>
          <w:sz w:val="21"/>
          <w:szCs w:val="21"/>
        </w:rPr>
        <w:t xml:space="preserve">The relevant Member State data protection act</w:t>
      </w:r>
      <w:r>
        <w:rPr>
          <w:rFonts w:ascii="Calibri" w:cs="Calibri" w:eastAsia="Calibri" w:hAnsi="Calibri"/>
          <w:color w:val="333A45"/>
          <w:sz w:val="21"/>
          <w:szCs w:val="21"/>
        </w:rPr>
        <w:t xml:space="preserve">, for the national provisions at Limitation 6.</w:t>
      </w:r>
    </w:p>
    <w:p>
      <w:pPr>
        <w:keepNext/>
        <w:pBdr>
          <w:bottom w:val="single" w:color="9DB9E8" w:sz="4" w:space="3"/>
        </w:pBdr>
        <w:spacing w:after="100" w:before="260"/>
      </w:pPr>
      <w:r>
        <w:rPr>
          <w:rFonts w:ascii="Calibri" w:cs="Calibri" w:eastAsia="Calibri" w:hAnsi="Calibri"/>
          <w:b/>
          <w:bCs/>
          <w:color w:val="2E5AAC"/>
          <w:sz w:val="26"/>
          <w:szCs w:val="26"/>
        </w:rPr>
        <w:t xml:space="preserve">Watch items</w:t>
      </w:r>
    </w:p>
    <w:p>
      <w:pPr>
        <w:pStyle w:val="ListParagraph"/>
        <w:numPr>
          <w:ilvl w:val="0"/>
          <w:numId w:val="2"/>
        </w:numPr>
        <w:spacing w:after="70"/>
      </w:pPr>
      <w:r>
        <w:rPr>
          <w:rFonts w:ascii="Calibri" w:cs="Calibri" w:eastAsia="Calibri" w:hAnsi="Calibri"/>
          <w:color w:val="333A45"/>
          <w:sz w:val="21"/>
          <w:szCs w:val="21"/>
        </w:rPr>
        <w:t xml:space="preserve">Any further amendment to AI Act Article 113. The dates in this note are the whole spine of Policy Section 4.</w:t>
      </w:r>
    </w:p>
    <w:p>
      <w:pPr>
        <w:pStyle w:val="ListParagraph"/>
        <w:numPr>
          <w:ilvl w:val="0"/>
          <w:numId w:val="2"/>
        </w:numPr>
        <w:spacing w:after="70"/>
      </w:pPr>
      <w:r>
        <w:rPr>
          <w:rFonts w:ascii="Calibri" w:cs="Calibri" w:eastAsia="Calibri" w:hAnsi="Calibri"/>
          <w:color w:val="333A45"/>
          <w:sz w:val="21"/>
          <w:szCs w:val="21"/>
        </w:rPr>
        <w:t xml:space="preserve">Commission guidelines under Article 6(5) on high-risk classification.</w:t>
      </w:r>
    </w:p>
    <w:p>
      <w:pPr>
        <w:pStyle w:val="ListParagraph"/>
        <w:numPr>
          <w:ilvl w:val="0"/>
          <w:numId w:val="2"/>
        </w:numPr>
        <w:spacing w:after="70"/>
      </w:pPr>
      <w:r>
        <w:rPr>
          <w:rFonts w:ascii="Calibri" w:cs="Calibri" w:eastAsia="Calibri" w:hAnsi="Calibri"/>
          <w:color w:val="333A45"/>
          <w:sz w:val="21"/>
          <w:szCs w:val="21"/>
        </w:rPr>
        <w:t xml:space="preserve">Harmonised standards and common specifications for the high-risk requirements, which will determine what "ready by December 2027" actually means in practice.</w:t>
      </w:r>
    </w:p>
    <w:p>
      <w:pPr>
        <w:pStyle w:val="ListParagraph"/>
        <w:numPr>
          <w:ilvl w:val="0"/>
          <w:numId w:val="2"/>
        </w:numPr>
        <w:spacing w:after="70"/>
      </w:pPr>
      <w:r>
        <w:rPr>
          <w:rFonts w:ascii="Calibri" w:cs="Calibri" w:eastAsia="Calibri" w:hAnsi="Calibri"/>
          <w:color w:val="333A45"/>
          <w:sz w:val="21"/>
          <w:szCs w:val="21"/>
        </w:rPr>
        <w:t xml:space="preserve">Guidance on the Article 50 transparency obligations, in force since 2 August 2026 and the newest live duty in the set.</w:t>
      </w:r>
    </w:p>
    <w:p>
      <w:pPr>
        <w:keepNext/>
        <w:pBdr>
          <w:bottom w:val="single" w:color="9DB9E8" w:sz="4" w:space="3"/>
        </w:pBdr>
        <w:spacing w:after="100" w:before="260"/>
      </w:pPr>
      <w:r>
        <w:rPr>
          <w:rFonts w:ascii="Calibri" w:cs="Calibri" w:eastAsia="Calibri" w:hAnsi="Calibri"/>
          <w:b/>
          <w:bCs/>
          <w:color w:val="2E5AAC"/>
          <w:sz w:val="26"/>
          <w:szCs w:val="26"/>
        </w:rPr>
        <w:t xml:space="preserve">ADDENDUM 31 August 2026 - gates closed</w:t>
      </w:r>
    </w:p>
    <w:p>
      <w:pPr>
        <w:keepNext/>
        <w:spacing w:after="80" w:before="200"/>
      </w:pPr>
      <w:r>
        <w:rPr>
          <w:rFonts w:ascii="Calibri" w:cs="Calibri" w:eastAsia="Calibri" w:hAnsi="Calibri"/>
          <w:b/>
          <w:bCs/>
          <w:color w:val="1F3864"/>
          <w:sz w:val="22"/>
          <w:szCs w:val="22"/>
        </w:rPr>
        <w:t xml:space="preserve">Annex III read item by item (Limitation 3 - CLOSED)</w:t>
      </w:r>
    </w:p>
    <w:p>
      <w:pPr>
        <w:spacing w:after="110"/>
      </w:pPr>
      <w:r>
        <w:rPr>
          <w:rFonts w:ascii="Calibri" w:cs="Calibri" w:eastAsia="Calibri" w:hAnsi="Calibri"/>
          <w:color w:val="333A45"/>
          <w:sz w:val="21"/>
          <w:szCs w:val="21"/>
        </w:rPr>
        <w:t xml:space="preserve">Annex III of the consolidated text (02024R1689-20260727) was read in full. It lists eight areas: (1) biometrics - remote biometric identification (verification-only systems excluded), biometric categorisation on sensitive or protected attributes, emotion recognition; (2) critical infrastructure safety components; (3) education and vocational training - admission, evaluation of learning outcomes, level assessment, test monitoring; (4) employment, workers' management and access to self-employment; (5) essential services - public assistance eligibility, creditworthiness (fraud-detection excepted), life and health insurance risk assessment and pricing, emergency call handling; (6) law enforcement; (7) migration, asylum and border control; (8) administration of justice and democratic processes. </w:t>
      </w:r>
      <w:r>
        <w:rPr>
          <w:rFonts w:ascii="Calibri" w:cs="Calibri" w:eastAsia="Calibri" w:hAnsi="Calibri"/>
          <w:b/>
          <w:bCs/>
          <w:color w:val="333A45"/>
          <w:sz w:val="21"/>
          <w:szCs w:val="21"/>
        </w:rPr>
        <w:t xml:space="preserve">The whole Annex is base text (▼B): Regulation (EU) 2026/1744 did not amend it.</w:t>
      </w:r>
      <w:r>
        <w:rPr>
          <w:rFonts w:ascii="Calibri" w:cs="Calibri" w:eastAsia="Calibri" w:hAnsi="Calibri"/>
          <w:color w:val="333A45"/>
          <w:sz w:val="21"/>
          <w:szCs w:val="21"/>
        </w:rPr>
        <w:t xml:space="preserve"> The omnibus's classification changes sit in Article 6(1a)-(1c) and concern Annex I safety components.</w:t>
      </w:r>
    </w:p>
    <w:p>
      <w:pPr>
        <w:spacing w:after="110"/>
      </w:pPr>
      <w:r>
        <w:rPr>
          <w:rFonts w:ascii="Calibri" w:cs="Calibri" w:eastAsia="Calibri" w:hAnsi="Calibri"/>
          <w:color w:val="333A45"/>
          <w:sz w:val="21"/>
          <w:szCs w:val="21"/>
        </w:rPr>
        <w:t xml:space="preserve">What this changes in the set:</w:t>
      </w:r>
    </w:p>
    <w:p>
      <w:pPr>
        <w:pStyle w:val="ListParagraph"/>
        <w:numPr>
          <w:ilvl w:val="0"/>
          <w:numId w:val="2"/>
        </w:numPr>
        <w:spacing w:after="70"/>
      </w:pPr>
      <w:r>
        <w:rPr>
          <w:rFonts w:ascii="Calibri" w:cs="Calibri" w:eastAsia="Calibri" w:hAnsi="Calibri"/>
          <w:b/>
          <w:bCs/>
          <w:color w:val="333A45"/>
          <w:sz w:val="21"/>
          <w:szCs w:val="21"/>
        </w:rPr>
        <w:t xml:space="preserve">Policy 12.1 rewritten from "expected" to verified.</w:t>
      </w:r>
      <w:r>
        <w:rPr>
          <w:rFonts w:ascii="Calibri" w:cs="Calibri" w:eastAsia="Calibri" w:hAnsi="Calibri"/>
          <w:color w:val="333A45"/>
          <w:sz w:val="21"/>
          <w:szCs w:val="21"/>
        </w:rPr>
        <w:t xml:space="preserve"> Annex III point 4(a) lists systems for recruitment or selection - targeted advertisements, application filtering, candidate evaluation; point 4(b) lists decisions on promotion, termination, task allocation based on behaviour or traits, and monitoring and evaluation of performance and behaviour. The policy now states the listing directly.</w:t>
      </w:r>
    </w:p>
    <w:p>
      <w:pPr>
        <w:pStyle w:val="ListParagraph"/>
        <w:numPr>
          <w:ilvl w:val="0"/>
          <w:numId w:val="2"/>
        </w:numPr>
        <w:spacing w:after="70"/>
      </w:pPr>
      <w:r>
        <w:rPr>
          <w:rFonts w:ascii="Calibri" w:cs="Calibri" w:eastAsia="Calibri" w:hAnsi="Calibri"/>
          <w:b/>
          <w:bCs/>
          <w:color w:val="333A45"/>
          <w:sz w:val="21"/>
          <w:szCs w:val="21"/>
        </w:rPr>
        <w:t xml:space="preserve">The listing is not automatic classification.</w:t>
      </w:r>
      <w:r>
        <w:rPr>
          <w:rFonts w:ascii="Calibri" w:cs="Calibri" w:eastAsia="Calibri" w:hAnsi="Calibri"/>
          <w:color w:val="333A45"/>
          <w:sz w:val="21"/>
          <w:szCs w:val="21"/>
        </w:rPr>
        <w:t xml:space="preserve"> Article 6(3) derogates systems posing no significant risk (narrow procedural tasks, improving a completed human activity, deviation detection without replacing human assessment, preparatory tasks) - but the derogation </w:t>
      </w:r>
      <w:r>
        <w:rPr>
          <w:rFonts w:ascii="Calibri" w:cs="Calibri" w:eastAsia="Calibri" w:hAnsi="Calibri"/>
          <w:b/>
          <w:bCs/>
          <w:color w:val="333A45"/>
          <w:sz w:val="21"/>
          <w:szCs w:val="21"/>
        </w:rPr>
        <w:t xml:space="preserve">cannot apply where the system profiles natural persons</w:t>
      </w:r>
      <w:r>
        <w:rPr>
          <w:rFonts w:ascii="Calibri" w:cs="Calibri" w:eastAsia="Calibri" w:hAnsi="Calibri"/>
          <w:color w:val="333A45"/>
          <w:sz w:val="21"/>
          <w:szCs w:val="21"/>
        </w:rPr>
        <w:t xml:space="preserve">, and a provider invoking it must document the assessment before market placement (Art 6(4)). Most employment-context AI evaluating people involves profiling; the policy's wording reflects the listing with the derogation caveat.</w:t>
      </w:r>
    </w:p>
    <w:p>
      <w:pPr>
        <w:pStyle w:val="ListParagraph"/>
        <w:numPr>
          <w:ilvl w:val="0"/>
          <w:numId w:val="2"/>
        </w:numPr>
        <w:spacing w:after="70"/>
      </w:pPr>
      <w:r>
        <w:rPr>
          <w:rFonts w:ascii="Calibri" w:cs="Calibri" w:eastAsia="Calibri" w:hAnsi="Calibri"/>
          <w:color w:val="333A45"/>
          <w:sz w:val="21"/>
          <w:szCs w:val="21"/>
        </w:rPr>
        <w:t xml:space="preserve">Other policy touchpoints confirmed in the list: creditworthiness scoring (5(b)), emotion recognition where not already prohibited by Art 5(1)(f) (1(c)), biometric categorisation (1(b)) - consistent with how Policy 6.1, 12.1 and the Level 4 register treat them.</w:t>
      </w:r>
    </w:p>
    <w:p>
      <w:pPr>
        <w:pStyle w:val="ListParagraph"/>
        <w:numPr>
          <w:ilvl w:val="0"/>
          <w:numId w:val="2"/>
        </w:numPr>
        <w:spacing w:after="70"/>
      </w:pPr>
      <w:r>
        <w:rPr>
          <w:rFonts w:ascii="Calibri" w:cs="Calibri" w:eastAsia="Calibri" w:hAnsi="Calibri"/>
          <w:b/>
          <w:bCs/>
          <w:color w:val="333A45"/>
          <w:sz w:val="21"/>
          <w:szCs w:val="21"/>
        </w:rPr>
        <w:t xml:space="preserve">Article 6(5) guidelines:</w:t>
      </w:r>
      <w:r>
        <w:rPr>
          <w:rFonts w:ascii="Calibri" w:cs="Calibri" w:eastAsia="Calibri" w:hAnsi="Calibri"/>
          <w:color w:val="333A45"/>
          <w:sz w:val="21"/>
          <w:szCs w:val="21"/>
        </w:rPr>
        <w:t xml:space="preserve"> the Commission was required to issue classification guidelines by 2 February 2026. They are not held in the corpus and nothing here rests on them; obtain before any contested classification call. (Watch item retained.)</w:t>
      </w:r>
    </w:p>
    <w:p>
      <w:pPr>
        <w:keepNext/>
        <w:spacing w:after="80" w:before="200"/>
      </w:pPr>
      <w:r>
        <w:rPr>
          <w:rFonts w:ascii="Calibri" w:cs="Calibri" w:eastAsia="Calibri" w:hAnsi="Calibri"/>
          <w:b/>
          <w:bCs/>
          <w:color w:val="1F3864"/>
          <w:sz w:val="22"/>
          <w:szCs w:val="22"/>
        </w:rPr>
        <w:t xml:space="preserve">GDPR consolidation (Limitation 2 - currency CLOSED, wording check open)</w:t>
      </w:r>
    </w:p>
    <w:p>
      <w:pPr>
        <w:spacing w:after="110"/>
      </w:pPr>
      <w:r>
        <w:rPr>
          <w:rFonts w:ascii="Calibri" w:cs="Calibri" w:eastAsia="Calibri" w:hAnsi="Calibri"/>
          <w:color w:val="333A45"/>
          <w:sz w:val="21"/>
          <w:szCs w:val="21"/>
        </w:rPr>
        <w:t xml:space="preserve">Checked 31 August 2026: the current consolidated GDPR remains 02016R0679-20160504. The amending proposals in the data-side Digital Omnibus package were </w:t>
      </w:r>
      <w:r>
        <w:rPr>
          <w:rFonts w:ascii="Calibri" w:cs="Calibri" w:eastAsia="Calibri" w:hAnsi="Calibri"/>
          <w:b/>
          <w:bCs/>
          <w:color w:val="333A45"/>
          <w:sz w:val="21"/>
          <w:szCs w:val="21"/>
        </w:rPr>
        <w:t xml:space="preserve">not adopted</w:t>
      </w:r>
      <w:r>
        <w:rPr>
          <w:rFonts w:ascii="Calibri" w:cs="Calibri" w:eastAsia="Calibri" w:hAnsi="Calibri"/>
          <w:color w:val="333A45"/>
          <w:sz w:val="21"/>
          <w:szCs w:val="21"/>
        </w:rPr>
        <w:t xml:space="preserve"> as at this date - the adopted Regulation (EU) 2026/1744 amends the AI Act, the aviation regulation and the machinery regulation only, per its own title and text (held in corpus). Web sources were used solely to confirm that no amending act exists to obtain; no obligation rests on them. The corrigenda-wording pass against the consolidated text (►C markers) remains the one open step; no position in this set has been identified that turns on corrected wording, and the cited obligations are structural rather than fine-worded.</w:t>
      </w:r>
    </w:p>
    <w:p>
      <w:pPr>
        <w:keepNext/>
        <w:spacing w:after="80" w:before="200"/>
      </w:pPr>
      <w:r>
        <w:rPr>
          <w:rFonts w:ascii="Calibri" w:cs="Calibri" w:eastAsia="Calibri" w:hAnsi="Calibri"/>
          <w:b/>
          <w:bCs/>
          <w:color w:val="1F3864"/>
          <w:sz w:val="22"/>
          <w:szCs w:val="22"/>
        </w:rPr>
        <w:t xml:space="preserve">Member State overlay note (Limitation 6 - stated and scoped)</w:t>
      </w:r>
    </w:p>
    <w:p>
      <w:pPr>
        <w:spacing w:after="110"/>
      </w:pPr>
      <w:r>
        <w:rPr>
          <w:rFonts w:ascii="Calibri" w:cs="Calibri" w:eastAsia="Calibri" w:hAnsi="Calibri"/>
          <w:color w:val="333A45"/>
          <w:sz w:val="21"/>
          <w:szCs w:val="21"/>
        </w:rPr>
        <w:t xml:space="preserve">The GDPR is a regulation with opening clauses, and the AI Act leaves national machinery to Member States. An organisation deploying in a specific Member State must overlay, at minimum: national employment-data provisions (the GDPR permits more specific national rules for the employment context, including collective agreements); national conditions on special categories and genetic, biometric or health data (Member States may maintain or introduce further conditions); national rules on criminal-convictions data; the national age of consent for information-society services (13 to 16 by Member State); mandatory DPO designation beyond the GDPR's cases (some Member States extend it); worker-representation rights over workplace AI (works-council codetermination regimes can require agreement before deployment of monitoring or evaluation systems); the Member State's AI Act implementation - notified market surveillance authorities and the national penalty regime; and sector supervisors. </w:t>
      </w:r>
      <w:r>
        <w:rPr>
          <w:rFonts w:ascii="Calibri" w:cs="Calibri" w:eastAsia="Calibri" w:hAnsi="Calibri"/>
          <w:b/>
          <w:bCs/>
          <w:color w:val="333A45"/>
          <w:sz w:val="21"/>
          <w:szCs w:val="21"/>
        </w:rPr>
        <w:t xml:space="preserve">None of this is mapped in this set, by design</w:t>
      </w:r>
      <w:r>
        <w:rPr>
          <w:rFonts w:ascii="Calibri" w:cs="Calibri" w:eastAsia="Calibri" w:hAnsi="Calibri"/>
          <w:color w:val="333A45"/>
          <w:sz w:val="21"/>
          <w:szCs w:val="21"/>
        </w:rPr>
        <w:t xml:space="preserve"> - it is a Union-law baseline; the overlay is stated so it is planned for, not discovered late. Per-state columns belong to the jurisdiction comparison matrix (series part 3).</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Research note - primary-source verification (EU)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Note - EU AI Policy Set</dc:title>
  <dc:creator>Narendra Karki</dc:creator>
  <cp:lastModifiedBy>Narendra Karki</cp:lastModifiedBy>
  <cp:revision>1</cp:revision>
  <dcterms:created xsi:type="dcterms:W3CDTF">2026-08-31T05:57:45.848Z</dcterms:created>
  <dcterms:modified xsi:type="dcterms:W3CDTF">2026-08-31T05:57:45.848Z</dcterms:modified>
</cp:coreProperties>
</file>

<file path=docProps/custom.xml><?xml version="1.0" encoding="utf-8"?>
<Properties xmlns="http://schemas.openxmlformats.org/officeDocument/2006/custom-properties" xmlns:vt="http://schemas.openxmlformats.org/officeDocument/2006/docPropsVTypes"/>
</file>