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5AAC" w:sz="12" w:space="6"/>
        </w:pBdr>
        <w:spacing w:after="60"/>
      </w:pPr>
      <w:r>
        <w:rPr>
          <w:rFonts w:ascii="Calibri" w:cs="Calibri" w:eastAsia="Calibri" w:hAnsi="Calibri"/>
          <w:b/>
          <w:bCs/>
          <w:color w:val="1F3864"/>
          <w:sz w:val="42"/>
          <w:szCs w:val="42"/>
        </w:rPr>
        <w:t xml:space="preserve">Source register - EU AI policy set</w:t>
      </w:r>
    </w:p>
    <w:p>
      <w:pPr>
        <w:spacing w:after="110"/>
      </w:pPr>
      <w:r>
        <w:rPr>
          <w:rFonts w:ascii="Calibri" w:cs="Calibri" w:eastAsia="Calibri" w:hAnsi="Calibri"/>
          <w:color w:val="333A45"/>
          <w:sz w:val="21"/>
          <w:szCs w:val="21"/>
        </w:rPr>
        <w:t xml:space="preserve">Every document referred to, used, or deliberately not used in producing the EU AI Acceptable Use Policy v1.0, the Enterprise Annex v1.0, and the research note.</w:t>
      </w:r>
    </w:p>
    <w:p>
      <w:pPr>
        <w:spacing w:after="110"/>
      </w:pPr>
      <w:r>
        <w:rPr>
          <w:rFonts w:ascii="Calibri" w:cs="Calibri" w:eastAsia="Calibri" w:hAnsi="Calibri"/>
          <w:color w:val="333A45"/>
          <w:sz w:val="21"/>
          <w:szCs w:val="21"/>
        </w:rPr>
        <w:t xml:space="preserve">State as at 30 August 2026. Hashes are SHA-256 of the file as supplied, truncated to 16 characters.</w:t>
      </w:r>
    </w:p>
    <w:p>
      <w:pPr>
        <w:keepNext/>
        <w:pBdr>
          <w:bottom w:val="single" w:color="9DB9E8" w:sz="4" w:space="3"/>
        </w:pBdr>
        <w:spacing w:after="100" w:before="260"/>
      </w:pPr>
      <w:r>
        <w:rPr>
          <w:rFonts w:ascii="Calibri" w:cs="Calibri" w:eastAsia="Calibri" w:hAnsi="Calibri"/>
          <w:b/>
          <w:bCs/>
          <w:color w:val="2E5AAC"/>
          <w:sz w:val="26"/>
          <w:szCs w:val="26"/>
        </w:rPr>
        <w:t xml:space="preserve">1. Primary law - HELD AND CITED</w:t>
      </w:r>
    </w:p>
    <w:tbl>
      <w:tblPr>
        <w:tblW w:type="dxa" w:w="9000"/>
        <w:tblBorders>
          <w:top w:val="single" w:color="9DB9E8" w:sz="4"/>
          <w:left w:val="single" w:color="9DB9E8" w:sz="4"/>
          <w:bottom w:val="single" w:color="9DB9E8" w:sz="4"/>
          <w:right w:val="single" w:color="9DB9E8" w:sz="4"/>
          <w:insideH w:val="single" w:color="9DB9E8" w:sz="4"/>
          <w:insideV w:val="single" w:color="9DB9E8" w:sz="4"/>
        </w:tblBorders>
      </w:tblPr>
      <w:tblGrid>
        <w:gridCol w:w="1800"/>
        <w:gridCol w:w="1800"/>
        <w:gridCol w:w="1800"/>
        <w:gridCol w:w="1800"/>
        <w:gridCol w:w="1800"/>
      </w:tblGrid>
      <w:tr>
        <w:trPr>
          <w:tblHeader/>
        </w:trPr>
        <w:tc>
          <w:tcPr>
            <w:tcW w:type="dxa" w:w="18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w:t>
            </w:r>
          </w:p>
        </w:tc>
        <w:tc>
          <w:tcPr>
            <w:tcW w:type="dxa" w:w="18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Instrument</w:t>
            </w:r>
          </w:p>
        </w:tc>
        <w:tc>
          <w:tcPr>
            <w:tcW w:type="dxa" w:w="18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Version</w:t>
            </w:r>
          </w:p>
        </w:tc>
        <w:tc>
          <w:tcPr>
            <w:tcW w:type="dxa" w:w="18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SHA-256</w:t>
            </w:r>
          </w:p>
        </w:tc>
        <w:tc>
          <w:tcPr>
            <w:tcW w:type="dxa" w:w="18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Provisions cited</w:t>
            </w:r>
          </w:p>
        </w:tc>
      </w:tr>
      <w:tr>
        <w:trPr>
          <w:tblHeader w:val="false"/>
        </w:trPr>
        <w:tc>
          <w:tcPr>
            <w:tcW w:type="dxa" w:w="18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w:t>
            </w:r>
          </w:p>
        </w:tc>
        <w:tc>
          <w:tcPr>
            <w:tcW w:type="dxa" w:w="18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Regulation (EU) 2024/1689 - consolidated</w:t>
            </w:r>
            <w:r>
              <w:rPr>
                <w:rFonts w:ascii="Calibri" w:cs="Calibri" w:eastAsia="Calibri" w:hAnsi="Calibri"/>
                <w:color w:val="333A45"/>
                <w:sz w:val="19"/>
                <w:szCs w:val="19"/>
              </w:rPr>
              <w:t xml:space="preserve"> (Artificial Intelligence Act)</w:t>
            </w:r>
          </w:p>
        </w:tc>
        <w:tc>
          <w:tcPr>
            <w:tcW w:type="dxa" w:w="18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02024R1689-20260727, ELI reg/2024/1689/2026-07-27, 183 pp</w:t>
            </w:r>
          </w:p>
        </w:tc>
        <w:tc>
          <w:tcPr>
            <w:tcW w:type="dxa" w:w="18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9a27b5a3e8363773</w:t>
            </w:r>
          </w:p>
        </w:tc>
        <w:tc>
          <w:tcPr>
            <w:tcW w:type="dxa" w:w="18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Arts 3, 4, 5(1)(a)-(h), 5(1)(ba)-(bb), 5(1a)-(1b), 5(2)-(4), 25, 50(1)-(4), Ch V, Ch III Ss.1-3, 113</w:t>
            </w:r>
          </w:p>
        </w:tc>
      </w:tr>
      <w:tr>
        <w:trPr>
          <w:tblHeader w:val="false"/>
        </w:trPr>
        <w:tc>
          <w:tcPr>
            <w:tcW w:type="dxa" w:w="18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2</w:t>
            </w:r>
          </w:p>
        </w:tc>
        <w:tc>
          <w:tcPr>
            <w:tcW w:type="dxa" w:w="18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Regulation (EU) 2016/679</w:t>
            </w:r>
            <w:r>
              <w:rPr>
                <w:rFonts w:ascii="Calibri" w:cs="Calibri" w:eastAsia="Calibri" w:hAnsi="Calibri"/>
                <w:color w:val="333A45"/>
                <w:sz w:val="19"/>
                <w:szCs w:val="19"/>
              </w:rPr>
              <w:t xml:space="preserve"> (GDPR)</w:t>
            </w:r>
          </w:p>
        </w:tc>
        <w:tc>
          <w:tcPr>
            <w:tcW w:type="dxa" w:w="18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OJ L 119, 4.5.2016, pp. 1-88, 115 pp</w:t>
            </w:r>
          </w:p>
        </w:tc>
        <w:tc>
          <w:tcPr>
            <w:tcW w:type="dxa" w:w="18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64eed1e00079bc5e</w:t>
            </w:r>
          </w:p>
        </w:tc>
        <w:tc>
          <w:tcPr>
            <w:tcW w:type="dxa" w:w="18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Arts 5, 6, 9, 10, 12, 13, 14, 15-21, 19, 22, 24, 28, 30, 32, 33, 34, 35, 37, 38, 45, 46, 49, 77</w:t>
            </w:r>
          </w:p>
        </w:tc>
      </w:tr>
      <w:tr>
        <w:trPr>
          <w:tblHeader w:val="false"/>
        </w:trPr>
        <w:tc>
          <w:tcPr>
            <w:tcW w:type="dxa" w:w="18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3</w:t>
            </w:r>
          </w:p>
        </w:tc>
        <w:tc>
          <w:tcPr>
            <w:tcW w:type="dxa" w:w="18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Regulation (EU) 2026/1744</w:t>
            </w:r>
            <w:r>
              <w:rPr>
                <w:rFonts w:ascii="Calibri" w:cs="Calibri" w:eastAsia="Calibri" w:hAnsi="Calibri"/>
                <w:color w:val="333A45"/>
                <w:sz w:val="19"/>
                <w:szCs w:val="19"/>
              </w:rPr>
              <w:t xml:space="preserve"> (Digital Omnibus on AI)</w:t>
            </w:r>
          </w:p>
        </w:tc>
        <w:tc>
          <w:tcPr>
            <w:tcW w:type="dxa" w:w="18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OJ L, 2026/1744, 24.7.2026; of 8 July 2026, 53 pp</w:t>
            </w:r>
          </w:p>
        </w:tc>
        <w:tc>
          <w:tcPr>
            <w:tcW w:type="dxa" w:w="18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6e19c3c176ef29f7</w:t>
            </w:r>
          </w:p>
        </w:tc>
        <w:tc>
          <w:tcPr>
            <w:tcW w:type="dxa" w:w="18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The M1 amendment. Read to establish what changed</w:t>
            </w:r>
          </w:p>
        </w:tc>
      </w:tr>
    </w:tbl>
    <w:p>
      <w:pPr>
        <w:spacing w:after="120"/>
      </w:pPr>
    </w:p>
    <w:p>
      <w:pPr>
        <w:keepNext/>
        <w:pBdr>
          <w:bottom w:val="single" w:color="9DB9E8" w:sz="4" w:space="3"/>
        </w:pBdr>
        <w:spacing w:after="100" w:before="260"/>
      </w:pPr>
      <w:r>
        <w:rPr>
          <w:rFonts w:ascii="Calibri" w:cs="Calibri" w:eastAsia="Calibri" w:hAnsi="Calibri"/>
          <w:b/>
          <w:bCs/>
          <w:color w:val="2E5AAC"/>
          <w:sz w:val="26"/>
          <w:szCs w:val="26"/>
        </w:rPr>
        <w:t xml:space="preserve">2. HELD BUT NOT CITED</w:t>
      </w:r>
    </w:p>
    <w:tbl>
      <w:tblPr>
        <w:tblW w:type="dxa" w:w="9000"/>
        <w:tblBorders>
          <w:top w:val="single" w:color="9DB9E8" w:sz="4"/>
          <w:left w:val="single" w:color="9DB9E8" w:sz="4"/>
          <w:bottom w:val="single" w:color="9DB9E8" w:sz="4"/>
          <w:right w:val="single" w:color="9DB9E8" w:sz="4"/>
          <w:insideH w:val="single" w:color="9DB9E8" w:sz="4"/>
          <w:insideV w:val="single" w:color="9DB9E8" w:sz="4"/>
        </w:tblBorders>
      </w:tblPr>
      <w:tblGrid>
        <w:gridCol w:w="3000"/>
        <w:gridCol w:w="3000"/>
        <w:gridCol w:w="3000"/>
      </w:tblGrid>
      <w:tr>
        <w:trPr>
          <w:tblHeader/>
        </w:trPr>
        <w:tc>
          <w:tcPr>
            <w:tcW w:type="dxa" w:w="30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Document</w:t>
            </w:r>
          </w:p>
        </w:tc>
        <w:tc>
          <w:tcPr>
            <w:tcW w:type="dxa" w:w="30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Why held, why not cited</w:t>
            </w:r>
          </w:p>
        </w:tc>
        <w:tc>
          <w:tcPr>
            <w:tcW w:type="dxa" w:w="30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SHA-256</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Regulation (EU) 2024/1689 as adopted</w:t>
            </w:r>
            <w:r>
              <w:rPr>
                <w:rFonts w:ascii="Calibri" w:cs="Calibri" w:eastAsia="Calibri" w:hAnsi="Calibri"/>
                <w:color w:val="333A45"/>
                <w:sz w:val="19"/>
                <w:szCs w:val="19"/>
              </w:rPr>
              <w:t xml:space="preserve"> (OJ L, 2024/1689, 12.7.2024), 192 pp</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Superseded by the consolidation at row 1. Retained to show what the omnibus changed. </w:t>
            </w:r>
            <w:r>
              <w:rPr>
                <w:rFonts w:ascii="Calibri" w:cs="Calibri" w:eastAsia="Calibri" w:hAnsi="Calibri"/>
                <w:b/>
                <w:bCs/>
                <w:color w:val="333A45"/>
                <w:sz w:val="19"/>
                <w:szCs w:val="19"/>
              </w:rPr>
              <w:t xml:space="preserve">No obligation rests on it</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67a8ee395f23204d</w:t>
            </w:r>
          </w:p>
        </w:tc>
      </w:tr>
      <w:tr>
        <w:trPr>
          <w:tblHeader w:val="false"/>
        </w:trPr>
        <w:tc>
          <w:tcPr>
            <w:tcW w:type="dxa" w:w="30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Commission overview page on the AI Act</w:t>
            </w:r>
            <w:r>
              <w:rPr>
                <w:rFonts w:ascii="Calibri" w:cs="Calibri" w:eastAsia="Calibri" w:hAnsi="Calibri"/>
                <w:color w:val="333A45"/>
                <w:sz w:val="19"/>
                <w:szCs w:val="19"/>
              </w:rPr>
              <w:t xml:space="preserve"> (node_9745, digital-strategy.ec.europa.eu)</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Web content.</w:t>
            </w:r>
            <w:r>
              <w:rPr>
                <w:rFonts w:ascii="Calibri" w:cs="Calibri" w:eastAsia="Calibri" w:hAnsi="Calibri"/>
                <w:color w:val="333A45"/>
                <w:sz w:val="19"/>
                <w:szCs w:val="19"/>
              </w:rPr>
              <w:t xml:space="preserve"> Used only to confirm which instruments to obtain. </w:t>
            </w:r>
            <w:r>
              <w:rPr>
                <w:rFonts w:ascii="Calibri" w:cs="Calibri" w:eastAsia="Calibri" w:hAnsi="Calibri"/>
                <w:b/>
                <w:bCs/>
                <w:color w:val="333A45"/>
                <w:sz w:val="19"/>
                <w:szCs w:val="19"/>
              </w:rPr>
              <w:t xml:space="preserve">Not cited anywhere, and it is not authority</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f8997d3df88f0cad</w:t>
            </w:r>
          </w:p>
        </w:tc>
      </w:tr>
    </w:tbl>
    <w:p>
      <w:pPr>
        <w:spacing w:after="120"/>
      </w:pPr>
    </w:p>
    <w:p>
      <w:pPr>
        <w:spacing w:after="110"/>
      </w:pPr>
      <w:r>
        <w:rPr>
          <w:rFonts w:ascii="Calibri" w:cs="Calibri" w:eastAsia="Calibri" w:hAnsi="Calibri"/>
          <w:color w:val="333A45"/>
          <w:sz w:val="21"/>
          <w:szCs w:val="21"/>
        </w:rPr>
        <w:t xml:space="preserve">The distinction at row 2 matters. The overview page is a good page; it is still a web page, and no figure, date or provision in this set was taken from it.</w:t>
      </w:r>
    </w:p>
    <w:p>
      <w:pPr>
        <w:keepNext/>
        <w:pBdr>
          <w:bottom w:val="single" w:color="9DB9E8" w:sz="4" w:space="3"/>
        </w:pBdr>
        <w:spacing w:after="100" w:before="260"/>
      </w:pPr>
      <w:r>
        <w:rPr>
          <w:rFonts w:ascii="Calibri" w:cs="Calibri" w:eastAsia="Calibri" w:hAnsi="Calibri"/>
          <w:b/>
          <w:bCs/>
          <w:color w:val="2E5AAC"/>
          <w:sz w:val="26"/>
          <w:szCs w:val="26"/>
        </w:rPr>
        <w:t xml:space="preserve">3. NOT HELD - the gaps that shape what these documents can say</w:t>
      </w:r>
    </w:p>
    <w:tbl>
      <w:tblPr>
        <w:tblW w:type="dxa" w:w="9000"/>
        <w:tblBorders>
          <w:top w:val="single" w:color="9DB9E8" w:sz="4"/>
          <w:left w:val="single" w:color="9DB9E8" w:sz="4"/>
          <w:bottom w:val="single" w:color="9DB9E8" w:sz="4"/>
          <w:right w:val="single" w:color="9DB9E8" w:sz="4"/>
          <w:insideH w:val="single" w:color="9DB9E8" w:sz="4"/>
          <w:insideV w:val="single" w:color="9DB9E8" w:sz="4"/>
        </w:tblBorders>
      </w:tblPr>
      <w:tblGrid>
        <w:gridCol w:w="4500"/>
        <w:gridCol w:w="4500"/>
      </w:tblGrid>
      <w:tr>
        <w:trPr>
          <w:tblHeader/>
        </w:trPr>
        <w:tc>
          <w:tcPr>
            <w:tcW w:type="dxa" w:w="45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What is missing</w:t>
            </w:r>
          </w:p>
        </w:tc>
        <w:tc>
          <w:tcPr>
            <w:tcW w:type="dxa" w:w="45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Consequence</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Regulation (EU) 2022/2554 (DORA)</w:t>
            </w:r>
          </w:p>
        </w:tc>
        <w:tc>
          <w:tcPr>
            <w:tcW w:type="dxa" w:w="4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Requested but not supplied.</w:t>
            </w:r>
            <w:r>
              <w:rPr>
                <w:rFonts w:ascii="Calibri" w:cs="Calibri" w:eastAsia="Calibri" w:hAnsi="Calibri"/>
                <w:color w:val="333A45"/>
                <w:sz w:val="19"/>
                <w:szCs w:val="19"/>
              </w:rPr>
              <w:t xml:space="preserve"> No financial-entity annex exists. Nothing about ICT third-party risk, the register of information, ICT incident classification and reporting, contractual requirements, exit strategies or critical-provider designation is asserted anywhere. Annex A11.2 says so explicitly rather than gesturing at it</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Annex III, read item by item</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12.1 says recruitment and employment-management systems are "expected" to be high-risk. That is a signposted uncertainty, not a verified classification</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A current GDPR consolidation</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GDPR is cited from the 4 May 2016 OJ text. Corrigenda since should be checked before a position turns on precise wording</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Member State data protection law</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The GDPR leaves national room on employment data, special categories and criminal-convictions data. None supplied, none asserted</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Union equality / anti-discrimination law</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17 carries no citation and is a house standard</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Union intellectual property law</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15.1 is a house standard; no statutory basis asserted</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Harmonised standards for the high-risk requirements</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Annex A3 requires readiness plans without being able to say what "ready" will mean technically</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Commission guidelines under Article 6(5)</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Excluded from the high-risk deferral, so potentially live; not examined</w:t>
            </w:r>
          </w:p>
        </w:tc>
      </w:tr>
    </w:tbl>
    <w:p>
      <w:pPr>
        <w:spacing w:after="120"/>
      </w:pPr>
    </w:p>
    <w:p>
      <w:pPr>
        <w:keepNext/>
        <w:pBdr>
          <w:bottom w:val="single" w:color="9DB9E8" w:sz="4" w:space="3"/>
        </w:pBdr>
        <w:spacing w:after="100" w:before="260"/>
      </w:pPr>
      <w:r>
        <w:rPr>
          <w:rFonts w:ascii="Calibri" w:cs="Calibri" w:eastAsia="Calibri" w:hAnsi="Calibri"/>
          <w:b/>
          <w:bCs/>
          <w:color w:val="2E5AAC"/>
          <w:sz w:val="26"/>
          <w:szCs w:val="26"/>
        </w:rPr>
        <w:t xml:space="preserve">4. Document architecture</w:t>
      </w:r>
    </w:p>
    <w:p>
      <w:pPr>
        <w:spacing w:after="110"/>
      </w:pPr>
      <w:r>
        <w:rPr>
          <w:rFonts w:ascii="Calibri" w:cs="Calibri" w:eastAsia="Calibri" w:hAnsi="Calibri"/>
          <w:color w:val="333A45"/>
          <w:sz w:val="21"/>
          <w:szCs w:val="21"/>
        </w:rPr>
        <w:t xml:space="preserve">[ORGANISATION] supplied an existing policy set as a structural template. Only its architecture was used: section order, tone, the convention that article numbers live in the research note rather than the policy body, and the practice of flagging house standards that exceed statute.</w:t>
      </w:r>
    </w:p>
    <w:p>
      <w:pPr>
        <w:spacing w:after="110"/>
      </w:pPr>
      <w:r>
        <w:rPr>
          <w:rFonts w:ascii="Calibri" w:cs="Calibri" w:eastAsia="Calibri" w:hAnsi="Calibri"/>
          <w:b/>
          <w:bCs/>
          <w:color w:val="333A45"/>
          <w:sz w:val="21"/>
          <w:szCs w:val="21"/>
        </w:rPr>
        <w:t xml:space="preserve">No legal source from that template was carried across.</w:t>
      </w:r>
      <w:r>
        <w:rPr>
          <w:rFonts w:ascii="Calibri" w:cs="Calibri" w:eastAsia="Calibri" w:hAnsi="Calibri"/>
          <w:color w:val="333A45"/>
          <w:sz w:val="21"/>
          <w:szCs w:val="21"/>
        </w:rPr>
        <w:t xml:space="preserve"> Every obligation in this set was derived independently from the instruments in section 1. Where the template carried a citation and no equivalent Union instrument was supplied, the clause here is an unsourced house standard and is labelled as such.</w:t>
      </w:r>
    </w:p>
    <w:p>
      <w:pPr>
        <w:keepNext/>
        <w:pBdr>
          <w:bottom w:val="single" w:color="9DB9E8" w:sz="4" w:space="3"/>
        </w:pBdr>
        <w:spacing w:after="100" w:before="260"/>
      </w:pPr>
      <w:r>
        <w:rPr>
          <w:rFonts w:ascii="Calibri" w:cs="Calibri" w:eastAsia="Calibri" w:hAnsi="Calibri"/>
          <w:b/>
          <w:bCs/>
          <w:color w:val="2E5AAC"/>
          <w:sz w:val="26"/>
          <w:szCs w:val="26"/>
        </w:rPr>
        <w:t xml:space="preserve">5. Documents PRODUCED</w:t>
      </w:r>
    </w:p>
    <w:tbl>
      <w:tblPr>
        <w:tblW w:type="dxa" w:w="9000"/>
        <w:tblBorders>
          <w:top w:val="single" w:color="9DB9E8" w:sz="4"/>
          <w:left w:val="single" w:color="9DB9E8" w:sz="4"/>
          <w:bottom w:val="single" w:color="9DB9E8" w:sz="4"/>
          <w:right w:val="single" w:color="9DB9E8" w:sz="4"/>
          <w:insideH w:val="single" w:color="9DB9E8" w:sz="4"/>
          <w:insideV w:val="single" w:color="9DB9E8" w:sz="4"/>
        </w:tblBorders>
      </w:tblPr>
      <w:tblGrid>
        <w:gridCol w:w="3000"/>
        <w:gridCol w:w="3000"/>
        <w:gridCol w:w="3000"/>
      </w:tblGrid>
      <w:tr>
        <w:trPr>
          <w:tblHeader/>
        </w:trPr>
        <w:tc>
          <w:tcPr>
            <w:tcW w:type="dxa" w:w="30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Document</w:t>
            </w:r>
          </w:p>
        </w:tc>
        <w:tc>
          <w:tcPr>
            <w:tcW w:type="dxa" w:w="30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Version</w:t>
            </w:r>
          </w:p>
        </w:tc>
        <w:tc>
          <w:tcPr>
            <w:tcW w:type="dxa" w:w="30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Status</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EU_AI_Acceptable_Use_Policy.md</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1.0</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Draft</w:t>
            </w:r>
          </w:p>
        </w:tc>
      </w:tr>
      <w:tr>
        <w:trPr>
          <w:tblHeader w:val="false"/>
        </w:trPr>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EU_AI_Governance_Enterprise_Annex.md</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1.0</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Draft</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EU_policy_research_note.md</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1.0</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Citations, commencement table, limitations</w:t>
            </w:r>
          </w:p>
        </w:tc>
      </w:tr>
      <w:tr>
        <w:trPr>
          <w:tblHeader w:val="false"/>
        </w:trPr>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EU_source_register.md</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1.0</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This document</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i/>
                <w:iCs/>
                <w:color w:val="333A45"/>
                <w:sz w:val="19"/>
                <w:szCs w:val="19"/>
              </w:rPr>
              <w:t xml:space="preserve">DORA financial-entity annex</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w:t>
            </w:r>
          </w:p>
        </w:tc>
        <w:tc>
          <w:tcPr>
            <w:tcW w:type="dxa" w:w="30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Not written.</w:t>
            </w:r>
            <w:r>
              <w:rPr>
                <w:rFonts w:ascii="Calibri" w:cs="Calibri" w:eastAsia="Calibri" w:hAnsi="Calibri"/>
                <w:color w:val="333A45"/>
                <w:sz w:val="19"/>
                <w:szCs w:val="19"/>
              </w:rPr>
              <w:t xml:space="preserve"> Blocked on the primary text</w:t>
            </w:r>
          </w:p>
        </w:tc>
      </w:tr>
    </w:tbl>
    <w:p>
      <w:pPr>
        <w:spacing w:after="120"/>
      </w:pPr>
    </w:p>
    <w:p>
      <w:pPr>
        <w:keepNext/>
        <w:pBdr>
          <w:bottom w:val="single" w:color="9DB9E8" w:sz="4" w:space="3"/>
        </w:pBdr>
        <w:spacing w:after="100" w:before="260"/>
      </w:pPr>
      <w:r>
        <w:rPr>
          <w:rFonts w:ascii="Calibri" w:cs="Calibri" w:eastAsia="Calibri" w:hAnsi="Calibri"/>
          <w:b/>
          <w:bCs/>
          <w:color w:val="2E5AAC"/>
          <w:sz w:val="26"/>
          <w:szCs w:val="26"/>
        </w:rPr>
        <w:t xml:space="preserve">6. Sources NOT used, as a matter of method</w:t>
      </w:r>
    </w:p>
    <w:p>
      <w:pPr>
        <w:pStyle w:val="ListParagraph"/>
        <w:numPr>
          <w:ilvl w:val="0"/>
          <w:numId w:val="2"/>
        </w:numPr>
        <w:spacing w:after="70"/>
      </w:pPr>
      <w:r>
        <w:rPr>
          <w:rFonts w:ascii="Calibri" w:cs="Calibri" w:eastAsia="Calibri" w:hAnsi="Calibri"/>
          <w:b/>
          <w:bCs/>
          <w:color w:val="333A45"/>
          <w:sz w:val="21"/>
          <w:szCs w:val="21"/>
        </w:rPr>
        <w:t xml:space="preserve">No web content entered any obligation.</w:t>
      </w:r>
      <w:r>
        <w:rPr>
          <w:rFonts w:ascii="Calibri" w:cs="Calibri" w:eastAsia="Calibri" w:hAnsi="Calibri"/>
          <w:color w:val="333A45"/>
          <w:sz w:val="21"/>
          <w:szCs w:val="21"/>
        </w:rPr>
        <w:t xml:space="preserve"> One Commission page was supplied and was used only to identify which instruments to read.</w:t>
      </w:r>
    </w:p>
    <w:p>
      <w:pPr>
        <w:pStyle w:val="ListParagraph"/>
        <w:numPr>
          <w:ilvl w:val="0"/>
          <w:numId w:val="2"/>
        </w:numPr>
        <w:spacing w:after="70"/>
      </w:pPr>
      <w:r>
        <w:rPr>
          <w:rFonts w:ascii="Calibri" w:cs="Calibri" w:eastAsia="Calibri" w:hAnsi="Calibri"/>
          <w:b/>
          <w:bCs/>
          <w:color w:val="333A45"/>
          <w:sz w:val="21"/>
          <w:szCs w:val="21"/>
        </w:rPr>
        <w:t xml:space="preserve">No AI-generated legal content.</w:t>
      </w:r>
      <w:r>
        <w:rPr>
          <w:rFonts w:ascii="Calibri" w:cs="Calibri" w:eastAsia="Calibri" w:hAnsi="Calibri"/>
          <w:color w:val="333A45"/>
          <w:sz w:val="21"/>
          <w:szCs w:val="21"/>
        </w:rPr>
        <w:t xml:space="preserve"> Every provision cited resolves to text in a file in section 1.</w:t>
      </w:r>
    </w:p>
    <w:p>
      <w:pPr>
        <w:pStyle w:val="ListParagraph"/>
        <w:numPr>
          <w:ilvl w:val="0"/>
          <w:numId w:val="2"/>
        </w:numPr>
        <w:spacing w:after="70"/>
      </w:pPr>
      <w:r>
        <w:rPr>
          <w:rFonts w:ascii="Calibri" w:cs="Calibri" w:eastAsia="Calibri" w:hAnsi="Calibri"/>
          <w:b/>
          <w:bCs/>
          <w:color w:val="333A45"/>
          <w:sz w:val="21"/>
          <w:szCs w:val="21"/>
        </w:rPr>
        <w:t xml:space="preserve">No secondary commentary, law-firm briefing, or comparative summary.</w:t>
      </w:r>
      <w:r>
        <w:rPr>
          <w:rFonts w:ascii="Calibri" w:cs="Calibri" w:eastAsia="Calibri" w:hAnsi="Calibri"/>
          <w:color w:val="333A45"/>
          <w:sz w:val="21"/>
          <w:szCs w:val="21"/>
        </w:rPr>
        <w:t xml:space="preserve"> The commencement position in particular was taken from Article 113 of the consolidated text, not from any summary of it.</w:t>
      </w:r>
    </w:p>
    <w:p>
      <w:pPr>
        <w:keepNext/>
        <w:pBdr>
          <w:bottom w:val="single" w:color="9DB9E8" w:sz="4" w:space="3"/>
        </w:pBdr>
        <w:spacing w:after="100" w:before="260"/>
      </w:pPr>
      <w:r>
        <w:rPr>
          <w:rFonts w:ascii="Calibri" w:cs="Calibri" w:eastAsia="Calibri" w:hAnsi="Calibri"/>
          <w:b/>
          <w:bCs/>
          <w:color w:val="2E5AAC"/>
          <w:sz w:val="26"/>
          <w:szCs w:val="26"/>
        </w:rPr>
        <w:t xml:space="preserve">7. The verification that mattered most</w:t>
      </w:r>
    </w:p>
    <w:p>
      <w:pPr>
        <w:spacing w:after="110"/>
      </w:pPr>
      <w:r>
        <w:rPr>
          <w:rFonts w:ascii="Calibri" w:cs="Calibri" w:eastAsia="Calibri" w:hAnsi="Calibri"/>
          <w:color w:val="333A45"/>
          <w:sz w:val="21"/>
          <w:szCs w:val="21"/>
        </w:rPr>
        <w:t xml:space="preserve">The commencement schedule. Before the primary texts were supplied, the position on whether the high-risk regime applied from 2 August 2026 rested on secondary reporting which described the amending regulation as provisionally agreed but </w:t>
      </w:r>
      <w:r>
        <w:rPr>
          <w:rFonts w:ascii="Calibri" w:cs="Calibri" w:eastAsia="Calibri" w:hAnsi="Calibri"/>
          <w:b/>
          <w:bCs/>
          <w:color w:val="333A45"/>
          <w:sz w:val="21"/>
          <w:szCs w:val="21"/>
        </w:rPr>
        <w:t xml:space="preserve">not yet formally adopted</w:t>
      </w:r>
      <w:r>
        <w:rPr>
          <w:rFonts w:ascii="Calibri" w:cs="Calibri" w:eastAsia="Calibri" w:hAnsi="Calibri"/>
          <w:color w:val="333A45"/>
          <w:sz w:val="21"/>
          <w:szCs w:val="21"/>
        </w:rPr>
        <w:t xml:space="preserve">.</w:t>
      </w:r>
    </w:p>
    <w:p>
      <w:pPr>
        <w:spacing w:after="110"/>
      </w:pPr>
      <w:r>
        <w:rPr>
          <w:rFonts w:ascii="Calibri" w:cs="Calibri" w:eastAsia="Calibri" w:hAnsi="Calibri"/>
          <w:color w:val="333A45"/>
          <w:sz w:val="21"/>
          <w:szCs w:val="21"/>
        </w:rPr>
        <w:t xml:space="preserve">The primary texts settle it: </w:t>
      </w:r>
      <w:r>
        <w:rPr>
          <w:rFonts w:ascii="Calibri" w:cs="Calibri" w:eastAsia="Calibri" w:hAnsi="Calibri"/>
          <w:b/>
          <w:bCs/>
          <w:color w:val="333A45"/>
          <w:sz w:val="21"/>
          <w:szCs w:val="21"/>
        </w:rPr>
        <w:t xml:space="preserve">Regulation (EU) 2026/1744 was adopted on 8 July 2026 and published on 24 July 2026</w:t>
      </w:r>
      <w:r>
        <w:rPr>
          <w:rFonts w:ascii="Calibri" w:cs="Calibri" w:eastAsia="Calibri" w:hAnsi="Calibri"/>
          <w:color w:val="333A45"/>
          <w:sz w:val="21"/>
          <w:szCs w:val="21"/>
        </w:rPr>
        <w:t xml:space="preserve">, and the consolidated AI Act at 27 July 2026 carries its changes as ▼M1. Article 113 as amended defers the high-risk regime to </w:t>
      </w:r>
      <w:r>
        <w:rPr>
          <w:rFonts w:ascii="Calibri" w:cs="Calibri" w:eastAsia="Calibri" w:hAnsi="Calibri"/>
          <w:b/>
          <w:bCs/>
          <w:color w:val="333A45"/>
          <w:sz w:val="21"/>
          <w:szCs w:val="21"/>
        </w:rPr>
        <w:t xml:space="preserve">2 December 2027</w:t>
      </w:r>
      <w:r>
        <w:rPr>
          <w:rFonts w:ascii="Calibri" w:cs="Calibri" w:eastAsia="Calibri" w:hAnsi="Calibri"/>
          <w:color w:val="333A45"/>
          <w:sz w:val="21"/>
          <w:szCs w:val="21"/>
        </w:rPr>
        <w:t xml:space="preserve"> and </w:t>
      </w:r>
      <w:r>
        <w:rPr>
          <w:rFonts w:ascii="Calibri" w:cs="Calibri" w:eastAsia="Calibri" w:hAnsi="Calibri"/>
          <w:b/>
          <w:bCs/>
          <w:color w:val="333A45"/>
          <w:sz w:val="21"/>
          <w:szCs w:val="21"/>
        </w:rPr>
        <w:t xml:space="preserve">2 August 2028</w:t>
      </w:r>
      <w:r>
        <w:rPr>
          <w:rFonts w:ascii="Calibri" w:cs="Calibri" w:eastAsia="Calibri" w:hAnsi="Calibri"/>
          <w:color w:val="333A45"/>
          <w:sz w:val="21"/>
          <w:szCs w:val="21"/>
        </w:rPr>
        <w:t xml:space="preserve">.</w:t>
      </w:r>
    </w:p>
    <w:p>
      <w:pPr>
        <w:spacing w:after="110"/>
      </w:pPr>
      <w:r>
        <w:rPr>
          <w:rFonts w:ascii="Calibri" w:cs="Calibri" w:eastAsia="Calibri" w:hAnsi="Calibri"/>
          <w:color w:val="333A45"/>
          <w:sz w:val="21"/>
          <w:szCs w:val="21"/>
        </w:rPr>
        <w:t xml:space="preserve">Had the set been written from the secondary sources, its central section would have been hedged where it can now be definite - or definite where it should have been hedged. The difference between those two outcomes is the whole reason for the rule that the web raises doubt and only the primary text resolves it.</w:t>
      </w:r>
    </w:p>
    <w:p>
      <w:pPr>
        <w:keepNext/>
        <w:pBdr>
          <w:bottom w:val="single" w:color="9DB9E8" w:sz="4" w:space="3"/>
        </w:pBdr>
        <w:spacing w:after="100" w:before="260"/>
      </w:pPr>
      <w:r>
        <w:rPr>
          <w:rFonts w:ascii="Calibri" w:cs="Calibri" w:eastAsia="Calibri" w:hAnsi="Calibri"/>
          <w:b/>
          <w:bCs/>
          <w:color w:val="2E5AAC"/>
          <w:sz w:val="26"/>
          <w:szCs w:val="26"/>
        </w:rPr>
        <w:t xml:space="preserve">8. Standing caveat</w:t>
      </w:r>
    </w:p>
    <w:p>
      <w:pPr>
        <w:spacing w:after="110"/>
      </w:pPr>
      <w:r>
        <w:rPr>
          <w:rFonts w:ascii="Calibri" w:cs="Calibri" w:eastAsia="Calibri" w:hAnsi="Calibri"/>
          <w:color w:val="333A45"/>
          <w:sz w:val="21"/>
          <w:szCs w:val="21"/>
        </w:rPr>
        <w:t xml:space="preserve">No provision cited in this set has been reviewed by qualified counsel. These documents are educational templates and do not constitute legal advice.</w:t>
      </w:r>
    </w:p>
    <w:p>
      <w:pPr>
        <w:keepNext/>
        <w:pBdr>
          <w:bottom w:val="single" w:color="9DB9E8" w:sz="4" w:space="3"/>
        </w:pBdr>
        <w:spacing w:after="100" w:before="260"/>
      </w:pPr>
      <w:r>
        <w:rPr>
          <w:rFonts w:ascii="Calibri" w:cs="Calibri" w:eastAsia="Calibri" w:hAnsi="Calibri"/>
          <w:b/>
          <w:bCs/>
          <w:color w:val="2E5AAC"/>
          <w:sz w:val="26"/>
          <w:szCs w:val="26"/>
        </w:rPr>
        <w:t xml:space="preserve">9. ADDENDUM 31 August 2026 - three gaps closed</w:t>
      </w:r>
    </w:p>
    <w:p>
      <w:pPr>
        <w:pStyle w:val="ListParagraph"/>
        <w:numPr>
          <w:ilvl w:val="0"/>
          <w:numId w:val="2"/>
        </w:numPr>
        <w:spacing w:after="70"/>
      </w:pPr>
      <w:r>
        <w:rPr>
          <w:rFonts w:ascii="Calibri" w:cs="Calibri" w:eastAsia="Calibri" w:hAnsi="Calibri"/>
          <w:b/>
          <w:bCs/>
          <w:color w:val="333A45"/>
          <w:sz w:val="21"/>
          <w:szCs w:val="21"/>
        </w:rPr>
        <w:t xml:space="preserve">Annex III</w:t>
      </w:r>
      <w:r>
        <w:rPr>
          <w:rFonts w:ascii="Calibri" w:cs="Calibri" w:eastAsia="Calibri" w:hAnsi="Calibri"/>
          <w:color w:val="333A45"/>
          <w:sz w:val="21"/>
          <w:szCs w:val="21"/>
        </w:rPr>
        <w:t xml:space="preserve"> (section 3, row 2): read item by item in the consolidated text on 31 August 2026. All eight areas base text - the omnibus did not amend the Annex. Policy 12.1 upgraded from "expected" to the verified listing with the Article 6(3) derogation caveat. Reading recorded in the research note addendum.</w:t>
      </w:r>
    </w:p>
    <w:p>
      <w:pPr>
        <w:pStyle w:val="ListParagraph"/>
        <w:numPr>
          <w:ilvl w:val="0"/>
          <w:numId w:val="2"/>
        </w:numPr>
        <w:spacing w:after="70"/>
      </w:pPr>
      <w:r>
        <w:rPr>
          <w:rFonts w:ascii="Calibri" w:cs="Calibri" w:eastAsia="Calibri" w:hAnsi="Calibri"/>
          <w:b/>
          <w:bCs/>
          <w:color w:val="333A45"/>
          <w:sz w:val="21"/>
          <w:szCs w:val="21"/>
        </w:rPr>
        <w:t xml:space="preserve">A current GDPR consolidation</w:t>
      </w:r>
      <w:r>
        <w:rPr>
          <w:rFonts w:ascii="Calibri" w:cs="Calibri" w:eastAsia="Calibri" w:hAnsi="Calibri"/>
          <w:color w:val="333A45"/>
          <w:sz w:val="21"/>
          <w:szCs w:val="21"/>
        </w:rPr>
        <w:t xml:space="preserve"> (section 3, row 3): currency settled - the consolidated version of 4 May 2016 remains current, and the data-side Digital Omnibus proposals amending the GDPR were not adopted as at 31 August 2026 (the adopted Regulation (EU) 2026/1744 amends the AI Act, aviation and machinery regulations only, per its held text). Web sources used solely to confirm no amending act exists to obtain.</w:t>
      </w:r>
    </w:p>
    <w:p>
      <w:pPr>
        <w:pStyle w:val="ListParagraph"/>
        <w:numPr>
          <w:ilvl w:val="0"/>
          <w:numId w:val="2"/>
        </w:numPr>
        <w:spacing w:after="70"/>
      </w:pPr>
      <w:r>
        <w:rPr>
          <w:rFonts w:ascii="Calibri" w:cs="Calibri" w:eastAsia="Calibri" w:hAnsi="Calibri"/>
          <w:b/>
          <w:bCs/>
          <w:color w:val="333A45"/>
          <w:sz w:val="21"/>
          <w:szCs w:val="21"/>
        </w:rPr>
        <w:t xml:space="preserve">Member State data protection law</w:t>
      </w:r>
      <w:r>
        <w:rPr>
          <w:rFonts w:ascii="Calibri" w:cs="Calibri" w:eastAsia="Calibri" w:hAnsi="Calibri"/>
          <w:color w:val="333A45"/>
          <w:sz w:val="21"/>
          <w:szCs w:val="21"/>
        </w:rPr>
        <w:t xml:space="preserve"> (section 3, row 4): the overlay is now stated and scoped in the research note - what national law can add, and that per-state mapping is deliberately deferred to the comparison matrix. No national provision is asserted.</w:t>
      </w:r>
    </w:p>
    <w:sectPr>
      <w:footerReference w:type="default" r:id="rId7"/>
      <w:pgSz w:w="11906" w:h="16838" w:orient="portrait"/>
      <w:pgMar w:top="1240" w:right="1300" w:bottom="12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DB9E8" w:sz="4" w:space="4"/>
      </w:pBdr>
      <w:jc w:val="center"/>
    </w:pPr>
    <w:r>
      <w:rPr>
        <w:rFonts w:ascii="Calibri" w:cs="Calibri" w:eastAsia="Calibri" w:hAnsi="Calibri"/>
        <w:color w:val="5A6472"/>
        <w:sz w:val="16"/>
        <w:szCs w:val="16"/>
      </w:rPr>
      <w:t xml:space="preserve">Source register - EU AI policy set   |   Page </w:t>
    </w:r>
    <w:r>
      <w:rPr>
        <w:rFonts w:ascii="Calibri" w:cs="Calibri" w:eastAsia="Calibri" w:hAnsi="Calibri"/>
        <w:color w:val="5A6472"/>
        <w:sz w:val="16"/>
        <w:szCs w:val="16"/>
      </w:rPr>
      <w:fldChar w:fldCharType="begin"/>
      <w:instrText xml:space="preserve">PAGE</w:instrText>
      <w:fldChar w:fldCharType="separate"/>
      <w:fldChar w:fldCharType="end"/>
    </w:r>
    <w:r>
      <w:rPr>
        <w:rFonts w:ascii="Calibri" w:cs="Calibri" w:eastAsia="Calibri" w:hAnsi="Calibri"/>
        <w:color w:val="5A6472"/>
        <w:sz w:val="16"/>
        <w:szCs w:val="16"/>
      </w:rPr>
      <w:t xml:space="preserve"> of </w:t>
    </w:r>
    <w:r>
      <w:rPr>
        <w:rFonts w:ascii="Calibri" w:cs="Calibri" w:eastAsia="Calibri" w:hAnsi="Calibri"/>
        <w:color w:val="5A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rPr>
        <w:color w:val="2E5AA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A4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 Register - EU AI Policy Set</dc:title>
  <dc:creator>Narendra Karki</dc:creator>
  <cp:lastModifiedBy>Narendra Karki</cp:lastModifiedBy>
  <cp:revision>1</cp:revision>
  <dcterms:created xsi:type="dcterms:W3CDTF">2026-08-31T05:57:45.902Z</dcterms:created>
  <dcterms:modified xsi:type="dcterms:W3CDTF">2026-08-31T05:57:45.902Z</dcterms:modified>
</cp:coreProperties>
</file>

<file path=docProps/custom.xml><?xml version="1.0" encoding="utf-8"?>
<Properties xmlns="http://schemas.openxmlformats.org/officeDocument/2006/custom-properties" xmlns:vt="http://schemas.openxmlformats.org/officeDocument/2006/docPropsVTypes"/>
</file>