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4D78"/>
        </w:rPr>
        <w:t xml:space="preserve">Artificial Intelligence Acceptable Use Policy - Australia</w:t>
      </w:r>
    </w:p>
    <w:p>
      <w:pPr>
        <w:pStyle w:val="Heading2"/>
        <w:spacing w:after="100" w:before="200"/>
      </w:pPr>
      <w:r>
        <w:rPr>
          <w:color w:val="2E74B5"/>
        </w:rPr>
        <w:t xml:space="preserve">Privacy Act 1988 (Cth) as amended, with the government's AI adoption guidance adopted as house standards</w:t>
      </w:r>
    </w:p>
    <w:p>
      <w:pPr>
        <w:spacing w:after="120"/>
      </w:pPr>
      <w:r>
        <w:rPr>
          <w:b/>
          <w:bCs/>
        </w:rPr>
        <w:t xml:space="preserve">Organisation:</w:t>
      </w:r>
      <w:r>
        <w:t xml:space="preserve"> [ORGANISATION]</w:t>
      </w:r>
    </w:p>
    <w:p>
      <w:pPr>
        <w:spacing w:after="120"/>
      </w:pPr>
      <w:r>
        <w:rPr>
          <w:b/>
          <w:bCs/>
        </w:rPr>
        <w:t xml:space="preserve">Effective date:</w:t>
      </w:r>
      <w:r>
        <w:t xml:space="preserve"> [DATE] </w:t>
      </w:r>
      <w:r>
        <w:rPr>
          <w:b/>
          <w:bCs/>
        </w:rPr>
        <w:t xml:space="preserve">Version:</w:t>
      </w:r>
      <w:r>
        <w:t xml:space="preserve"> 1.0</w:t>
      </w:r>
    </w:p>
    <w:p>
      <w:pPr>
        <w:spacing w:after="120"/>
      </w:pPr>
      <w:r>
        <w:rPr>
          <w:b/>
          <w:bCs/>
        </w:rPr>
        <w:t xml:space="preserve">Policy owner:</w:t>
      </w:r>
      <w:r>
        <w:t xml:space="preserve"> [CISO] </w:t>
      </w:r>
      <w:r>
        <w:rPr>
          <w:b/>
          <w:bCs/>
        </w:rPr>
        <w:t xml:space="preserve">Privacy lead:</w:t>
      </w:r>
      <w:r>
        <w:t xml:space="preserve"> [Privacy Officer / privacy lead]</w:t>
      </w:r>
    </w:p>
    <w:p>
      <w:pPr>
        <w:spacing w:after="120"/>
      </w:pPr>
      <w:r>
        <w:rPr>
          <w:b/>
          <w:bCs/>
        </w:rPr>
        <w:t xml:space="preserve">Classification:</w:t>
      </w:r>
      <w:r>
        <w:t xml:space="preserve"> Internal</w:t>
      </w:r>
    </w:p>
    <w:p>
      <w:pPr>
        <w:spacing w:after="120"/>
      </w:pPr>
      <w:r>
        <w:rPr>
          <w:b/>
          <w:bCs/>
        </w:rPr>
        <w:t xml:space="preserve">Review:</w:t>
      </w:r>
      <w:r>
        <w:t xml:space="preserve"> at least every six months, and on material change in tools or regulation</w:t>
      </w:r>
    </w:p>
    <w:p>
      <w:pPr>
        <w:pStyle w:val="Heading1"/>
        <w:spacing w:after="120" w:before="280"/>
      </w:pPr>
      <w:r>
        <w:rPr>
          <w:color w:val="2E74B5"/>
        </w:rPr>
        <w:t xml:space="preserve">1. Purpose</w:t>
      </w:r>
    </w:p>
    <w:p>
      <w:pPr>
        <w:spacing w:after="120"/>
      </w:pPr>
      <w:r>
        <w:t xml:space="preserve">[ORGANISATION] permits the use of artificial intelligence (AI) tools to improve productivity, provided that use protects the organisation's data, its customers and staff, its intellectual property, and its obligations under Australian law. This policy sets the requirements for all such use.</w:t>
      </w:r>
    </w:p>
    <w:p>
      <w:pPr>
        <w:spacing w:after="120"/>
      </w:pPr>
      <w:r>
        <w:t xml:space="preserve">Four features of the Australian framework shape this document.</w:t>
      </w:r>
    </w:p>
    <w:p>
      <w:pPr>
        <w:pStyle w:val="Heading2"/>
        <w:spacing w:after="100" w:before="200"/>
      </w:pPr>
      <w:r>
        <w:rPr>
          <w:color w:val="2E74B5"/>
        </w:rPr>
        <w:t xml:space="preserve">1.1 There is no AI Act, and the government has said there will not be one</w:t>
      </w:r>
    </w:p>
    <w:p>
      <w:pPr>
        <w:spacing w:after="120"/>
      </w:pPr>
      <w:r>
        <w:t xml:space="preserve">Australia regulates AI through its existing laws. In December 2025 the Commonwealth published a National AI Plan stating that established laws remain the foundation for addressing AI-related risks, that regulators retain responsibility for AI harms within their own domains, and that targeted law will be introduced where needed. The proposal for mandatory guardrails on high-risk AI was not carried forward. What the government asks organisations to do instead is set out in the National AI Centre's Guidance for AI Adoption: six essential practices for responsible AI governance. </w:t>
      </w:r>
      <w:r>
        <w:rPr>
          <w:b/>
          <w:bCs/>
        </w:rPr>
        <w:t xml:space="preserve">That guidance is not law.</w:t>
      </w:r>
      <w:r>
        <w:t xml:space="preserve"> This policy adopts the six practices as house standards, says so wherever it does, and keeps them separate from the duties that are law.</w:t>
      </w:r>
    </w:p>
    <w:p>
      <w:pPr>
        <w:pStyle w:val="Heading2"/>
        <w:spacing w:after="100" w:before="200"/>
      </w:pPr>
      <w:r>
        <w:rPr>
          <w:color w:val="2E74B5"/>
        </w:rPr>
        <w:t xml:space="preserve">1.2 The Privacy Act reaches AI inputs, AI outputs and AI inferences</w:t>
      </w:r>
    </w:p>
    <w:p>
      <w:pPr>
        <w:spacing w:after="120"/>
      </w:pPr>
      <w:r>
        <w:t xml:space="preserve">The Privacy Act does not mention AI, and does not need to. Personal information is information or an opinion about an identified or reasonably identifiable individual, </w:t>
      </w:r>
      <w:r>
        <w:rPr>
          <w:b/>
          <w:bCs/>
        </w:rPr>
        <w:t xml:space="preserve">whether the information or opinion is true or not</w:t>
      </w:r>
      <w:r>
        <w:t xml:space="preserve">. So a hallucinated fact about a customer is personal information. A deepfake of a member of staff is personal information. A profile inferred by a model is personal information. Typing personal information into an AI tool is a use or a disclosure. Having a model generate or infer personal information is a collection, and the collection rules apply to it. The regulator has said all of this in guidance, and this policy treats it as the operating position.</w:t>
      </w:r>
    </w:p>
    <w:p>
      <w:pPr>
        <w:pStyle w:val="Heading2"/>
        <w:spacing w:after="100" w:before="200"/>
      </w:pPr>
      <w:r>
        <w:rPr>
          <w:color w:val="2E74B5"/>
        </w:rPr>
        <w:t xml:space="preserve">1.3 A transparency duty for automated decisions commences on 10 December 2026</w:t>
      </w:r>
    </w:p>
    <w:p>
      <w:pPr>
        <w:spacing w:after="120"/>
      </w:pPr>
      <w:r>
        <w:t xml:space="preserve">From that date, an organisation that has arranged for a computer program to make a decision, or to do a thing substantially and directly related to making a decision, that could reasonably be expected to significantly affect an individual's rights or interests, using that individual's personal information, must say so in its privacy policy: the kinds of personal information used, the kinds of decisions made solely by the program, and the kinds of decisions the program substantially contributes to. The duty applies to decisions made after commencement even where the program, the arrangement and the data all pre-date it. Clause 12 makes the determination and clause 13 the disclosure, from today, so that nothing has to be discovered on the day.</w:t>
      </w:r>
    </w:p>
    <w:p>
      <w:pPr>
        <w:pStyle w:val="Heading2"/>
        <w:spacing w:after="100" w:before="200"/>
      </w:pPr>
      <w:r>
        <w:rPr>
          <w:color w:val="2E74B5"/>
        </w:rPr>
        <w:t xml:space="preserve">1.4 A statutory tort for serious invasions of privacy has applied since 10 June 2025</w:t>
      </w:r>
    </w:p>
    <w:p>
      <w:pPr>
        <w:spacing w:after="120"/>
      </w:pPr>
      <w:r>
        <w:t xml:space="preserve">An individual may now sue for an intentional or reckless serious invasion of privacy, by intrusion upon seclusion or misuse of information relating to them, without proof of damage. AI-enabled monitoring, scraping, profiling and surveillance are the uses of AI most likely to meet that description. Clause 18 addresses it directly.</w:t>
      </w:r>
    </w:p>
    <w:p>
      <w:pPr>
        <w:pStyle w:val="Heading1"/>
        <w:spacing w:after="120" w:before="280"/>
      </w:pPr>
      <w:r>
        <w:rPr>
          <w:color w:val="2E74B5"/>
        </w:rPr>
        <w:t xml:space="preserve">2. Scope</w:t>
      </w:r>
    </w:p>
    <w:p>
      <w:pPr>
        <w:spacing w:after="120"/>
      </w:pPr>
      <w:r>
        <w:t xml:space="preserve">This policy applies to all employees, contractors, temporary staff, and third parties who use [ORGANISATION] systems, data, or accounts. It covers all AI tools, including public and generative AI services, AI features embedded in other software, coding assistants, meeting and note-taking assistants, media generators, AI agents, and internal AI systems. It applies on company devices and accounts, and on personal devices or accounts whenever used for [ORGANISATION] work or data.</w:t>
      </w:r>
    </w:p>
    <w:p>
      <w:pPr>
        <w:spacing w:after="120"/>
      </w:pPr>
      <w:r>
        <w:t xml:space="preserve">Compliance is mandatory. Breaches may result in disciplinary action up to and including termination.</w:t>
      </w:r>
    </w:p>
    <w:p>
      <w:pPr>
        <w:pStyle w:val="Heading2"/>
        <w:spacing w:after="100" w:before="200"/>
      </w:pPr>
      <w:r>
        <w:rPr>
          <w:color w:val="2E74B5"/>
        </w:rPr>
        <w:t xml:space="preserve">2.1 Which law reaches [ORGANISATION]</w:t>
      </w:r>
    </w:p>
    <w:p>
      <w:pPr>
        <w:spacing w:after="120"/>
      </w:pPr>
      <w:r>
        <w:t xml:space="preserve">2.1.1 The Privacy Act binds Australian Government agencies and organisations with annual turnover above three million dollars, and binds smaller organisations that provide a health service and hold health information, or that trade in personal information for a benefit, service or advantage. [ORGANISATION] is [an APP entity / not an APP entity] on that test, and the data protection lead has recorded the determination and its basis. </w:t>
      </w:r>
      <w:r>
        <w:rPr>
          <w:b/>
          <w:bCs/>
        </w:rPr>
        <w:t xml:space="preserve">Where the determination is that [ORGANISATION] is not bound, this policy applies in full as a house standard anyway.</w:t>
      </w:r>
      <w:r>
        <w:t xml:space="preserve"> A supplier, customer or regulator will expect it, and the statutory tort in clause 18 binds everyone.</w:t>
      </w:r>
    </w:p>
    <w:p>
      <w:pPr>
        <w:spacing w:after="120"/>
      </w:pPr>
      <w:r>
        <w:t xml:space="preserve">2.1.2 The Act extends to acts and practices outside Australia by an organisation with an Australian link. AI tools hosted overseas do not take [ORGANISATION]'s processing outside the Act.</w:t>
      </w:r>
    </w:p>
    <w:p>
      <w:pPr>
        <w:spacing w:after="120"/>
      </w:pPr>
      <w:r>
        <w:t xml:space="preserve">2.1.3 </w:t>
      </w:r>
      <w:r>
        <w:rPr>
          <w:b/>
          <w:bCs/>
        </w:rPr>
        <w:t xml:space="preserve">Employee records.</w:t>
      </w:r>
      <w:r>
        <w:t xml:space="preserve"> An employer's handling of an employee record, where directly related to the employment relationship, is exempt from the Australian Privacy Principles. </w:t>
      </w:r>
      <w:r>
        <w:rPr>
          <w:b/>
          <w:bCs/>
        </w:rPr>
        <w:t xml:space="preserve">This policy does not rely on that exemption.</w:t>
      </w:r>
      <w:r>
        <w:t xml:space="preserve"> AI use in recruitment, performance, monitoring and workforce decisions is governed by this policy as if the principles applied, as a house standard, because the exemption does not reach applicants, contractors or former staff for all purposes, does not reach the statutory tort, and does not reach anti-discrimination or workplace law.</w:t>
      </w:r>
    </w:p>
    <w:p>
      <w:pPr>
        <w:spacing w:after="120"/>
      </w:pPr>
      <w:r>
        <w:t xml:space="preserve">2.1.4 State and territory privacy, surveillance-device, health-records and anti-discrimination laws are not stated in this policy. Clause 22 names what is not covered.</w:t>
      </w:r>
    </w:p>
    <w:p>
      <w:pPr>
        <w:pStyle w:val="Heading1"/>
        <w:spacing w:after="120" w:before="280"/>
      </w:pPr>
      <w:r>
        <w:rPr>
          <w:color w:val="2E74B5"/>
        </w:rPr>
        <w:t xml:space="preserve">3. Approved tools</w:t>
      </w:r>
    </w:p>
    <w:p>
      <w:pPr>
        <w:spacing w:after="120"/>
      </w:pPr>
      <w:r>
        <w:t xml:space="preserve">3.1 Only AI tools on the approved tools list, maintained by [IT / Security] and published at [LOCATION], may be used for [ORGANISATION] work or data. The list states, for each tool, the highest level of use permitted (clause 5), whether personal information may be entered, whether the tool is customer-facing, and where the tool processes and stores data.</w:t>
      </w:r>
    </w:p>
    <w:p>
      <w:pPr>
        <w:spacing w:after="120"/>
      </w:pPr>
      <w:r>
        <w:t xml:space="preserve">3.2 A tool is added to the list only after: a privacy impact assessment where personal information will be involved (clause 7); the automated-decision determination at clause 12 where the tool bears on decisions about people; a risk screening under clause 17; review of the supplier's terms for what the supplier may do with inputs and outputs, including training its own models; confirmation of where data is stored and whether it leaves Australia; and sign-off by the business owner and the data protection lead.</w:t>
      </w:r>
    </w:p>
    <w:p>
      <w:pPr>
        <w:spacing w:after="120"/>
      </w:pPr>
      <w:r>
        <w:t xml:space="preserve">3.3 A tool is removed from the list, or its permitted level reduced, when its terms, behaviour, hosting or supplier change materially, or when monitoring under clause 20 shows it is not performing as approved.</w:t>
      </w:r>
    </w:p>
    <w:p>
      <w:pPr>
        <w:spacing w:after="120"/>
      </w:pPr>
      <w:r>
        <w:t xml:space="preserve">3.4 </w:t>
      </w:r>
      <w:r>
        <w:rPr>
          <w:b/>
          <w:bCs/>
        </w:rPr>
        <w:t xml:space="preserve">Publicly available AI chatbots and other consumer generative AI tools are approved only for Level 1 use.</w:t>
      </w:r>
      <w:r>
        <w:t xml:space="preserve"> No personal information, no confidential information, no customer data, no code. The regulator's recommendation is that organisations do not enter personal information, particularly sensitive information, into publicly available generative AI tools, and this policy makes that recommendation a rule.</w:t>
      </w:r>
    </w:p>
    <w:p>
      <w:pPr>
        <w:spacing w:after="120"/>
      </w:pPr>
      <w:r>
        <w:t xml:space="preserve">3.5 An AI feature switched on inside an already-approved product (a meeting transcriber, an assistant in an office suite, a code completion feature) is a new tool for the purposes of this clause and requires its own entry on the list before it is used with [ORGANISATION] data.</w:t>
      </w:r>
    </w:p>
    <w:p>
      <w:pPr>
        <w:pStyle w:val="Heading1"/>
        <w:spacing w:after="120" w:before="280"/>
      </w:pPr>
      <w:r>
        <w:rPr>
          <w:color w:val="2E74B5"/>
        </w:rPr>
        <w:t xml:space="preserve">4. What binds today, and what lands next</w:t>
      </w:r>
    </w:p>
    <w:p>
      <w:pPr>
        <w:spacing w:after="120"/>
      </w:pPr>
      <w:r>
        <w:t xml:space="preserve">4.1 </w:t>
      </w:r>
      <w:r>
        <w:rPr>
          <w:b/>
          <w:bCs/>
        </w:rPr>
        <w:t xml:space="preserve">In force now.</w:t>
      </w:r>
      <w:r>
        <w:t xml:space="preserve"> The thirteen Australian Privacy Principles; the express statement, in force since December 2024, that reasonable security steps include technical and organisational measures; the notifiable data breaches scheme; the statutory tort for serious invasions of privacy, since 10 June 2025; and the three-tier penalty structure, under which a serious interference with privacy exposes a body corporate to the greater of fifty million dollars, three times the benefit obtained, or thirty per cent of adjusted turnover, and a non-serious interference to a fixed maximum penalty.</w:t>
      </w:r>
    </w:p>
    <w:p>
      <w:pPr>
        <w:spacing w:after="120"/>
      </w:pPr>
      <w:r>
        <w:t xml:space="preserve">4.2 </w:t>
      </w:r>
      <w:r>
        <w:rPr>
          <w:b/>
          <w:bCs/>
        </w:rPr>
        <w:t xml:space="preserve">From 10 December 2026.</w:t>
      </w:r>
      <w:r>
        <w:t xml:space="preserve"> The automated-decision transparency duty described at clause 1.3. The Information Commissioner is also required to register a Children's Online Privacy Code by that date; its content is not yet known and this policy does not anticipate it.</w:t>
      </w:r>
    </w:p>
    <w:p>
      <w:pPr>
        <w:spacing w:after="120"/>
      </w:pPr>
      <w:r>
        <w:t xml:space="preserve">4.3 </w:t>
      </w:r>
      <w:r>
        <w:rPr>
          <w:b/>
          <w:bCs/>
        </w:rPr>
        <w:t xml:space="preserve">Guidance, not law.</w:t>
      </w:r>
      <w:r>
        <w:t xml:space="preserve"> The Guidance for AI Adoption (October 2025), the National AI Plan (December 2025) and the Information Commissioner's two AI guidance documents (October 2024). The Commissioner's guidance states the regulator's reading of the Privacy Act as applied to AI and is followed in this policy as the operating interpretation. The adoption guidance is adopted as house standards at clause 17.</w:t>
      </w:r>
    </w:p>
    <w:p>
      <w:pPr>
        <w:spacing w:after="120"/>
      </w:pPr>
      <w:r>
        <w:t xml:space="preserve">4.4 </w:t>
      </w:r>
      <w:r>
        <w:rPr>
          <w:b/>
          <w:bCs/>
        </w:rPr>
        <w:t xml:space="preserve">Position taken.</w:t>
      </w:r>
      <w:r>
        <w:t xml:space="preserve"> The automated-decision duty is a design requirement from today. A tool acquired now will still be in use on 10 December 2026, and the duty applies to decisions made after that date whatever the tool's history. Every AI system that bears on a decision about a person carries the clause 12 determination from the day it is approved.</w:t>
      </w:r>
    </w:p>
    <w:p>
      <w:pPr>
        <w:pStyle w:val="Heading1"/>
        <w:spacing w:after="120" w:before="280"/>
      </w:pPr>
      <w:r>
        <w:rPr>
          <w:color w:val="2E74B5"/>
        </w:rPr>
        <w:t xml:space="preserve">5. Levels of use</w:t>
      </w:r>
    </w:p>
    <w:p>
      <w:pPr>
        <w:spacing w:after="120"/>
      </w:pPr>
      <w:r>
        <w:t xml:space="preserve">Every use of an AI tool is classified at one of four levels before it begins. The approved tools list states the highest level each tool may be used at. This classification is [ORGANISATION]'s own and is not a legal category.</w:t>
      </w:r>
    </w:p>
    <w:p>
      <w:pPr>
        <w:spacing w:after="120"/>
      </w:pPr>
      <w:r>
        <w:rPr>
          <w:b/>
          <w:bCs/>
        </w:rPr>
        <w:t xml:space="preserve">Level 1 - General assistance.</w:t>
      </w:r>
      <w:r>
        <w:t xml:space="preserve"> Drafting, summarising, translating, brainstorming, coding with no [ORGANISATION] data beyond the prompt. No personal information, no confidential information. Permitted with any approved tool at its permitted level.</w:t>
      </w:r>
    </w:p>
    <w:p>
      <w:pPr>
        <w:spacing w:after="120"/>
      </w:pPr>
      <w:r>
        <w:rPr>
          <w:b/>
          <w:bCs/>
        </w:rPr>
        <w:t xml:space="preserve">Level 2 - Internal information.</w:t>
      </w:r>
      <w:r>
        <w:t xml:space="preserve"> Use with [ORGANISATION] internal documents, non-public business information, or personal information about staff or customers that is not sensitive information. Permitted only with tools approved for Level 2, whose terms prevent the supplier using inputs and outputs for its own purposes.</w:t>
      </w:r>
    </w:p>
    <w:p>
      <w:pPr>
        <w:spacing w:after="120"/>
      </w:pPr>
      <w:r>
        <w:rPr>
          <w:b/>
          <w:bCs/>
        </w:rPr>
        <w:t xml:space="preserve">Level 3 - Sensitive information or high privacy risk.</w:t>
      </w:r>
      <w:r>
        <w:t xml:space="preserve"> Any use involving sensitive information (health, biometric, racial or ethnic origin, political opinion, religious belief, sexual orientation, criminal record, and the other categories the Act lists); any use that generates or infers personal information; any customer-facing AI; any use in relation to children. Requires a privacy impact assessment, a named accountable person, and approval by the data protection lead.</w:t>
      </w:r>
    </w:p>
    <w:p>
      <w:pPr>
        <w:spacing w:after="120"/>
      </w:pPr>
      <w:r>
        <w:rPr>
          <w:b/>
          <w:bCs/>
        </w:rPr>
        <w:t xml:space="preserve">Level 4 - Decisions about people.</w:t>
      </w:r>
      <w:r>
        <w:t xml:space="preserve"> Any use where the AI system makes, or does a thing substantially and directly related to making, a decision that could reasonably be expected to significantly affect an individual's rights or interests: eligibility, pricing, credit, employment, access to a service or support, enforcement of a contract. Everything at Level 3, plus the clause 12 determination, the clause 13 disclosure, the human oversight at clause 14, and approval by the AI Governance Committee.</w:t>
      </w:r>
    </w:p>
    <w:p>
      <w:pPr>
        <w:pStyle w:val="Heading1"/>
        <w:spacing w:after="120" w:before="280"/>
      </w:pPr>
      <w:r>
        <w:rPr>
          <w:color w:val="2E74B5"/>
        </w:rPr>
        <w:t xml:space="preserve">6. Permitted and prohibited use</w:t>
      </w:r>
    </w:p>
    <w:p>
      <w:pPr>
        <w:spacing w:after="120"/>
      </w:pPr>
      <w:r>
        <w:t xml:space="preserve">6.1 </w:t>
      </w:r>
      <w:r>
        <w:rPr>
          <w:b/>
          <w:bCs/>
        </w:rPr>
        <w:t xml:space="preserve">Permitted</w:t>
      </w:r>
      <w:r>
        <w:t xml:space="preserve">, within the tool's approved level: drafting and editing; summarising documents the user is entitled to read; research and analysis of non-personal data; code generation and review subject to clause 10; transcription and minutes subject to clause 7.6; customer service and content subject to clause 15; internal analytics subject to clause 7.</w:t>
      </w:r>
    </w:p>
    <w:p>
      <w:pPr>
        <w:spacing w:after="120"/>
      </w:pPr>
      <w:r>
        <w:t xml:space="preserve">6.2 </w:t>
      </w:r>
      <w:r>
        <w:rPr>
          <w:b/>
          <w:bCs/>
        </w:rPr>
        <w:t xml:space="preserve">Prohibited in all circumstances:</w:t>
      </w:r>
    </w:p>
    <w:p>
      <w:pPr>
        <w:pStyle w:val="ListParagraph"/>
        <w:numPr>
          <w:ilvl w:val="0"/>
          <w:numId w:val="2"/>
        </w:numPr>
        <w:spacing w:after="80"/>
      </w:pPr>
      <w:r>
        <w:t xml:space="preserve">entering personal information, sensitive information, confidential information,</w:t>
      </w:r>
    </w:p>
    <w:p>
      <w:pPr>
        <w:spacing w:after="80"/>
        <w:ind w:left="720"/>
      </w:pPr>
      <w:r>
        <w:t xml:space="preserve">credentials, source code or customer data into a tool not approved for that level</w:t>
      </w:r>
    </w:p>
    <w:p>
      <w:pPr>
        <w:spacing w:after="80"/>
        <w:ind w:left="720"/>
      </w:pPr>
      <w:r>
        <w:t xml:space="preserve">(clause 3);</w:t>
      </w:r>
    </w:p>
    <w:p>
      <w:pPr>
        <w:pStyle w:val="ListParagraph"/>
        <w:numPr>
          <w:ilvl w:val="0"/>
          <w:numId w:val="2"/>
        </w:numPr>
        <w:spacing w:after="80"/>
      </w:pPr>
      <w:r>
        <w:t xml:space="preserve">using AI to generate or infer sensitive information about a person without the</w:t>
      </w:r>
    </w:p>
    <w:p>
      <w:pPr>
        <w:spacing w:after="80"/>
        <w:ind w:left="720"/>
      </w:pPr>
      <w:r>
        <w:t xml:space="preserve">consent clause 7.4 requires;</w:t>
      </w:r>
    </w:p>
    <w:p>
      <w:pPr>
        <w:pStyle w:val="ListParagraph"/>
        <w:numPr>
          <w:ilvl w:val="0"/>
          <w:numId w:val="2"/>
        </w:numPr>
        <w:spacing w:after="80"/>
      </w:pPr>
      <w:r>
        <w:t xml:space="preserve">using AI to make a Level 4 decision with no human able to intervene (clause 14);</w:t>
      </w:r>
    </w:p>
    <w:p>
      <w:pPr>
        <w:pStyle w:val="ListParagraph"/>
        <w:numPr>
          <w:ilvl w:val="0"/>
          <w:numId w:val="2"/>
        </w:numPr>
        <w:spacing w:after="80"/>
      </w:pPr>
      <w:r>
        <w:t xml:space="preserve">using AI to generate content that impersonates a real person, or to create intimate</w:t>
      </w:r>
    </w:p>
    <w:p>
      <w:pPr>
        <w:spacing w:after="80"/>
        <w:ind w:left="720"/>
      </w:pPr>
      <w:r>
        <w:t xml:space="preserve">imagery of any person, or to generate material that would be unlawful to publish;</w:t>
      </w:r>
    </w:p>
    <w:p>
      <w:pPr>
        <w:pStyle w:val="ListParagraph"/>
        <w:numPr>
          <w:ilvl w:val="0"/>
          <w:numId w:val="2"/>
        </w:numPr>
        <w:spacing w:after="80"/>
      </w:pPr>
      <w:r>
        <w:t xml:space="preserve">using AI to scrape, collect or compile personal information from the internet or</w:t>
      </w:r>
    </w:p>
    <w:p>
      <w:pPr>
        <w:spacing w:after="80"/>
        <w:ind w:left="720"/>
      </w:pPr>
      <w:r>
        <w:t xml:space="preserve">from third-party sources without the approval clause 7.5 requires;</w:t>
      </w:r>
    </w:p>
    <w:p>
      <w:pPr>
        <w:pStyle w:val="ListParagraph"/>
        <w:numPr>
          <w:ilvl w:val="0"/>
          <w:numId w:val="2"/>
        </w:numPr>
        <w:spacing w:after="80"/>
      </w:pPr>
      <w:r>
        <w:t xml:space="preserve">using AI to monitor, track or profile staff or customers in a way not approved under</w:t>
      </w:r>
    </w:p>
    <w:p>
      <w:pPr>
        <w:spacing w:after="80"/>
        <w:ind w:left="720"/>
      </w:pPr>
      <w:r>
        <w:t xml:space="preserve">clause 18;</w:t>
      </w:r>
    </w:p>
    <w:p>
      <w:pPr>
        <w:pStyle w:val="ListParagraph"/>
        <w:numPr>
          <w:ilvl w:val="0"/>
          <w:numId w:val="2"/>
        </w:numPr>
        <w:spacing w:after="80"/>
      </w:pPr>
      <w:r>
        <w:t xml:space="preserve">representing AI output as verified fact, or as a person's own work, where clause 11</w:t>
      </w:r>
    </w:p>
    <w:p>
      <w:pPr>
        <w:spacing w:after="80"/>
        <w:ind w:left="720"/>
      </w:pPr>
      <w:r>
        <w:t xml:space="preserve">requires verification or disclosure;</w:t>
      </w:r>
    </w:p>
    <w:p>
      <w:pPr>
        <w:pStyle w:val="ListParagraph"/>
        <w:numPr>
          <w:ilvl w:val="0"/>
          <w:numId w:val="2"/>
        </w:numPr>
        <w:spacing w:after="80"/>
      </w:pPr>
      <w:r>
        <w:t xml:space="preserve">disabling, circumventing or ignoring a control on an approved tool.</w:t>
      </w:r>
    </w:p>
    <w:p>
      <w:pPr>
        <w:spacing w:after="120"/>
      </w:pPr>
      <w:r>
        <w:t xml:space="preserve">6.3 </w:t>
      </w:r>
      <w:r>
        <w:rPr>
          <w:b/>
          <w:bCs/>
        </w:rPr>
        <w:t xml:space="preserve">Prohibited without written approval from the data protection lead:</w:t>
      </w:r>
      <w:r>
        <w:t xml:space="preserve"> any use at Level 3 or Level 4; any fine-tuning or training on [ORGANISATION] data (clause 16); any use of an AI agent that can take actions in other systems (clause 10.6); any AI use directed at children or in a service likely to be accessed by children (clause 19).</w:t>
      </w:r>
    </w:p>
    <w:p>
      <w:pPr>
        <w:pStyle w:val="Heading1"/>
        <w:spacing w:after="120" w:before="280"/>
      </w:pPr>
      <w:r>
        <w:rPr>
          <w:color w:val="2E74B5"/>
        </w:rPr>
        <w:t xml:space="preserve">7. Personal information in AI tools</w:t>
      </w:r>
    </w:p>
    <w:p>
      <w:pPr>
        <w:pStyle w:val="Heading2"/>
        <w:spacing w:after="100" w:before="200"/>
      </w:pPr>
      <w:r>
        <w:rPr>
          <w:color w:val="2E74B5"/>
        </w:rPr>
        <w:t xml:space="preserve">7.1 Entering personal information is a use or a disclosure</w:t>
      </w:r>
    </w:p>
    <w:p>
      <w:pPr>
        <w:spacing w:after="120"/>
      </w:pPr>
      <w:r>
        <w:t xml:space="preserve">7.1.1 Putting personal information into an AI tool is a </w:t>
      </w:r>
      <w:r>
        <w:rPr>
          <w:b/>
          <w:bCs/>
        </w:rPr>
        <w:t xml:space="preserve">use</w:t>
      </w:r>
      <w:r>
        <w:t xml:space="preserve"> if the information stays within [ORGANISATION]'s effective control, and a </w:t>
      </w:r>
      <w:r>
        <w:rPr>
          <w:b/>
          <w:bCs/>
        </w:rPr>
        <w:t xml:space="preserve">disclosure</w:t>
      </w:r>
      <w:r>
        <w:t xml:space="preserve"> if it becomes accessible to the supplier or anyone else outside that control. Which one it is depends on the tool's terms and settings, which is why clause 3.2 requires them to be read.</w:t>
      </w:r>
    </w:p>
    <w:p>
      <w:pPr>
        <w:spacing w:after="120"/>
      </w:pPr>
      <w:r>
        <w:t xml:space="preserve">7.1.2 Personal information may be used or disclosed only for the primary purpose for which it was collected, unless the individual has consented or the individual would reasonably expect the use or disclosure for a secondary purpose related to the primary purpose (directly related, for sensitive information), or another exception the Act provides applies.</w:t>
      </w:r>
    </w:p>
    <w:p>
      <w:pPr>
        <w:spacing w:after="120"/>
      </w:pPr>
      <w:r>
        <w:t xml:space="preserve">7.1.3 </w:t>
      </w:r>
      <w:r>
        <w:rPr>
          <w:b/>
          <w:bCs/>
        </w:rPr>
        <w:t xml:space="preserve">Purposes are construed narrowly.</w:t>
      </w:r>
      <w:r>
        <w:t xml:space="preserve"> Using AI as the means of carrying out the purpose the information was collected for (drafting a reply to a customer's query, with an approved tool) is within the primary purpose. Using the information for an AI-related purpose of its own (training a model, building a profile, enriching a dataset) is a secondary purpose and needs its own basis. The regulator has stated that, given community concern about AI, it will often be difficult to establish that an AI-related secondary purpose was within an individual's reasonable expectations.</w:t>
      </w:r>
    </w:p>
    <w:p>
      <w:pPr>
        <w:spacing w:after="120"/>
      </w:pPr>
      <w:r>
        <w:t xml:space="preserve">7.1.4 Where a secondary AI-related purpose cannot clearly be shown to be reasonably expected and related, [ORGANISATION] obtains consent or offers a meaningful, informed opt-out before proceeding. Consent is not implied from a notice, and is not supplied by a general acceptance of the privacy policy.</w:t>
      </w:r>
    </w:p>
    <w:p>
      <w:pPr>
        <w:spacing w:after="120"/>
      </w:pPr>
      <w:r>
        <w:t xml:space="preserve">7.1.5 The minimum personal information sufficient for the purpose is entered. Privacy-preserving techniques, including redaction and de-identification before entry, are used wherever they do not compromise the output.</w:t>
      </w:r>
    </w:p>
    <w:p>
      <w:pPr>
        <w:pStyle w:val="Heading2"/>
        <w:spacing w:after="100" w:before="200"/>
      </w:pPr>
      <w:r>
        <w:rPr>
          <w:color w:val="2E74B5"/>
        </w:rPr>
        <w:t xml:space="preserve">7.2 Generating or inferring personal information is a collection</w:t>
      </w:r>
    </w:p>
    <w:p>
      <w:pPr>
        <w:spacing w:after="120"/>
      </w:pPr>
      <w:r>
        <w:t xml:space="preserve">7.2.1 Where an AI tool generates or infers personal information, including images, inferences about a person's characteristics, and false statements about an identifiable person, [ORGANISATION] has </w:t>
      </w:r>
      <w:r>
        <w:rPr>
          <w:b/>
          <w:bCs/>
        </w:rPr>
        <w:t xml:space="preserve">collected</w:t>
      </w:r>
      <w:r>
        <w:t xml:space="preserve"> that information. The collection must be reasonably necessary for [ORGANISATION]'s functions or activities; must be by lawful and fair means; and, because it is not from the individual, must be justified as a case where collecting from the individual would have been unreasonable or impracticable.</w:t>
      </w:r>
    </w:p>
    <w:p>
      <w:pPr>
        <w:spacing w:after="120"/>
      </w:pPr>
      <w:r>
        <w:t xml:space="preserve">7.2.2 Generated or inferred personal information that [ORGANISATION] could not have collected is destroyed or de-identified as soon as practicable. This includes personal information an AI tool produces incidentally.</w:t>
      </w:r>
    </w:p>
    <w:p>
      <w:pPr>
        <w:spacing w:after="120"/>
      </w:pPr>
      <w:r>
        <w:t xml:space="preserve">7.2.3 Inferring characteristics about a person from other data [ORGANISATION] holds, without the person's awareness, is a covert collection and is treated as unfair unless the data protection lead has determined otherwise in writing.</w:t>
      </w:r>
    </w:p>
    <w:p>
      <w:pPr>
        <w:pStyle w:val="Heading2"/>
        <w:spacing w:after="100" w:before="200"/>
      </w:pPr>
      <w:r>
        <w:rPr>
          <w:color w:val="2E74B5"/>
        </w:rPr>
        <w:t xml:space="preserve">7.3 Personal information that is wrong is still personal information</w:t>
      </w:r>
    </w:p>
    <w:p>
      <w:pPr>
        <w:spacing w:after="120"/>
      </w:pPr>
      <w:r>
        <w:t xml:space="preserve">Hallucinated, incorrect or fabricated information about an identifiable individual is personal information. It is subject to the accuracy duty at clause 11, may be the subject of an access or correction request, and its disclosure can be an interference with privacy. Output that names or describes a real person is handled accordingly.</w:t>
      </w:r>
    </w:p>
    <w:p>
      <w:pPr>
        <w:pStyle w:val="Heading2"/>
        <w:spacing w:after="100" w:before="200"/>
      </w:pPr>
      <w:r>
        <w:rPr>
          <w:color w:val="2E74B5"/>
        </w:rPr>
        <w:t xml:space="preserve">7.4 Sensitive information</w:t>
      </w:r>
    </w:p>
    <w:p>
      <w:pPr>
        <w:spacing w:after="120"/>
      </w:pPr>
      <w:r>
        <w:t xml:space="preserve">7.4.1 Sensitive information is collected only with consent, unless an exception the Act provides applies. Consent is informed, voluntary, current and specific. Photographs and recordings from which race, health or other sensitive attributes can be inferred are sensitive information; so are biometric templates and biometric information used for automated identification; so are labels and annotations that record such attributes.</w:t>
      </w:r>
    </w:p>
    <w:p>
      <w:pPr>
        <w:spacing w:after="120"/>
      </w:pPr>
      <w:r>
        <w:t xml:space="preserve">7.4.2 Using AI to generate, infer or classify sensitive information about a person is a Level 3 use and requires consent from that person before the tool is used for it. Consent cannot be implied from a notice.</w:t>
      </w:r>
    </w:p>
    <w:p>
      <w:pPr>
        <w:pStyle w:val="Heading2"/>
        <w:spacing w:after="100" w:before="200"/>
      </w:pPr>
      <w:r>
        <w:rPr>
          <w:color w:val="2E74B5"/>
        </w:rPr>
        <w:t xml:space="preserve">7.5 Scraping and third-party datasets</w:t>
      </w:r>
    </w:p>
    <w:p>
      <w:pPr>
        <w:spacing w:after="120"/>
      </w:pPr>
      <w:r>
        <w:t xml:space="preserve">7.5.1 Collecting personal information by scraping websites or social media, or by acquiring a third-party dataset, is a collection by [ORGANISATION]. Public availability does not make it lawful. A scraped collection is generally covert; whether it is fair depends on what the individual would expect, the sensitivity of the information, the purpose, the risk of harm, whether the individual made the information public, and the steps taken to prevent privacy impacts.</w:t>
      </w:r>
    </w:p>
    <w:p>
      <w:pPr>
        <w:spacing w:after="120"/>
      </w:pPr>
      <w:r>
        <w:t xml:space="preserve">7.5.2 No scraping or dataset acquisition involving personal information proceeds without a privacy impact assessment, written approval by the data protection lead, and, for a third-party dataset, information from the supplier about the sources, the notices given at original collection, and contractual assurance that the collection and disclosure did not breach the Act.</w:t>
      </w:r>
    </w:p>
    <w:p>
      <w:pPr>
        <w:spacing w:after="120"/>
      </w:pPr>
      <w:r>
        <w:t xml:space="preserve">7.5.3 Sensitive information in a scraped or acquired dataset for which consent cannot be established is deleted.</w:t>
      </w:r>
    </w:p>
    <w:p>
      <w:pPr>
        <w:pStyle w:val="Heading2"/>
        <w:spacing w:after="100" w:before="200"/>
      </w:pPr>
      <w:r>
        <w:rPr>
          <w:color w:val="2E74B5"/>
        </w:rPr>
        <w:t xml:space="preserve">7.6 Meeting recording and transcription</w:t>
      </w:r>
    </w:p>
    <w:p>
      <w:pPr>
        <w:spacing w:after="120"/>
      </w:pPr>
      <w:r>
        <w:t xml:space="preserve">7.6.1 AI transcription and minute-taking collects whatever is said. It is used only with a tool approved for Level 2 or above, only where participants are told at the outset that an AI tool is recording and transcribing and given the opportunity to object, and only where the consequence of objecting is not serious for the participant.</w:t>
      </w:r>
    </w:p>
    <w:p>
      <w:pPr>
        <w:spacing w:after="120"/>
      </w:pPr>
      <w:r>
        <w:t xml:space="preserve">7.6.2 Personal or sensitive information captured that is not reasonably necessary for [ORGANISATION]'s functions (a private conversation, a health disclosure, a client's confidential matter) is deleted from the transcript. Where sensitive information is foreseeable, consent is obtained before recording.</w:t>
      </w:r>
    </w:p>
    <w:p>
      <w:pPr>
        <w:spacing w:after="120"/>
      </w:pPr>
      <w:r>
        <w:t xml:space="preserve">7.6.3 Surveillance-device laws of the states and territories may separately regulate recording; they are not held and are not stated here (clause 22).</w:t>
      </w:r>
    </w:p>
    <w:p>
      <w:pPr>
        <w:pStyle w:val="Heading1"/>
        <w:spacing w:after="120" w:before="280"/>
      </w:pPr>
      <w:r>
        <w:rPr>
          <w:color w:val="2E74B5"/>
        </w:rPr>
        <w:t xml:space="preserve">8. Notice and the privacy policy</w:t>
      </w:r>
    </w:p>
    <w:p>
      <w:pPr>
        <w:spacing w:after="120"/>
      </w:pPr>
      <w:r>
        <w:t xml:space="preserve">8.1 [ORGANISATION]'s privacy policy states, clearly and currently, that AI tools are used in connection with personal information, for what purposes, and whether inputs or outputs are disclosed to AI suppliers or other third parties, and in which countries those recipients are located where practicable.</w:t>
      </w:r>
    </w:p>
    <w:p>
      <w:pPr>
        <w:spacing w:after="120"/>
      </w:pPr>
      <w:r>
        <w:t xml:space="preserve">8.2 Collection notices given at or before collection state any AI-related purpose for which the personal information is collected, any generation of personal information by AI, and any disclosure to an AI supplier. A supplier with access to personal information processed through its tool is a recipient the notice must name by type.</w:t>
      </w:r>
    </w:p>
    <w:p>
      <w:pPr>
        <w:spacing w:after="120"/>
      </w:pPr>
      <w:r>
        <w:t xml:space="preserve">8.3 A privacy policy is not a notice. Both are used. A statement added to the privacy policy after collection does not, by itself, change what individuals reasonably expected at the time of collection.</w:t>
      </w:r>
    </w:p>
    <w:p>
      <w:pPr>
        <w:spacing w:after="120"/>
      </w:pPr>
      <w:r>
        <w:t xml:space="preserve">8.4 The additional privacy-policy content the automated-decision duty requires from 10 December 2026 is at clause 13.</w:t>
      </w:r>
    </w:p>
    <w:p>
      <w:pPr>
        <w:pStyle w:val="Heading1"/>
        <w:spacing w:after="120" w:before="280"/>
      </w:pPr>
      <w:r>
        <w:rPr>
          <w:color w:val="2E74B5"/>
        </w:rPr>
        <w:t xml:space="preserve">9. Security</w:t>
      </w:r>
    </w:p>
    <w:p>
      <w:pPr>
        <w:spacing w:after="120"/>
      </w:pPr>
      <w:r>
        <w:t xml:space="preserve">9.1 Personal information held in, or passing through, AI tools is protected by steps reasonable in the circumstances from misuse, interference, loss, and unauthorised access, modification or disclosure. Those steps include technical and organisational measures, which the Act now says expressly.</w:t>
      </w:r>
    </w:p>
    <w:p>
      <w:pPr>
        <w:spacing w:after="120"/>
      </w:pPr>
      <w:r>
        <w:t xml:space="preserve">9.2 For AI tools the reasonable steps include, as a minimum: the supplier's security posture and incident history reviewed at approval; data-at-rest and in-transit protection; access control over who may use the tool and at what level; audit logging of prompts and outputs where the tool permits; controls against prompt injection and against a model regurgitating training or context data; and, for tools integrated with [ORGANISATION] systems, a review of what the tool can reach.</w:t>
      </w:r>
    </w:p>
    <w:p>
      <w:pPr>
        <w:spacing w:after="120"/>
      </w:pPr>
      <w:r>
        <w:t xml:space="preserve">9.3 Personal information no longer needed for any purpose for which it may be used or disclosed is destroyed or de-identified, unless retention is required by law. Prompt histories, transcripts, generated documents and fine-tuning datasets are within this duty and carry retention periods on the approved tools list.</w:t>
      </w:r>
    </w:p>
    <w:p>
      <w:pPr>
        <w:spacing w:after="120"/>
      </w:pPr>
      <w:r>
        <w:t xml:space="preserve">9.4 An AI tool that cannot evidence who accessed what, or that cannot delete on instruction, is not approved for Level 2 or above.</w:t>
      </w:r>
    </w:p>
    <w:p>
      <w:pPr>
        <w:pStyle w:val="Heading1"/>
        <w:spacing w:after="120" w:before="280"/>
      </w:pPr>
      <w:r>
        <w:rPr>
          <w:color w:val="2E74B5"/>
        </w:rPr>
        <w:t xml:space="preserve">10. Verification of output, code and agents</w:t>
      </w:r>
    </w:p>
    <w:p>
      <w:pPr>
        <w:spacing w:after="120"/>
      </w:pPr>
      <w:r>
        <w:t xml:space="preserve">10.1 AI output is a draft. It is verified by a person with the competence to do so before it is relied on, sent outside [ORGANISATION], or recorded as fact. The degree of verification matches the consequence of error.</w:t>
      </w:r>
    </w:p>
    <w:p>
      <w:pPr>
        <w:spacing w:after="120"/>
      </w:pPr>
      <w:r>
        <w:t xml:space="preserve">10.2 Output containing personal information is verified for accuracy before use or disclosure (clause 11).</w:t>
      </w:r>
    </w:p>
    <w:p>
      <w:pPr>
        <w:spacing w:after="120"/>
      </w:pPr>
      <w:r>
        <w:t xml:space="preserve">10.3 Legal, regulatory, financial, medical and safety content is verified against a primary source. AI-cited authorities are checked to exist and to say what is claimed.</w:t>
      </w:r>
    </w:p>
    <w:p>
      <w:pPr>
        <w:spacing w:after="120"/>
      </w:pPr>
      <w:r>
        <w:t xml:space="preserve">10.4 AI-generated code is reviewed as third-party code: for security vulnerabilities, for licence contamination, and for correctness, before it enters a repository.</w:t>
      </w:r>
    </w:p>
    <w:p>
      <w:pPr>
        <w:spacing w:after="120"/>
      </w:pPr>
      <w:r>
        <w:t xml:space="preserve">10.5 Records show where information is the product of AI output and therefore a probabilistic assessment rather than a fact, and identify the data and system that generated it.</w:t>
      </w:r>
    </w:p>
    <w:p>
      <w:pPr>
        <w:spacing w:after="120"/>
      </w:pPr>
      <w:r>
        <w:t xml:space="preserve">10.6 </w:t>
      </w:r>
      <w:r>
        <w:rPr>
          <w:b/>
          <w:bCs/>
        </w:rPr>
        <w:t xml:space="preserve">AI agents.</w:t>
      </w:r>
      <w:r>
        <w:t xml:space="preserve"> A tool that selects its own actions across other systems (sending messages, changing records, making purchases, running code) is a Level 3 use at least, and Level 4 where its actions affect a person. Every action an agent can take is enumerated and approved; the agent runs under an identity with the least privilege its approved actions need; its actions are logged; and a person can stop it.</w:t>
      </w:r>
    </w:p>
    <w:p>
      <w:pPr>
        <w:pStyle w:val="Heading1"/>
        <w:spacing w:after="120" w:before="280"/>
      </w:pPr>
      <w:r>
        <w:rPr>
          <w:color w:val="2E74B5"/>
        </w:rPr>
        <w:t xml:space="preserve">11. Accuracy</w:t>
      </w:r>
    </w:p>
    <w:p>
      <w:pPr>
        <w:spacing w:after="120"/>
      </w:pPr>
      <w:r>
        <w:t xml:space="preserve">11.1 [ORGANISATION] takes reasonable steps to ensure the personal information it collects, including by AI generation or inference, is accurate, up-to-date and complete, and that the personal information it uses or discloses is accurate, up-to-date, complete and relevant for the purpose. AI carries a heightened accuracy risk, and the steps taken are commensurate with it.</w:t>
      </w:r>
    </w:p>
    <w:p>
      <w:pPr>
        <w:spacing w:after="120"/>
      </w:pPr>
      <w:r>
        <w:t xml:space="preserve">11.2 The steps include: assessing at approval whether the tool has been tested for the intended use and on data relevant to Australia; verifying inputs; a human responsible for verifying any personal information obtained through AI and able to overturn a result; recording AI outputs as probabilistic rather than factual (clause 10.5); disclaimers that state the limits of the tool's accuracy where output is provided to others; and periodic testing of outputs for inaccuracy and bias.</w:t>
      </w:r>
    </w:p>
    <w:p>
      <w:pPr>
        <w:spacing w:after="120"/>
      </w:pPr>
      <w:r>
        <w:t xml:space="preserve">11.3 An individual may request access to, and correction of, personal information about them that AI has generated or that is held in an AI tool. Requests are answered within a reasonable period; a refusal is given in writing with reasons and the complaint mechanism. Where correction is refused, the individual may have a statement of the inaccuracy associated with the information so that users of it see it.</w:t>
      </w:r>
    </w:p>
    <w:p>
      <w:pPr>
        <w:pStyle w:val="Heading1"/>
        <w:spacing w:after="120" w:before="280"/>
      </w:pPr>
      <w:r>
        <w:rPr>
          <w:color w:val="2E74B5"/>
        </w:rPr>
        <w:t xml:space="preserve">12. Decisions about people: the determination</w:t>
      </w:r>
    </w:p>
    <w:p>
      <w:pPr>
        <w:spacing w:after="120"/>
      </w:pPr>
      <w:r>
        <w:t xml:space="preserve">12.1 For every AI system that bears on a decision about an individual, the accountable person records a written determination of whether, after 10 December 2026, the automated-decision transparency duty will apply. It applies where all three are true:</w:t>
      </w:r>
    </w:p>
    <w:p>
      <w:pPr>
        <w:spacing w:after="120"/>
      </w:pPr>
      <w:r>
        <w:t xml:space="preserve">(a) [ORGANISATION] has arranged for a computer program to make a decision, or to do a thing that is substantially and directly related to making a decision; (b) the decision could reasonably be expected to significantly affect the rights or interests of an individual, whether adversely or beneficially; and (c) personal information about the individual is used in the operation of the program to make the decision or do the thing.</w:t>
      </w:r>
    </w:p>
    <w:p>
      <w:pPr>
        <w:spacing w:after="120"/>
      </w:pPr>
      <w:r>
        <w:t xml:space="preserve">12.2 </w:t>
      </w:r>
      <w:r>
        <w:rPr>
          <w:b/>
          <w:bCs/>
        </w:rPr>
        <w:t xml:space="preserve">Computer program is broad.</w:t>
      </w:r>
      <w:r>
        <w:t xml:space="preserve"> Rules-based logic, spreadsheets, machine learning and generative AI are all computer programs. A chatbot is a computer program.</w:t>
      </w:r>
    </w:p>
    <w:p>
      <w:pPr>
        <w:spacing w:after="120"/>
      </w:pPr>
      <w:r>
        <w:t xml:space="preserve">12.3 </w:t>
      </w:r>
      <w:r>
        <w:rPr>
          <w:b/>
          <w:bCs/>
        </w:rPr>
        <w:t xml:space="preserve">Substantially and directly related.</w:t>
      </w:r>
      <w:r>
        <w:t xml:space="preserve"> A program that recommends a decision to a person, or guides the person's decision, is within the duty where its contribution is a key factor in the decision and directly connected to it. A program that merely performs a calculation the decision uses (an age from a date of birth) is directly but not substantially related. A summary or recommendation that staff routinely rely on is substantially related whether or not a person signs the decision.</w:t>
      </w:r>
    </w:p>
    <w:p>
      <w:pPr>
        <w:spacing w:after="120"/>
      </w:pPr>
      <w:r>
        <w:t xml:space="preserve">12.4 </w:t>
      </w:r>
      <w:r>
        <w:rPr>
          <w:b/>
          <w:bCs/>
        </w:rPr>
        <w:t xml:space="preserve">Significantly affects rights or interests.</w:t>
      </w:r>
      <w:r>
        <w:t xml:space="preserve"> Examples the Act gives: a decision under a law to grant or refuse a benefit; a decision affecting a person's rights under a contract, agreement or arrangement; a decision affecting a person's access to a significant service or support. Refusing or failing to decide is a decision. Beneficial effects count.</w:t>
      </w:r>
    </w:p>
    <w:p>
      <w:pPr>
        <w:spacing w:after="120"/>
      </w:pPr>
      <w:r>
        <w:t xml:space="preserve">12.5 The determination is recorded in the AI register (clause 20.4) with its reasons, the kinds of personal information the program uses, and whether the decision is made solely by the program or with a substantial contribution from it. It is revisited on any material change to the system or its use, and reviewed before 10 December 2026 for every system then in use.</w:t>
      </w:r>
    </w:p>
    <w:p>
      <w:pPr>
        <w:spacing w:after="120"/>
      </w:pPr>
      <w:r>
        <w:t xml:space="preserve">12.6 The determination is a transparency test, not a permission. A system inside the duty is a Level 4 use and is subject to clause 14 whatever the determination says.</w:t>
      </w:r>
    </w:p>
    <w:p>
      <w:pPr>
        <w:pStyle w:val="Heading1"/>
        <w:spacing w:after="120" w:before="280"/>
      </w:pPr>
      <w:r>
        <w:rPr>
          <w:color w:val="2E74B5"/>
        </w:rPr>
        <w:t xml:space="preserve">13. Decisions about people: the disclosure</w:t>
      </w:r>
    </w:p>
    <w:p>
      <w:pPr>
        <w:spacing w:after="120"/>
      </w:pPr>
      <w:r>
        <w:t xml:space="preserve">13.1 From 10 December 2026, [ORGANISATION]'s privacy policy contains, for the programs the clause 12 determination brings within the duty:</w:t>
      </w:r>
    </w:p>
    <w:p>
      <w:pPr>
        <w:spacing w:after="120"/>
      </w:pPr>
      <w:r>
        <w:t xml:space="preserve">(a) the kinds of personal information used in the operation of those programs; (b) the kinds of decisions made solely by the operation of those programs; and (c) the kinds of decisions for which a thing substantially and directly related to making the decision is done by the operation of those programs.</w:t>
      </w:r>
    </w:p>
    <w:p>
      <w:pPr>
        <w:spacing w:after="120"/>
      </w:pPr>
      <w:r>
        <w:t xml:space="preserve">13.2 The disclosure is drafted from the AI register, is reviewed by the data protection lead, and is in place before commencement. It is updated whenever the register changes in a way that alters it.</w:t>
      </w:r>
    </w:p>
    <w:p>
      <w:pPr>
        <w:spacing w:after="120"/>
      </w:pPr>
      <w:r>
        <w:t xml:space="preserve">13.3 </w:t>
      </w:r>
      <w:r>
        <w:rPr>
          <w:b/>
          <w:bCs/>
        </w:rPr>
        <w:t xml:space="preserve">The duty is a disclosure duty and nothing more.</w:t>
      </w:r>
      <w:r>
        <w:t xml:space="preserve"> The Act gives the individual no right to request an explanation, to contest the decision, or to demand human review, and imposes no duty to notify the individual at the time. </w:t>
      </w:r>
      <w:r>
        <w:rPr>
          <w:b/>
          <w:bCs/>
        </w:rPr>
        <w:t xml:space="preserve">[ORGANISATION] applies all three anyway, as house standards</w:t>
      </w:r>
      <w:r>
        <w:t xml:space="preserve">, at clause 14, because a disclosure in a privacy policy is the floor of what a fair process requires and because the regulator's guidance expects decisions to be explicable to the people affected.</w:t>
      </w:r>
    </w:p>
    <w:p>
      <w:pPr>
        <w:pStyle w:val="Heading1"/>
        <w:spacing w:after="120" w:before="280"/>
      </w:pPr>
      <w:r>
        <w:rPr>
          <w:color w:val="2E74B5"/>
        </w:rPr>
        <w:t xml:space="preserve">14. Human oversight of decisions about people</w:t>
      </w:r>
    </w:p>
    <w:p>
      <w:pPr>
        <w:spacing w:after="120"/>
      </w:pPr>
      <w:r>
        <w:t xml:space="preserve">14.1 No Level 4 decision is made solely by an AI system. A person with the authority and the competence to decide reviews the AI output, has access to the information the output rests on, and can reach a different decision. Oversight that consists of approving what the system proposes is not oversight; approval rates and override rates are monitored under clause 20.</w:t>
      </w:r>
    </w:p>
    <w:p>
      <w:pPr>
        <w:spacing w:after="120"/>
      </w:pPr>
      <w:r>
        <w:t xml:space="preserve">14.2 An individual affected by a Level 4 decision is told that an AI system contributed to it, is given a meaningful explanation of the decision and the role the system played, and can ask for the decision to be reviewed by a person who did not make it. These are house standards.</w:t>
      </w:r>
    </w:p>
    <w:p>
      <w:pPr>
        <w:spacing w:after="120"/>
      </w:pPr>
      <w:r>
        <w:t xml:space="preserve">14.3 A Level 4 system whose behaviour [ORGANISATION] cannot understand or explain in terms a person affected could follow is not approved.</w:t>
      </w:r>
    </w:p>
    <w:p>
      <w:pPr>
        <w:pStyle w:val="Heading1"/>
        <w:spacing w:after="120" w:before="280"/>
      </w:pPr>
      <w:r>
        <w:rPr>
          <w:color w:val="2E74B5"/>
        </w:rPr>
        <w:t xml:space="preserve">15. Customer-facing AI</w:t>
      </w:r>
    </w:p>
    <w:p>
      <w:pPr>
        <w:spacing w:after="120"/>
      </w:pPr>
      <w:r>
        <w:t xml:space="preserve">15.1 Where a customer or member of the public interacts with an AI system (a chatbot, a voice agent, an AI-generated response), they are told so clearly, at the start of the interaction, and can reach a person. Collecting personal information through an interface a person believes is human is not a fair means of collection.</w:t>
      </w:r>
    </w:p>
    <w:p>
      <w:pPr>
        <w:spacing w:after="120"/>
      </w:pPr>
      <w:r>
        <w:t xml:space="preserve">15.2 Personal information collected through a customer-facing AI system is collected only where reasonably necessary, only by lawful and fair means, and with the notice clause 8.2 requires.</w:t>
      </w:r>
    </w:p>
    <w:p>
      <w:pPr>
        <w:spacing w:after="120"/>
      </w:pPr>
      <w:r>
        <w:t xml:space="preserve">15.3 A customer-facing AI system is tested before launch for inaccurate, biased and harmful outputs and for the disclosure of personal information about other people, and is monitored after launch.</w:t>
      </w:r>
    </w:p>
    <w:p>
      <w:pPr>
        <w:spacing w:after="120"/>
      </w:pPr>
      <w:r>
        <w:t xml:space="preserve">15.4 Where AI has generated or materially altered content presented as [ORGANISATION]'s work to customers, regulators or the public, the use is disclosed where a reasonable person would want to know, and always where non-disclosure would mislead. Statements about what an AI product does are accurate; overstating an AI system's capability is misleading conduct under consumer law, which this policy names and does not state (clause 22).</w:t>
      </w:r>
    </w:p>
    <w:p>
      <w:pPr>
        <w:pStyle w:val="Heading1"/>
        <w:spacing w:after="120" w:before="280"/>
      </w:pPr>
      <w:r>
        <w:rPr>
          <w:color w:val="2E74B5"/>
        </w:rPr>
        <w:t xml:space="preserve">16. Training and fine-tuning on [ORGANISATION] data</w:t>
      </w:r>
    </w:p>
    <w:p>
      <w:pPr>
        <w:spacing w:after="120"/>
      </w:pPr>
      <w:r>
        <w:t xml:space="preserve">16.1 Using personal information [ORGANISATION] holds to train or fine-tune a model, or providing it to a supplier to do so, is a secondary purpose unless training was a primary purpose of the collection. It requires consent, or a reasonable-expectations basis that clause 7.1 explains will often be hard to establish, or another exception.</w:t>
      </w:r>
    </w:p>
    <w:p>
      <w:pPr>
        <w:spacing w:after="120"/>
      </w:pPr>
      <w:r>
        <w:t xml:space="preserve">16.2 </w:t>
      </w:r>
      <w:r>
        <w:rPr>
          <w:b/>
          <w:bCs/>
        </w:rPr>
        <w:t xml:space="preserve">Historic data.</w:t>
      </w:r>
      <w:r>
        <w:t xml:space="preserve"> Updating the privacy policy does not authorise training on personal information collected before the update for other purposes. Where training on held data is proposed, [ORGANISATION] first considers de-identification; then, if personal information must remain, informs the individuals, gives them an easy means to opt out, and gives them sufficient time to use it before training begins.</w:t>
      </w:r>
    </w:p>
    <w:p>
      <w:pPr>
        <w:spacing w:after="120"/>
      </w:pPr>
      <w:r>
        <w:t xml:space="preserve">16.3 A supplier that fine-tunes on [ORGANISATION] data does so under contract terms that confine the data to [ORGANISATION]'s purposes, prohibit use to improve the supplier's other models, require filters so that personal information from the training data does not surface in outputs, and provide for deletion.</w:t>
      </w:r>
    </w:p>
    <w:p>
      <w:pPr>
        <w:spacing w:after="120"/>
      </w:pPr>
      <w:r>
        <w:t xml:space="preserve">16.4 Fine-tuning is a Level 3 use and requires a privacy impact assessment.</w:t>
      </w:r>
    </w:p>
    <w:p>
      <w:pPr>
        <w:pStyle w:val="Heading1"/>
        <w:spacing w:after="120" w:before="280"/>
      </w:pPr>
      <w:r>
        <w:rPr>
          <w:color w:val="2E74B5"/>
        </w:rPr>
        <w:t xml:space="preserve">17. The six practices: house standards</w:t>
      </w:r>
    </w:p>
    <w:p>
      <w:pPr>
        <w:spacing w:after="120"/>
      </w:pPr>
      <w:r>
        <w:t xml:space="preserve">The Guidance for AI Adoption asks every organisation using AI to adopt six essential practices. They are not law. [ORGANISATION] adopts them as house standards and the enterprise annex operates them. In summary:</w:t>
      </w:r>
    </w:p>
    <w:p>
      <w:pPr>
        <w:spacing w:after="120"/>
      </w:pPr>
      <w:r>
        <w:t xml:space="preserve">17.1 </w:t>
      </w:r>
      <w:r>
        <w:rPr>
          <w:b/>
          <w:bCs/>
        </w:rPr>
        <w:t xml:space="preserve">Decide who is accountable.</w:t>
      </w:r>
      <w:r>
        <w:t xml:space="preserve"> A senior leader owns AI governance; every AI system has a named accountable person; supply-chain accountabilities are recorded; this policy is the AI policy the guidance asks for.</w:t>
      </w:r>
    </w:p>
    <w:p>
      <w:pPr>
        <w:spacing w:after="120"/>
      </w:pPr>
      <w:r>
        <w:t xml:space="preserve">17.2 </w:t>
      </w:r>
      <w:r>
        <w:rPr>
          <w:b/>
          <w:bCs/>
        </w:rPr>
        <w:t xml:space="preserve">Understand impacts and plan accordingly.</w:t>
      </w:r>
      <w:r>
        <w:t xml:space="preserve"> A stakeholder impact assessment for each system, with particular attention to vulnerable and marginalised people; contestability channels proportionate to the impact; monitoring of feedback for systemic problems.</w:t>
      </w:r>
    </w:p>
    <w:p>
      <w:pPr>
        <w:spacing w:after="120"/>
      </w:pPr>
      <w:r>
        <w:t xml:space="preserve">17.3 </w:t>
      </w:r>
      <w:r>
        <w:rPr>
          <w:b/>
          <w:bCs/>
        </w:rPr>
        <w:t xml:space="preserve">Measure and manage risks.</w:t>
      </w:r>
      <w:r>
        <w:t xml:space="preserve"> A risk screening for every system and use case; risk management that distinguishes traditional software, narrow AI, general-purpose AI and agentic AI; controls proportionate to risk; investigation and analysis of AI incidents.</w:t>
      </w:r>
    </w:p>
    <w:p>
      <w:pPr>
        <w:spacing w:after="120"/>
      </w:pPr>
      <w:r>
        <w:t xml:space="preserve">17.4 </w:t>
      </w:r>
      <w:r>
        <w:rPr>
          <w:b/>
          <w:bCs/>
        </w:rPr>
        <w:t xml:space="preserve">Share essential information.</w:t>
      </w:r>
      <w:r>
        <w:t xml:space="preserve"> An AI register covering every system including AI embedded in other products; disclosure of AI use to stakeholders; documented capabilities and limitations; supply-chain transparency; explanations of outcomes proportionate to their seriousness.</w:t>
      </w:r>
    </w:p>
    <w:p>
      <w:pPr>
        <w:spacing w:after="120"/>
      </w:pPr>
      <w:r>
        <w:t xml:space="preserve">17.5 </w:t>
      </w:r>
      <w:r>
        <w:rPr>
          <w:b/>
          <w:bCs/>
        </w:rPr>
        <w:t xml:space="preserve">Test and monitor.</w:t>
      </w:r>
      <w:r>
        <w:t xml:space="preserve"> Proof of testing from suppliers; testing before deployment; monitoring after it, matched to the risk; data governance and cybersecurity extended to AI; stress-testing; independent testing for systems needing additional governance attention.</w:t>
      </w:r>
    </w:p>
    <w:p>
      <w:pPr>
        <w:spacing w:after="120"/>
      </w:pPr>
      <w:r>
        <w:t xml:space="preserve">17.6 </w:t>
      </w:r>
      <w:r>
        <w:rPr>
          <w:b/>
          <w:bCs/>
        </w:rPr>
        <w:t xml:space="preserve">Maintain human control.</w:t>
      </w:r>
      <w:r>
        <w:t xml:space="preserve"> Oversight matched to autonomy and stakes; human override points that can pause, roll back or shut down a system; training for those overseeing; alternative pathways so that critical functions continue if a system fails or is withdrawn.</w:t>
      </w:r>
    </w:p>
    <w:p>
      <w:pPr>
        <w:pStyle w:val="Heading1"/>
        <w:spacing w:after="120" w:before="280"/>
      </w:pPr>
      <w:r>
        <w:rPr>
          <w:color w:val="2E74B5"/>
        </w:rPr>
        <w:t xml:space="preserve">18. Serious invasions of privacy</w:t>
      </w:r>
    </w:p>
    <w:p>
      <w:pPr>
        <w:spacing w:after="120"/>
      </w:pPr>
      <w:r>
        <w:t xml:space="preserve">18.1 Since 10 June 2025 an individual can sue for a serious invasion of privacy that is intentional or reckless, whether by intrusion upon their seclusion or misuse of information relating to them, where they had a reasonable expectation of privacy and that expectation outweighs any countervailing public interest. Damage need not be proved. The means used, including any device or technology, and the purpose, are matters a court will consider.</w:t>
      </w:r>
    </w:p>
    <w:p>
      <w:pPr>
        <w:spacing w:after="120"/>
      </w:pPr>
      <w:r>
        <w:t xml:space="preserve">18.2 The AI uses that create this exposure are monitoring and surveillance of staff or customers, scraping and profiling, facial recognition and other biometric identification, and the generation of intimate or false depictions of real people. Each is prohibited by clause 6.2 or requires written approval under this clause.</w:t>
      </w:r>
    </w:p>
    <w:p>
      <w:pPr>
        <w:spacing w:after="120"/>
      </w:pPr>
      <w:r>
        <w:t xml:space="preserve">18.3 No AI-enabled monitoring or profiling of staff or customers is deployed without a privacy impact assessment that addresses this clause expressly, written approval by the data protection lead, notice to the people affected, and a proportionality determination recorded in the AI register. Covert monitoring is not approved.</w:t>
      </w:r>
    </w:p>
    <w:p>
      <w:pPr>
        <w:spacing w:after="120"/>
      </w:pPr>
      <w:r>
        <w:t xml:space="preserve">18.4 Facial recognition and biometric identification are Level 3 uses at least, require consent from the individuals identified unless an exception the Act provides applies, and are not deployed in spaces where children are likely to be present.</w:t>
      </w:r>
    </w:p>
    <w:p>
      <w:pPr>
        <w:pStyle w:val="Heading1"/>
        <w:spacing w:after="120" w:before="280"/>
      </w:pPr>
      <w:r>
        <w:rPr>
          <w:color w:val="2E74B5"/>
        </w:rPr>
        <w:t xml:space="preserve">19. Children</w:t>
      </w:r>
    </w:p>
    <w:p>
      <w:pPr>
        <w:spacing w:after="120"/>
      </w:pPr>
      <w:r>
        <w:t xml:space="preserve">19.1 Any AI use directed at children, or in a service likely to be accessed by children, is a Level 3 use, requires written approval by the data protection lead, and is designed for the child's best interests. The impacts of AI are more acute for children and for people experiencing vulnerability, and testing under clause 15.3 addresses them specifically.</w:t>
      </w:r>
    </w:p>
    <w:p>
      <w:pPr>
        <w:spacing w:after="120"/>
      </w:pPr>
      <w:r>
        <w:t xml:space="preserve">19.2 A Children's Online Privacy Code is to be registered by 10 December 2026. Its content is not held. When it is registered it is added to the source register and this clause is reviewed.</w:t>
      </w:r>
    </w:p>
    <w:p>
      <w:pPr>
        <w:pStyle w:val="Heading1"/>
        <w:spacing w:after="120" w:before="280"/>
      </w:pPr>
      <w:r>
        <w:rPr>
          <w:color w:val="2E74B5"/>
        </w:rPr>
        <w:t xml:space="preserve">20. Governance, records, incidents and monitoring</w:t>
      </w:r>
    </w:p>
    <w:p>
      <w:pPr>
        <w:spacing w:after="120"/>
      </w:pPr>
      <w:r>
        <w:t xml:space="preserve">20.1 The AI Governance Committee, chaired by [the accountable executive], approves Level 4 uses, owns this policy, and reviews the AI register quarterly.</w:t>
      </w:r>
    </w:p>
    <w:p>
      <w:pPr>
        <w:spacing w:after="120"/>
      </w:pPr>
      <w:r>
        <w:t xml:space="preserve">20.2 The data protection lead approves Level 3 uses, owns privacy impact assessments, holds the automated-decision determinations, and drafts the clause 13 disclosure.</w:t>
      </w:r>
    </w:p>
    <w:p>
      <w:pPr>
        <w:spacing w:after="120"/>
      </w:pPr>
      <w:r>
        <w:t xml:space="preserve">20.3 Every AI system has a named accountable person familiar with the technology and its business implications, who owns its register entry, its risk assessment and its monitoring.</w:t>
      </w:r>
    </w:p>
    <w:p>
      <w:pPr>
        <w:spacing w:after="120"/>
      </w:pPr>
      <w:r>
        <w:t xml:space="preserve">20.4 </w:t>
      </w:r>
      <w:r>
        <w:rPr>
          <w:b/>
          <w:bCs/>
        </w:rPr>
        <w:t xml:space="preserve">The AI register</w:t>
      </w:r>
      <w:r>
        <w:t xml:space="preserve"> records every AI system in use, including AI embedded in other products: its purpose, its level, its accountable person, the personal information it uses, where it processes data, the supplier's rights over inputs and outputs, the automated-decision determination, the privacy impact assessment, the testing done, the monitoring in place, and the retention periods for its data.</w:t>
      </w:r>
    </w:p>
    <w:p>
      <w:pPr>
        <w:spacing w:after="120"/>
      </w:pPr>
      <w:r>
        <w:t xml:space="preserve">20.5 </w:t>
      </w:r>
      <w:r>
        <w:rPr>
          <w:b/>
          <w:bCs/>
        </w:rPr>
        <w:t xml:space="preserve">Incidents.</w:t>
      </w:r>
      <w:r>
        <w:t xml:space="preserve"> Any suspected loss of, or unauthorised access to or disclosure of, personal information involving an AI tool (a prompt containing customer data entered into an unapproved tool, a tool surfacing another user's data, a supplier breach, a model regurgitating training data) is reported to [Security] immediately. Where there are reasonable grounds to suspect an eligible data breach, [ORGANISATION] carries out a reasonable and expeditious assessment and takes all reasonable steps to complete it within thirty days of becoming aware. Where there are reasonable grounds to believe an eligible data breach has occurred, a statement is prepared and given to the Information Commissioner as soon as practicable, and the individuals affected or at risk are notified of its contents, or the statement is published where individual notification is not practicable. An eligible data breach is unauthorised access, disclosure or loss of personal information that a reasonable person would conclude is likely to result in serious harm to any individual concerned. AI incidents that are not data breaches (harmful output, a biased decision, an agent acting outside its approval) are also recorded, investigated and analysed for lessons.</w:t>
      </w:r>
    </w:p>
    <w:p>
      <w:pPr>
        <w:spacing w:after="120"/>
      </w:pPr>
      <w:r>
        <w:t xml:space="preserve">20.6 </w:t>
      </w:r>
      <w:r>
        <w:rPr>
          <w:b/>
          <w:bCs/>
        </w:rPr>
        <w:t xml:space="preserve">Monitoring.</w:t>
      </w:r>
      <w:r>
        <w:t xml:space="preserve"> Tools are monitored for performance drift, inaccuracy, bias and unintended impacts, in proportion to their level. Level 4 systems are tested before deployment and at least [annually] for differential outcomes across the attributes anti-discrimination law protects. Override rates on Level 4 decisions are reported to the AI Governance Committee.</w:t>
      </w:r>
    </w:p>
    <w:p>
      <w:pPr>
        <w:spacing w:after="120"/>
      </w:pPr>
      <w:r>
        <w:t xml:space="preserve">20.7 </w:t>
      </w:r>
      <w:r>
        <w:rPr>
          <w:b/>
          <w:bCs/>
        </w:rPr>
        <w:t xml:space="preserve">Complaints.</w:t>
      </w:r>
      <w:r>
        <w:t xml:space="preserve"> Individuals can complain about [ORGANISATION]'s handling of their personal information in connection with AI through the mechanism the privacy policy describes. Complaints are answered, and patterns are reviewed for systemic issues.</w:t>
      </w:r>
    </w:p>
    <w:p>
      <w:pPr>
        <w:pStyle w:val="Heading1"/>
        <w:spacing w:after="120" w:before="280"/>
      </w:pPr>
      <w:r>
        <w:rPr>
          <w:color w:val="2E74B5"/>
        </w:rPr>
        <w:t xml:space="preserve">21. Training and acknowledgement</w:t>
      </w:r>
    </w:p>
    <w:p>
      <w:pPr>
        <w:spacing w:after="120"/>
      </w:pPr>
      <w:r>
        <w:t xml:space="preserve">21.1 Staff who use AI tools with [ORGANISATION] data complete training covering this policy, the levels of use, the prohibition on entering personal information into unapproved tools, the accuracy and verification duties, and how to recognise and report an incident, before first use and at least [annually].</w:t>
      </w:r>
    </w:p>
    <w:p>
      <w:pPr>
        <w:spacing w:after="120"/>
      </w:pPr>
      <w:r>
        <w:t xml:space="preserve">21.2 Staff who oversee Level 4 systems complete additional training on the system's capabilities, limitations and failure points, on when to intervene, and on the automated-decision duty.</w:t>
      </w:r>
    </w:p>
    <w:p>
      <w:pPr>
        <w:spacing w:after="120"/>
      </w:pPr>
      <w:r>
        <w:t xml:space="preserve">21.3 Every person in scope acknowledges this policy in writing on joining and on each material revision.</w:t>
      </w:r>
    </w:p>
    <w:p>
      <w:pPr>
        <w:pStyle w:val="Heading1"/>
        <w:spacing w:after="120" w:before="280"/>
      </w:pPr>
      <w:r>
        <w:rPr>
          <w:color w:val="2E74B5"/>
        </w:rPr>
        <w:t xml:space="preserve">22. What this policy does not cover</w:t>
      </w:r>
    </w:p>
    <w:p>
      <w:pPr>
        <w:spacing w:after="120"/>
      </w:pPr>
      <w:r>
        <w:t xml:space="preserve">22.1 This policy states the Privacy Act 1988 (Cth) as compiled on 4 June 2026 and the amending Act of 2024, read with the Information Commissioner's AI guidance and the government's AI adoption guidance. </w:t>
      </w:r>
      <w:r>
        <w:rPr>
          <w:b/>
          <w:bCs/>
        </w:rPr>
        <w:t xml:space="preserve">It does not state:</w:t>
      </w:r>
    </w:p>
    <w:p>
      <w:pPr>
        <w:pStyle w:val="ListParagraph"/>
        <w:numPr>
          <w:ilvl w:val="0"/>
          <w:numId w:val="2"/>
        </w:numPr>
        <w:spacing w:after="80"/>
      </w:pPr>
      <w:r>
        <w:t xml:space="preserve">state and territory privacy laws, health-records laws and surveillance-device laws,</w:t>
      </w:r>
    </w:p>
    <w:p>
      <w:pPr>
        <w:spacing w:after="80"/>
        <w:ind w:left="720"/>
      </w:pPr>
      <w:r>
        <w:t xml:space="preserve">which may regulate the same activities, in particular recording and monitoring;</w:t>
      </w:r>
    </w:p>
    <w:p>
      <w:pPr>
        <w:pStyle w:val="ListParagraph"/>
        <w:numPr>
          <w:ilvl w:val="0"/>
          <w:numId w:val="2"/>
        </w:numPr>
        <w:spacing w:after="80"/>
      </w:pPr>
      <w:r>
        <w:t xml:space="preserve">the Australian Consumer Law, which reaches misleading statements about AI, silence as</w:t>
      </w:r>
    </w:p>
    <w:p>
      <w:pPr>
        <w:spacing w:after="80"/>
        <w:ind w:left="720"/>
      </w:pPr>
      <w:r>
        <w:t xml:space="preserve">to AI use, unfair contract terms and the statutory guarantees;</w:t>
      </w:r>
    </w:p>
    <w:p>
      <w:pPr>
        <w:pStyle w:val="ListParagraph"/>
        <w:numPr>
          <w:ilvl w:val="0"/>
          <w:numId w:val="2"/>
        </w:numPr>
        <w:spacing w:after="80"/>
      </w:pPr>
      <w:r>
        <w:t xml:space="preserve">Commonwealth, state and territory anti-discrimination laws and the Fair Work Act,</w:t>
      </w:r>
    </w:p>
    <w:p>
      <w:pPr>
        <w:spacing w:after="80"/>
        <w:ind w:left="720"/>
      </w:pPr>
      <w:r>
        <w:t xml:space="preserve">which reach AI outputs that disadvantage people on a protected attribute;</w:t>
      </w:r>
    </w:p>
    <w:p>
      <w:pPr>
        <w:pStyle w:val="ListParagraph"/>
        <w:numPr>
          <w:ilvl w:val="0"/>
          <w:numId w:val="2"/>
        </w:numPr>
        <w:spacing w:after="80"/>
      </w:pPr>
      <w:r>
        <w:t xml:space="preserve">the Online Safety Act 2021 and the criminal law on non-consensual and abusive</w:t>
      </w:r>
    </w:p>
    <w:p>
      <w:pPr>
        <w:spacing w:after="80"/>
        <w:ind w:left="720"/>
      </w:pPr>
      <w:r>
        <w:t xml:space="preserve">material;</w:t>
      </w:r>
    </w:p>
    <w:p>
      <w:pPr>
        <w:pStyle w:val="ListParagraph"/>
        <w:numPr>
          <w:ilvl w:val="0"/>
          <w:numId w:val="2"/>
        </w:numPr>
        <w:spacing w:after="80"/>
      </w:pPr>
      <w:r>
        <w:t xml:space="preserve">sector rules, including the prudential standards for operational risk and</w:t>
      </w:r>
    </w:p>
    <w:p>
      <w:pPr>
        <w:spacing w:after="80"/>
        <w:ind w:left="720"/>
      </w:pPr>
      <w:r>
        <w:t xml:space="preserve">information security that apply to regulated financial institutions, and the security</w:t>
      </w:r>
    </w:p>
    <w:p>
      <w:pPr>
        <w:spacing w:after="80"/>
        <w:ind w:left="720"/>
      </w:pPr>
      <w:r>
        <w:t xml:space="preserve">obligations on critical infrastructure;</w:t>
      </w:r>
    </w:p>
    <w:p>
      <w:pPr>
        <w:pStyle w:val="ListParagraph"/>
        <w:numPr>
          <w:ilvl w:val="0"/>
          <w:numId w:val="2"/>
        </w:numPr>
        <w:spacing w:after="80"/>
      </w:pPr>
      <w:r>
        <w:t xml:space="preserve">copyright, which the government has confirmed contains no text-and-data-mining</w:t>
      </w:r>
    </w:p>
    <w:p>
      <w:pPr>
        <w:spacing w:after="80"/>
        <w:ind w:left="720"/>
      </w:pPr>
      <w:r>
        <w:t xml:space="preserve">exception;</w:t>
      </w:r>
    </w:p>
    <w:p>
      <w:pPr>
        <w:pStyle w:val="ListParagraph"/>
        <w:numPr>
          <w:ilvl w:val="0"/>
          <w:numId w:val="2"/>
        </w:numPr>
        <w:spacing w:after="80"/>
      </w:pPr>
      <w:r>
        <w:t xml:space="preserve">the Children's Online Privacy Code, not yet registered; and</w:t>
      </w:r>
    </w:p>
    <w:p>
      <w:pPr>
        <w:pStyle w:val="ListParagraph"/>
        <w:numPr>
          <w:ilvl w:val="0"/>
          <w:numId w:val="2"/>
        </w:numPr>
        <w:spacing w:after="80"/>
      </w:pPr>
      <w:r>
        <w:t xml:space="preserve">any registered APP code that binds [ORGANISATION].</w:t>
      </w:r>
    </w:p>
    <w:p>
      <w:pPr>
        <w:spacing w:after="120"/>
      </w:pPr>
      <w:r>
        <w:t xml:space="preserve">22.2 Each of these is named because it exists and is likely to apply; none is stated because none is held in the source set behind this policy. The enterprise annex records them as open verifications.</w:t>
      </w:r>
    </w:p>
    <w:p>
      <w:pPr>
        <w:pStyle w:val="Heading1"/>
        <w:spacing w:after="120" w:before="280"/>
      </w:pPr>
      <w:r>
        <w:rPr>
          <w:color w:val="2E74B5"/>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EEAF6" w:color="auto" w:val="clear"/>
            <w:tcMar>
              <w:top w:type="dxa" w:w="60"/>
              <w:left w:type="dxa" w:w="100"/>
              <w:bottom w:type="dxa" w:w="60"/>
              <w:right w:type="dxa" w:w="100"/>
            </w:tcMar>
          </w:tcPr>
          <w:p>
            <w:r>
              <w:rPr>
                <w:b/>
                <w:bCs/>
                <w:sz w:val="18"/>
                <w:szCs w:val="18"/>
              </w:rPr>
              <w:t xml:space="preserve">Version</w:t>
            </w:r>
          </w:p>
        </w:tc>
        <w:tc>
          <w:tcPr>
            <w:tcW w:type="dxa" w:w="3120"/>
            <w:shd w:fill="DEEAF6" w:color="auto" w:val="clear"/>
            <w:tcMar>
              <w:top w:type="dxa" w:w="60"/>
              <w:left w:type="dxa" w:w="100"/>
              <w:bottom w:type="dxa" w:w="60"/>
              <w:right w:type="dxa" w:w="100"/>
            </w:tcMar>
          </w:tcPr>
          <w:p>
            <w:r>
              <w:rPr>
                <w:b/>
                <w:bCs/>
                <w:sz w:val="18"/>
                <w:szCs w:val="18"/>
              </w:rPr>
              <w:t xml:space="preserve">Date</w:t>
            </w:r>
          </w:p>
        </w:tc>
        <w:tc>
          <w:tcPr>
            <w:tcW w:type="dxa" w:w="3120"/>
            <w:shd w:fill="DEEAF6" w:color="auto" w:val="clear"/>
            <w:tcMar>
              <w:top w:type="dxa" w:w="60"/>
              <w:left w:type="dxa" w:w="100"/>
              <w:bottom w:type="dxa" w:w="60"/>
              <w:right w:type="dxa" w:w="100"/>
            </w:tcMar>
          </w:tcPr>
          <w:p>
            <w:r>
              <w:rPr>
                <w:b/>
                <w:bCs/>
                <w:sz w:val="18"/>
                <w:szCs w:val="18"/>
              </w:rPr>
              <w:t xml:space="preserve">Change</w:t>
            </w:r>
          </w:p>
        </w:tc>
      </w:tr>
      <w:tr>
        <w:trPr>
          <w:tblHeader w:val="false"/>
        </w:trPr>
        <w:tc>
          <w:tcPr>
            <w:tcW w:type="dxa" w:w="3120"/>
            <w:tcMar>
              <w:top w:type="dxa" w:w="60"/>
              <w:left w:type="dxa" w:w="100"/>
              <w:bottom w:type="dxa" w:w="60"/>
              <w:right w:type="dxa" w:w="100"/>
            </w:tcMar>
          </w:tcPr>
          <w:p>
            <w:r>
              <w:rPr>
                <w:b w:val="false"/>
                <w:bCs w:val="false"/>
                <w:sz w:val="18"/>
                <w:szCs w:val="18"/>
              </w:rPr>
              <w:t xml:space="preserve">1.0</w:t>
            </w:r>
          </w:p>
        </w:tc>
        <w:tc>
          <w:tcPr>
            <w:tcW w:type="dxa" w:w="3120"/>
            <w:tcMar>
              <w:top w:type="dxa" w:w="60"/>
              <w:left w:type="dxa" w:w="100"/>
              <w:bottom w:type="dxa" w:w="60"/>
              <w:right w:type="dxa" w:w="100"/>
            </w:tcMar>
          </w:tcPr>
          <w:p>
            <w:r>
              <w:rPr>
                <w:b w:val="false"/>
                <w:bCs w:val="false"/>
                <w:sz w:val="18"/>
                <w:szCs w:val="18"/>
              </w:rPr>
              <w:t xml:space="preserve">3 September 2026</w:t>
            </w:r>
          </w:p>
        </w:tc>
        <w:tc>
          <w:tcPr>
            <w:tcW w:type="dxa" w:w="3120"/>
            <w:tcMar>
              <w:top w:type="dxa" w:w="60"/>
              <w:left w:type="dxa" w:w="100"/>
              <w:bottom w:type="dxa" w:w="60"/>
              <w:right w:type="dxa" w:w="100"/>
            </w:tcMar>
          </w:tcPr>
          <w:p>
            <w:r>
              <w:rPr>
                <w:b w:val="false"/>
                <w:bCs w:val="false"/>
                <w:sz w:val="18"/>
                <w:szCs w:val="18"/>
              </w:rPr>
              <w:t xml:space="preserve">Initial policy, published within its stated scope: the Privacy Act 1988 (Cth) compilation of 4 June 2026 and the Privacy and Other Legislation Amendment Act 2024, with OAIC and National AI Centre guidance. Verified by direct reading of the held instruments.</w:t>
            </w:r>
          </w:p>
        </w:tc>
      </w:tr>
    </w:tbl>
    <w:p>
      <w:pPr>
        <w:spacing w:after="120"/>
      </w:pPr>
    </w:p>
    <w:p>
      <w:pPr>
        <w:spacing w:after="120"/>
      </w:pPr>
      <w:r>
        <w:rPr>
          <w:i/>
          <w:iCs/>
          <w:color w:val="666666"/>
        </w:rPr>
        <w:t xml:space="preserve">Educational template - not legal advice. Review by qualified counsel before adoption.</w:t>
      </w:r>
      <w:r>
        <w:rPr>
          <w:i/>
          <w:iCs/>
          <w:color w:val="666666"/>
        </w:rPr>
        <w:t xml:space="preserve"> </w:t>
      </w:r>
      <w:r>
        <w:rPr>
          <w:i/>
          <w:iCs/>
          <w:color w:val="666666"/>
        </w:rPr>
        <w:t xml:space="preserve">Provision identifiers are in the research note, not in this policy.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AI Acceptable Use Policy - Australia - v1.0 - Internal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b/>
      <w:bCs/>
      <w:color w:val="1F4D78"/>
      <w:sz w:val="40"/>
      <w:szCs w:val="4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2026-09-03T17:33:43.190Z</dcterms:created>
  <dcterms:modified xsi:type="dcterms:W3CDTF">2026-09-03T17:33:43.191Z</dcterms:modified>
</cp:coreProperties>
</file>

<file path=docProps/custom.xml><?xml version="1.0" encoding="utf-8"?>
<Properties xmlns="http://schemas.openxmlformats.org/officeDocument/2006/custom-properties" xmlns:vt="http://schemas.openxmlformats.org/officeDocument/2006/docPropsVTypes"/>
</file>