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Sultanate of Oman</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Annex owner:</w:t>
      </w:r>
      <w:r>
        <w:rPr>
          <w:rFonts w:ascii="Calibri" w:cs="Calibri" w:eastAsia="Calibri" w:hAnsi="Calibri"/>
          <w:color w:val="5A6472"/>
          <w:sz w:val="19"/>
          <w:szCs w:val="19"/>
        </w:rPr>
        <w:t xml:space="preserve"> [CISO / Head of AI Governance]</w:t>
      </w:r>
    </w:p>
    <w:p>
      <w:pPr>
        <w:shd w:fill="EDF2FA" w:val="clear"/>
        <w:spacing w:after="20"/>
        <w:ind w:left="60" w:right="60"/>
      </w:pPr>
      <w:r>
        <w:rPr>
          <w:rFonts w:ascii="Calibri" w:cs="Calibri" w:eastAsia="Calibri" w:hAnsi="Calibri"/>
          <w:b/>
          <w:bCs/>
          <w:color w:val="5A6472"/>
          <w:sz w:val="19"/>
          <w:szCs w:val="19"/>
        </w:rPr>
        <w:t xml:space="preserve">Personal Data Protection Officer:</w:t>
      </w:r>
      <w:r>
        <w:rPr>
          <w:rFonts w:ascii="Calibri" w:cs="Calibri" w:eastAsia="Calibri" w:hAnsi="Calibri"/>
          <w:color w:val="5A6472"/>
          <w:sz w:val="19"/>
          <w:szCs w:val="19"/>
        </w:rPr>
        <w:t xml:space="preserve"> [PDPO]</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(Oman) for large organisations. The policy governs how individuals use AI; this annex governs how the organisation manages AI as a portfolio - oversight, inventory, permits, lifecycle, transfers, suppliers, audit readiness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whose remit includes: approving this annex and the Acceptable Use Policy; approving Level 3 and Level 4 uses; approving exceptions; reviewing incidents and metrics; owning the permit position at A4, the transfer position at A6 and the audit readiness position at A8; and monitoring regulatory change from </w:t>
      </w:r>
      <w:r>
        <w:rPr>
          <w:rFonts w:ascii="Calibri" w:cs="Calibri" w:eastAsia="Calibri" w:hAnsi="Calibri"/>
          <w:b/>
          <w:bCs/>
          <w:color w:val="333A45"/>
          <w:sz w:val="21"/>
          <w:szCs w:val="21"/>
        </w:rPr>
        <w:t xml:space="preserve">both</w:t>
      </w:r>
      <w:r>
        <w:rPr>
          <w:rFonts w:ascii="Calibri" w:cs="Calibri" w:eastAsia="Calibri" w:hAnsi="Calibri"/>
          <w:color w:val="333A45"/>
          <w:sz w:val="21"/>
          <w:szCs w:val="21"/>
        </w:rPr>
        <w:t xml:space="preserve"> the ministry and [ORGANISATION]'s sector regulator. Membership includes the Personal Data Protection Officer, security, legal, risk and business representation. It meets at least quarterly.</w:t>
      </w:r>
    </w:p>
    <w:p>
      <w:pPr>
        <w:spacing w:after="110"/>
      </w:pPr>
      <w:r>
        <w:rPr>
          <w:rFonts w:ascii="Calibri" w:cs="Calibri" w:eastAsia="Calibri" w:hAnsi="Calibri"/>
          <w:color w:val="333A45"/>
          <w:sz w:val="21"/>
          <w:szCs w:val="21"/>
        </w:rPr>
        <w:t xml:space="preserve">A1.2 A named senior executive is accountable for AI governance across [ORGANISATION] and reports to the board at least [twice yearly], including the permit and transfer positions.</w:t>
      </w:r>
    </w:p>
    <w:p>
      <w:pPr>
        <w:spacing w:after="110"/>
      </w:pPr>
      <w:r>
        <w:rPr>
          <w:rFonts w:ascii="Calibri" w:cs="Calibri" w:eastAsia="Calibri" w:hAnsi="Calibri"/>
          <w:color w:val="333A45"/>
          <w:sz w:val="21"/>
          <w:szCs w:val="21"/>
        </w:rPr>
        <w:t xml:space="preserve">A1.3 </w:t>
      </w:r>
      <w:r>
        <w:rPr>
          <w:rFonts w:ascii="Calibri" w:cs="Calibri" w:eastAsia="Calibri" w:hAnsi="Calibri"/>
          <w:b/>
          <w:bCs/>
          <w:color w:val="333A45"/>
          <w:sz w:val="21"/>
          <w:szCs w:val="21"/>
        </w:rPr>
        <w:t xml:space="preserve">The Personal Data Protection Officer is a statutory designation, not a committee seat.</w:t>
      </w:r>
      <w:r>
        <w:rPr>
          <w:rFonts w:ascii="Calibri" w:cs="Calibri" w:eastAsia="Calibri" w:hAnsi="Calibri"/>
          <w:color w:val="333A45"/>
          <w:sz w:val="21"/>
          <w:szCs w:val="21"/>
        </w:rPr>
        <w:t xml:space="preserve"> Their tasks - advising on obligations, following up policy implementation and performance of obligations, and coordinating with the Competent Department - are owed whether or not the committee agrees with them. The committee does not place the officer in a position that compromises the coordination duty.</w:t>
      </w:r>
    </w:p>
    <w:p>
      <w:pPr>
        <w:spacing w:after="110"/>
      </w:pPr>
      <w:r>
        <w:rPr>
          <w:rFonts w:ascii="Calibri" w:cs="Calibri" w:eastAsia="Calibri" w:hAnsi="Calibri"/>
          <w:color w:val="333A45"/>
          <w:sz w:val="21"/>
          <w:szCs w:val="21"/>
        </w:rPr>
        <w:t xml:space="preserve">A1.4 </w:t>
      </w:r>
      <w:r>
        <w:rPr>
          <w:rFonts w:ascii="Calibri" w:cs="Calibri" w:eastAsia="Calibri" w:hAnsi="Calibri"/>
          <w:b/>
          <w:bCs/>
          <w:color w:val="333A45"/>
          <w:sz w:val="21"/>
          <w:szCs w:val="21"/>
        </w:rPr>
        <w:t xml:space="preserve">[ORGANISATION] publishes the officer's name and contact details</w:t>
      </w:r>
      <w:r>
        <w:rPr>
          <w:rFonts w:ascii="Calibri" w:cs="Calibri" w:eastAsia="Calibri" w:hAnsi="Calibri"/>
          <w:color w:val="333A45"/>
          <w:sz w:val="21"/>
          <w:szCs w:val="21"/>
        </w:rPr>
        <w:t xml:space="preserve"> and keeps them current. The annex owner verifies the publication and the notice reference at every review, because both decay quietly.</w:t>
      </w:r>
    </w:p>
    <w:p>
      <w:pPr>
        <w:spacing w:after="110"/>
      </w:pPr>
      <w:r>
        <w:rPr>
          <w:rFonts w:ascii="Calibri" w:cs="Calibri" w:eastAsia="Calibri" w:hAnsi="Calibri"/>
          <w:color w:val="333A45"/>
          <w:sz w:val="21"/>
          <w:szCs w:val="21"/>
        </w:rPr>
        <w:t xml:space="preserve">A1.5 Responsibility follows three lines: business functions own the risks of the AI they use; the Personal Data Protection Officer and risk set standards and challenge; internal audit provides independent assurance (A9).</w:t>
      </w:r>
    </w:p>
    <w:p>
      <w:pPr>
        <w:keepNext/>
        <w:pBdr>
          <w:bottom w:val="single" w:color="9DB9E8" w:sz="4" w:space="3"/>
        </w:pBdr>
        <w:spacing w:after="100" w:before="260"/>
      </w:pPr>
      <w:r>
        <w:rPr>
          <w:rFonts w:ascii="Calibri" w:cs="Calibri" w:eastAsia="Calibri" w:hAnsi="Calibri"/>
          <w:b/>
          <w:bCs/>
          <w:color w:val="2E5AAC"/>
          <w:sz w:val="26"/>
          <w:szCs w:val="26"/>
        </w:rPr>
        <w:t xml:space="preserve">A2. AI system inventory</w:t>
      </w:r>
    </w:p>
    <w:p>
      <w:pPr>
        <w:spacing w:after="110"/>
      </w:pPr>
      <w:r>
        <w:rPr>
          <w:rFonts w:ascii="Calibri" w:cs="Calibri" w:eastAsia="Calibri" w:hAnsi="Calibri"/>
          <w:color w:val="333A45"/>
          <w:sz w:val="21"/>
          <w:szCs w:val="21"/>
        </w:rPr>
        <w:t xml:space="preserve">A2.1 Every AI tool used or deployed by [ORGANISATION] is recorded before use. The record states: business owner; purpose; </w:t>
      </w:r>
      <w:r>
        <w:rPr>
          <w:rFonts w:ascii="Calibri" w:cs="Calibri" w:eastAsia="Calibri" w:hAnsi="Calibri"/>
          <w:b/>
          <w:bCs/>
          <w:color w:val="333A45"/>
          <w:sz w:val="21"/>
          <w:szCs w:val="21"/>
        </w:rPr>
        <w:t xml:space="preserve">the controller/processor role and the using/developing role</w:t>
      </w:r>
      <w:r>
        <w:rPr>
          <w:rFonts w:ascii="Calibri" w:cs="Calibri" w:eastAsia="Calibri" w:hAnsi="Calibri"/>
          <w:color w:val="333A45"/>
          <w:sz w:val="21"/>
          <w:szCs w:val="21"/>
        </w:rPr>
        <w:t xml:space="preserve">; risk level; the categories of personal data processed and </w:t>
      </w:r>
      <w:r>
        <w:rPr>
          <w:rFonts w:ascii="Calibri" w:cs="Calibri" w:eastAsia="Calibri" w:hAnsi="Calibri"/>
          <w:b/>
          <w:bCs/>
          <w:color w:val="333A45"/>
          <w:sz w:val="21"/>
          <w:szCs w:val="21"/>
        </w:rPr>
        <w:t xml:space="preserve">whether any falls in a permit category</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permit reference and expiry</w:t>
      </w:r>
      <w:r>
        <w:rPr>
          <w:rFonts w:ascii="Calibri" w:cs="Calibri" w:eastAsia="Calibri" w:hAnsi="Calibri"/>
          <w:color w:val="333A45"/>
          <w:sz w:val="21"/>
          <w:szCs w:val="21"/>
        </w:rPr>
        <w:t xml:space="preserve"> where one applies; the recorded consent basis and the notice reference; supplier, sub-processors and underlying model; </w:t>
      </w:r>
      <w:r>
        <w:rPr>
          <w:rFonts w:ascii="Calibri" w:cs="Calibri" w:eastAsia="Calibri" w:hAnsi="Calibri"/>
          <w:b/>
          <w:bCs/>
          <w:color w:val="333A45"/>
          <w:sz w:val="21"/>
          <w:szCs w:val="21"/>
        </w:rPr>
        <w:t xml:space="preserve">actual processing and storage locations for inference, human review, logging, support and backup</w:t>
      </w:r>
      <w:r>
        <w:rPr>
          <w:rFonts w:ascii="Calibri" w:cs="Calibri" w:eastAsia="Calibri" w:hAnsi="Calibri"/>
          <w:color w:val="333A45"/>
          <w:sz w:val="21"/>
          <w:szCs w:val="21"/>
        </w:rPr>
        <w:t xml:space="preserve">; the transfer assessment reference; the retention position; </w:t>
      </w:r>
      <w:r>
        <w:rPr>
          <w:rFonts w:ascii="Calibri" w:cs="Calibri" w:eastAsia="Calibri" w:hAnsi="Calibri"/>
          <w:b/>
          <w:bCs/>
          <w:color w:val="333A45"/>
          <w:sz w:val="21"/>
          <w:szCs w:val="21"/>
        </w:rPr>
        <w:t xml:space="preserve">whether the system can identify whose personal data a given exposure touched</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whether the data sources it uses can be traced</w:t>
      </w:r>
      <w:r>
        <w:rPr>
          <w:rFonts w:ascii="Calibri" w:cs="Calibri" w:eastAsia="Calibri" w:hAnsi="Calibri"/>
          <w:color w:val="333A45"/>
          <w:sz w:val="21"/>
          <w:szCs w:val="21"/>
        </w:rPr>
        <w:t xml:space="preserve">; and the next review date.</w:t>
      </w:r>
    </w:p>
    <w:p>
      <w:pPr>
        <w:spacing w:after="110"/>
      </w:pPr>
      <w:r>
        <w:rPr>
          <w:rFonts w:ascii="Calibri" w:cs="Calibri" w:eastAsia="Calibri" w:hAnsi="Calibri"/>
          <w:color w:val="333A45"/>
          <w:sz w:val="21"/>
          <w:szCs w:val="21"/>
        </w:rPr>
        <w:t xml:space="preserve">A2.2 A tool not in the inventory is treated as unapproved under policy Section 3.</w:t>
      </w:r>
    </w:p>
    <w:p>
      <w:pPr>
        <w:spacing w:after="110"/>
      </w:pPr>
      <w:r>
        <w:rPr>
          <w:rFonts w:ascii="Calibri" w:cs="Calibri" w:eastAsia="Calibri" w:hAnsi="Calibri"/>
          <w:color w:val="333A45"/>
          <w:sz w:val="21"/>
          <w:szCs w:val="21"/>
        </w:rPr>
        <w:t xml:space="preserve">A2.3 The inventory is reviewed [quarterly]. </w:t>
      </w:r>
      <w:r>
        <w:rPr>
          <w:rFonts w:ascii="Calibri" w:cs="Calibri" w:eastAsia="Calibri" w:hAnsi="Calibri"/>
          <w:b/>
          <w:bCs/>
          <w:color w:val="333A45"/>
          <w:sz w:val="21"/>
          <w:szCs w:val="21"/>
        </w:rPr>
        <w:t xml:space="preserve">The following reopen the record immediately</w:t>
      </w:r>
      <w:r>
        <w:rPr>
          <w:rFonts w:ascii="Calibri" w:cs="Calibri" w:eastAsia="Calibri" w:hAnsi="Calibri"/>
          <w:color w:val="333A45"/>
          <w:sz w:val="21"/>
          <w:szCs w:val="21"/>
        </w:rPr>
        <w:t xml:space="preserve"> rather than at the next review: a change of supplier or sub-processor; a change of model; a change of processing or storage location; a change of purpose; a new category of personal data; and [ORGANISATION] beginning to fine-tune or adapt the system.</w:t>
      </w:r>
    </w:p>
    <w:p>
      <w:pPr>
        <w:spacing w:after="110"/>
      </w:pPr>
      <w:r>
        <w:rPr>
          <w:rFonts w:ascii="Calibri" w:cs="Calibri" w:eastAsia="Calibri" w:hAnsi="Calibri"/>
          <w:color w:val="333A45"/>
          <w:sz w:val="21"/>
          <w:szCs w:val="21"/>
        </w:rPr>
        <w:t xml:space="preserve">A2.4 </w:t>
      </w:r>
      <w:r>
        <w:rPr>
          <w:rFonts w:ascii="Calibri" w:cs="Calibri" w:eastAsia="Calibri" w:hAnsi="Calibri"/>
          <w:b/>
          <w:bCs/>
          <w:color w:val="333A45"/>
          <w:sz w:val="21"/>
          <w:szCs w:val="21"/>
        </w:rPr>
        <w:t xml:space="preserve">The inventory is the source of the register entry</w:t>
      </w:r>
      <w:r>
        <w:rPr>
          <w:rFonts w:ascii="Calibri" w:cs="Calibri" w:eastAsia="Calibri" w:hAnsi="Calibri"/>
          <w:color w:val="333A45"/>
          <w:sz w:val="21"/>
          <w:szCs w:val="21"/>
        </w:rPr>
        <w:t xml:space="preserve">, not a parallel document. A3 governs the relationship.</w:t>
      </w:r>
    </w:p>
    <w:p>
      <w:pPr>
        <w:keepNext/>
        <w:pBdr>
          <w:bottom w:val="single" w:color="9DB9E8" w:sz="4" w:space="3"/>
        </w:pBdr>
        <w:spacing w:after="100" w:before="260"/>
      </w:pPr>
      <w:r>
        <w:rPr>
          <w:rFonts w:ascii="Calibri" w:cs="Calibri" w:eastAsia="Calibri" w:hAnsi="Calibri"/>
          <w:b/>
          <w:bCs/>
          <w:color w:val="2E5AAC"/>
          <w:sz w:val="26"/>
          <w:szCs w:val="26"/>
        </w:rPr>
        <w:t xml:space="preserve">A3. The processing activities register</w:t>
      </w:r>
    </w:p>
    <w:p>
      <w:pPr>
        <w:spacing w:after="110"/>
      </w:pPr>
      <w:r>
        <w:rPr>
          <w:rFonts w:ascii="Calibri" w:cs="Calibri" w:eastAsia="Calibri" w:hAnsi="Calibri"/>
          <w:color w:val="333A45"/>
          <w:sz w:val="21"/>
          <w:szCs w:val="21"/>
        </w:rPr>
        <w:t xml:space="preserve">A3.1 [ORGANISATION] maintains the statutory register of personal data processing activities with the ten minimum fields at policy 14.1, and </w:t>
      </w:r>
      <w:r>
        <w:rPr>
          <w:rFonts w:ascii="Calibri" w:cs="Calibri" w:eastAsia="Calibri" w:hAnsi="Calibri"/>
          <w:b/>
          <w:bCs/>
          <w:color w:val="333A45"/>
          <w:sz w:val="21"/>
          <w:szCs w:val="21"/>
        </w:rPr>
        <w:t xml:space="preserve">every AI system processing personal data has an entry</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A3.2 The register is </w:t>
      </w:r>
      <w:r>
        <w:rPr>
          <w:rFonts w:ascii="Calibri" w:cs="Calibri" w:eastAsia="Calibri" w:hAnsi="Calibri"/>
          <w:b/>
          <w:bCs/>
          <w:color w:val="333A45"/>
          <w:sz w:val="21"/>
          <w:szCs w:val="21"/>
        </w:rPr>
        <w:t xml:space="preserve">updated continuously</w:t>
      </w:r>
      <w:r>
        <w:rPr>
          <w:rFonts w:ascii="Calibri" w:cs="Calibri" w:eastAsia="Calibri" w:hAnsi="Calibri"/>
          <w:color w:val="333A45"/>
          <w:sz w:val="21"/>
          <w:szCs w:val="21"/>
        </w:rPr>
        <w:t xml:space="preserve"> and is provided to the Competent Department whenever requested. The committee treats "we would need a week to compile it" as a finding, since the obligation is to provide it on request.</w:t>
      </w:r>
    </w:p>
    <w:p>
      <w:pPr>
        <w:spacing w:after="110"/>
      </w:pPr>
      <w:r>
        <w:rPr>
          <w:rFonts w:ascii="Calibri" w:cs="Calibri" w:eastAsia="Calibri" w:hAnsi="Calibri"/>
          <w:color w:val="333A45"/>
          <w:sz w:val="21"/>
          <w:szCs w:val="21"/>
        </w:rPr>
        <w:t xml:space="preserve">A3.3 Two register fields are the ones AI systems populate badly, and the committee tests them specifically:</w:t>
      </w:r>
    </w:p>
    <w:p>
      <w:pPr>
        <w:pStyle w:val="ListParagraph"/>
        <w:numPr>
          <w:ilvl w:val="0"/>
          <w:numId w:val="2"/>
        </w:numPr>
        <w:spacing w:after="70"/>
      </w:pPr>
      <w:r>
        <w:rPr>
          <w:rFonts w:ascii="Calibri" w:cs="Calibri" w:eastAsia="Calibri" w:hAnsi="Calibri"/>
          <w:b/>
          <w:bCs/>
          <w:color w:val="333A45"/>
          <w:sz w:val="21"/>
          <w:szCs w:val="21"/>
        </w:rPr>
        <w:t xml:space="preserve">the entities to which personal data is disclosed, and the purposes of disclosure</w:t>
      </w:r>
      <w:r>
        <w:rPr>
          <w:rFonts w:ascii="Calibri" w:cs="Calibri" w:eastAsia="Calibri" w:hAnsi="Calibri"/>
          <w:color w:val="333A45"/>
          <w:sz w:val="21"/>
          <w:szCs w:val="21"/>
        </w:rPr>
        <w:t xml:space="preserve"> - an AI supplier is such an entity, and so is its sub-processor;</w:t>
      </w:r>
    </w:p>
    <w:p>
      <w:pPr>
        <w:pStyle w:val="ListParagraph"/>
        <w:numPr>
          <w:ilvl w:val="0"/>
          <w:numId w:val="2"/>
        </w:numPr>
        <w:spacing w:after="70"/>
      </w:pPr>
      <w:r>
        <w:rPr>
          <w:rFonts w:ascii="Calibri" w:cs="Calibri" w:eastAsia="Calibri" w:hAnsi="Calibri"/>
          <w:b/>
          <w:bCs/>
          <w:color w:val="333A45"/>
          <w:sz w:val="21"/>
          <w:szCs w:val="21"/>
        </w:rPr>
        <w:t xml:space="preserve">data relating to the movement and processing of personal data across borders</w:t>
      </w:r>
      <w:r>
        <w:rPr>
          <w:rFonts w:ascii="Calibri" w:cs="Calibri" w:eastAsia="Calibri" w:hAnsi="Calibri"/>
          <w:color w:val="333A45"/>
          <w:sz w:val="21"/>
          <w:szCs w:val="21"/>
        </w:rPr>
        <w:t xml:space="preserve"> - this must reconcile to the locations recorded at A2.1, and a mismatch is escalated.</w:t>
      </w:r>
    </w:p>
    <w:p>
      <w:pPr>
        <w:spacing w:after="110"/>
      </w:pPr>
      <w:r>
        <w:rPr>
          <w:rFonts w:ascii="Calibri" w:cs="Calibri" w:eastAsia="Calibri" w:hAnsi="Calibri"/>
          <w:color w:val="333A45"/>
          <w:sz w:val="21"/>
          <w:szCs w:val="21"/>
        </w:rPr>
        <w:t xml:space="preserve">A3.4 The register also carries </w:t>
      </w:r>
      <w:r>
        <w:rPr>
          <w:rFonts w:ascii="Calibri" w:cs="Calibri" w:eastAsia="Calibri" w:hAnsi="Calibri"/>
          <w:b/>
          <w:bCs/>
          <w:color w:val="333A45"/>
          <w:sz w:val="21"/>
          <w:szCs w:val="21"/>
        </w:rPr>
        <w:t xml:space="preserve">breach records</w:t>
      </w:r>
      <w:r>
        <w:rPr>
          <w:rFonts w:ascii="Calibri" w:cs="Calibri" w:eastAsia="Calibri" w:hAnsi="Calibri"/>
          <w:color w:val="333A45"/>
          <w:sz w:val="21"/>
          <w:szCs w:val="21"/>
        </w:rPr>
        <w:t xml:space="preserve">, including the surrounding circumstances, effects, and remedial or corrective action - so the incident process writes into the register rather than into a separate log (A7.6).</w:t>
      </w:r>
    </w:p>
    <w:p>
      <w:pPr>
        <w:spacing w:after="110"/>
      </w:pPr>
      <w:r>
        <w:rPr>
          <w:rFonts w:ascii="Calibri" w:cs="Calibri" w:eastAsia="Calibri" w:hAnsi="Calibri"/>
          <w:color w:val="333A45"/>
          <w:sz w:val="21"/>
          <w:szCs w:val="21"/>
        </w:rPr>
        <w:t xml:space="preserve">A3.5 Retention of processing documents is governed by a specific and lawful reason, a period proportionate to the purpose, and technical protection for secure retention. </w:t>
      </w:r>
      <w:r>
        <w:rPr>
          <w:rFonts w:ascii="Calibri" w:cs="Calibri" w:eastAsia="Calibri" w:hAnsi="Calibri"/>
          <w:b/>
          <w:bCs/>
          <w:color w:val="333A45"/>
          <w:sz w:val="21"/>
          <w:szCs w:val="21"/>
        </w:rPr>
        <w:t xml:space="preserve">The committee records the reason and the period per system</w:t>
      </w:r>
      <w:r>
        <w:rPr>
          <w:rFonts w:ascii="Calibri" w:cs="Calibri" w:eastAsia="Calibri" w:hAnsi="Calibri"/>
          <w:color w:val="333A45"/>
          <w:sz w:val="21"/>
          <w:szCs w:val="21"/>
        </w:rPr>
        <w:t xml:space="preserve">, not per organisation.</w:t>
      </w:r>
    </w:p>
    <w:p>
      <w:pPr>
        <w:keepNext/>
        <w:pBdr>
          <w:bottom w:val="single" w:color="9DB9E8" w:sz="4" w:space="3"/>
        </w:pBdr>
        <w:spacing w:after="100" w:before="260"/>
      </w:pPr>
      <w:r>
        <w:rPr>
          <w:rFonts w:ascii="Calibri" w:cs="Calibri" w:eastAsia="Calibri" w:hAnsi="Calibri"/>
          <w:b/>
          <w:bCs/>
          <w:color w:val="2E5AAC"/>
          <w:sz w:val="26"/>
          <w:szCs w:val="26"/>
        </w:rPr>
        <w:t xml:space="preserve">A4. Permits</w:t>
      </w:r>
    </w:p>
    <w:p>
      <w:pPr>
        <w:spacing w:after="110"/>
      </w:pPr>
      <w:r>
        <w:rPr>
          <w:rFonts w:ascii="Calibri" w:cs="Calibri" w:eastAsia="Calibri" w:hAnsi="Calibri"/>
          <w:b/>
          <w:bCs/>
          <w:color w:val="333A45"/>
          <w:sz w:val="21"/>
          <w:szCs w:val="21"/>
        </w:rPr>
        <w:t xml:space="preserve">This section exists because a permit is a precondition to processing, takes up to 45 days, and is silently refused if the ministry does not reply.</w:t>
      </w:r>
    </w:p>
    <w:p>
      <w:pPr>
        <w:spacing w:after="110"/>
      </w:pPr>
      <w:r>
        <w:rPr>
          <w:rFonts w:ascii="Calibri" w:cs="Calibri" w:eastAsia="Calibri" w:hAnsi="Calibri"/>
          <w:color w:val="333A45"/>
          <w:sz w:val="21"/>
          <w:szCs w:val="21"/>
        </w:rPr>
        <w:t xml:space="preserve">A4.1 [ORGANISATION] maintains a Permit Register recording, for each permit: the reference and issue date; </w:t>
      </w:r>
      <w:r>
        <w:rPr>
          <w:rFonts w:ascii="Calibri" w:cs="Calibri" w:eastAsia="Calibri" w:hAnsi="Calibri"/>
          <w:b/>
          <w:bCs/>
          <w:color w:val="333A45"/>
          <w:sz w:val="21"/>
          <w:szCs w:val="21"/>
        </w:rPr>
        <w:t xml:space="preserve">the expiry date</w:t>
      </w:r>
      <w:r>
        <w:rPr>
          <w:rFonts w:ascii="Calibri" w:cs="Calibri" w:eastAsia="Calibri" w:hAnsi="Calibri"/>
          <w:color w:val="333A45"/>
          <w:sz w:val="21"/>
          <w:szCs w:val="21"/>
        </w:rPr>
        <w:t xml:space="preserve">; the categories covered; the purpose; the processor named; the recipients of disclosure named; </w:t>
      </w:r>
      <w:r>
        <w:rPr>
          <w:rFonts w:ascii="Calibri" w:cs="Calibri" w:eastAsia="Calibri" w:hAnsi="Calibri"/>
          <w:b/>
          <w:bCs/>
          <w:color w:val="333A45"/>
          <w:sz w:val="21"/>
          <w:szCs w:val="21"/>
        </w:rPr>
        <w:t xml:space="preserve">the places of transfer or storage named</w:t>
      </w:r>
      <w:r>
        <w:rPr>
          <w:rFonts w:ascii="Calibri" w:cs="Calibri" w:eastAsia="Calibri" w:hAnsi="Calibri"/>
          <w:color w:val="333A45"/>
          <w:sz w:val="21"/>
          <w:szCs w:val="21"/>
        </w:rPr>
        <w:t xml:space="preserve">; the protection systems named; and the systems in the AI inventory that rely on it.</w:t>
      </w:r>
    </w:p>
    <w:p>
      <w:pPr>
        <w:spacing w:after="110"/>
      </w:pPr>
      <w:r>
        <w:rPr>
          <w:rFonts w:ascii="Calibri" w:cs="Calibri" w:eastAsia="Calibri" w:hAnsi="Calibri"/>
          <w:color w:val="333A45"/>
          <w:sz w:val="21"/>
          <w:szCs w:val="21"/>
        </w:rPr>
        <w:t xml:space="preserve">A4.2 </w:t>
      </w:r>
      <w:r>
        <w:rPr>
          <w:rFonts w:ascii="Calibri" w:cs="Calibri" w:eastAsia="Calibri" w:hAnsi="Calibri"/>
          <w:b/>
          <w:bCs/>
          <w:color w:val="333A45"/>
          <w:sz w:val="21"/>
          <w:szCs w:val="21"/>
        </w:rPr>
        <w:t xml:space="preserve">A permit application is a project with a lead time.</w:t>
      </w:r>
      <w:r>
        <w:rPr>
          <w:rFonts w:ascii="Calibri" w:cs="Calibri" w:eastAsia="Calibri" w:hAnsi="Calibri"/>
          <w:color w:val="333A45"/>
          <w:sz w:val="21"/>
          <w:szCs w:val="21"/>
        </w:rPr>
        <w:t xml:space="preserve"> The committee plans against 45 days for a decision, plus the possibility of a reasoned refusal, plus 60 days to grieve and 30 days for the grievance to be answered or deemed refused. </w:t>
      </w:r>
      <w:r>
        <w:rPr>
          <w:rFonts w:ascii="Calibri" w:cs="Calibri" w:eastAsia="Calibri" w:hAnsi="Calibri"/>
          <w:b/>
          <w:bCs/>
          <w:color w:val="333A45"/>
          <w:sz w:val="21"/>
          <w:szCs w:val="21"/>
        </w:rPr>
        <w:t xml:space="preserve">The worst case is materially longer than a quarter</w:t>
      </w:r>
      <w:r>
        <w:rPr>
          <w:rFonts w:ascii="Calibri" w:cs="Calibri" w:eastAsia="Calibri" w:hAnsi="Calibri"/>
          <w:color w:val="333A45"/>
          <w:sz w:val="21"/>
          <w:szCs w:val="21"/>
        </w:rPr>
        <w:t xml:space="preserve">, and no deployment date is set on the assumption of a grant.</w:t>
      </w:r>
    </w:p>
    <w:p>
      <w:pPr>
        <w:spacing w:after="110"/>
      </w:pPr>
      <w:r>
        <w:rPr>
          <w:rFonts w:ascii="Calibri" w:cs="Calibri" w:eastAsia="Calibri" w:hAnsi="Calibri"/>
          <w:color w:val="333A45"/>
          <w:sz w:val="21"/>
          <w:szCs w:val="21"/>
        </w:rPr>
        <w:t xml:space="preserve">A4.3 </w:t>
      </w:r>
      <w:r>
        <w:rPr>
          <w:rFonts w:ascii="Calibri" w:cs="Calibri" w:eastAsia="Calibri" w:hAnsi="Calibri"/>
          <w:b/>
          <w:bCs/>
          <w:color w:val="333A45"/>
          <w:sz w:val="21"/>
          <w:szCs w:val="21"/>
        </w:rPr>
        <w:t xml:space="preserve">Renewal begins no later than six months before expiry.</w:t>
      </w:r>
      <w:r>
        <w:rPr>
          <w:rFonts w:ascii="Calibri" w:cs="Calibri" w:eastAsia="Calibri" w:hAnsi="Calibri"/>
          <w:color w:val="333A45"/>
          <w:sz w:val="21"/>
          <w:szCs w:val="21"/>
        </w:rPr>
        <w:t xml:space="preserve"> A lapsed permit stops the processing, and the renewal follows the same procedure and the same timetable as a fresh application.</w:t>
      </w:r>
    </w:p>
    <w:p>
      <w:pPr>
        <w:spacing w:after="110"/>
      </w:pPr>
      <w:r>
        <w:rPr>
          <w:rFonts w:ascii="Calibri" w:cs="Calibri" w:eastAsia="Calibri" w:hAnsi="Calibri"/>
          <w:color w:val="333A45"/>
          <w:sz w:val="21"/>
          <w:szCs w:val="21"/>
        </w:rPr>
        <w:t xml:space="preserve">A4.4 </w:t>
      </w:r>
      <w:r>
        <w:rPr>
          <w:rFonts w:ascii="Calibri" w:cs="Calibri" w:eastAsia="Calibri" w:hAnsi="Calibri"/>
          <w:b/>
          <w:bCs/>
          <w:color w:val="333A45"/>
          <w:sz w:val="21"/>
          <w:szCs w:val="21"/>
        </w:rPr>
        <w:t xml:space="preserve">The permit describes the tooling, so tooling changes amend the permit.</w:t>
      </w:r>
      <w:r>
        <w:rPr>
          <w:rFonts w:ascii="Calibri" w:cs="Calibri" w:eastAsia="Calibri" w:hAnsi="Calibri"/>
          <w:color w:val="333A45"/>
          <w:sz w:val="21"/>
          <w:szCs w:val="21"/>
        </w:rPr>
        <w:t xml:space="preserve"> Any change to the named processor, the named recipients of disclosure, the named places of transfer or storage, or the protection systems must be notified to the Competent Department </w:t>
      </w:r>
      <w:r>
        <w:rPr>
          <w:rFonts w:ascii="Calibri" w:cs="Calibri" w:eastAsia="Calibri" w:hAnsi="Calibri"/>
          <w:b/>
          <w:bCs/>
          <w:color w:val="333A45"/>
          <w:sz w:val="21"/>
          <w:szCs w:val="21"/>
        </w:rPr>
        <w:t xml:space="preserve">within 15 days of making it</w:t>
      </w:r>
      <w:r>
        <w:rPr>
          <w:rFonts w:ascii="Calibri" w:cs="Calibri" w:eastAsia="Calibri" w:hAnsi="Calibri"/>
          <w:color w:val="333A45"/>
          <w:sz w:val="21"/>
          <w:szCs w:val="21"/>
        </w:rPr>
        <w:t xml:space="preserve">. A2.3 events are therefore screened against the Permit Register as well as the inventory, and the committee tracks the interval.</w:t>
      </w:r>
    </w:p>
    <w:p>
      <w:pPr>
        <w:spacing w:after="110"/>
      </w:pPr>
      <w:r>
        <w:rPr>
          <w:rFonts w:ascii="Calibri" w:cs="Calibri" w:eastAsia="Calibri" w:hAnsi="Calibri"/>
          <w:color w:val="333A45"/>
          <w:sz w:val="21"/>
          <w:szCs w:val="21"/>
        </w:rPr>
        <w:t xml:space="preserve">A4.5 </w:t>
      </w:r>
      <w:r>
        <w:rPr>
          <w:rFonts w:ascii="Calibri" w:cs="Calibri" w:eastAsia="Calibri" w:hAnsi="Calibri"/>
          <w:b/>
          <w:bCs/>
          <w:color w:val="333A45"/>
          <w:sz w:val="21"/>
          <w:szCs w:val="21"/>
        </w:rPr>
        <w:t xml:space="preserve">Failure to notify amendments within the period is a ground for cancelling the permit.</w:t>
      </w:r>
      <w:r>
        <w:rPr>
          <w:rFonts w:ascii="Calibri" w:cs="Calibri" w:eastAsia="Calibri" w:hAnsi="Calibri"/>
          <w:color w:val="333A45"/>
          <w:sz w:val="21"/>
          <w:szCs w:val="21"/>
        </w:rPr>
        <w:t xml:space="preserve"> So is a contravention of the law or regulations, and so is obtaining the permit by incorrect data. The committee treats an unreported change as a permit risk, not an administrative slip.</w:t>
      </w:r>
    </w:p>
    <w:p>
      <w:pPr>
        <w:spacing w:after="110"/>
      </w:pPr>
      <w:r>
        <w:rPr>
          <w:rFonts w:ascii="Calibri" w:cs="Calibri" w:eastAsia="Calibri" w:hAnsi="Calibri"/>
          <w:color w:val="333A45"/>
          <w:sz w:val="21"/>
          <w:szCs w:val="21"/>
        </w:rPr>
        <w:t xml:space="preserve">A4.6 Where the permit position is uncertain - whether a data category falls inside 11.1, whether an existing permit covers a new tool - the Personal Data Protection Officer determines it in writing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processing, and the determination is recorded.</w:t>
      </w:r>
    </w:p>
    <w:p>
      <w:pPr>
        <w:keepNext/>
        <w:pBdr>
          <w:bottom w:val="single" w:color="9DB9E8" w:sz="4" w:space="3"/>
        </w:pBdr>
        <w:spacing w:after="100" w:before="260"/>
      </w:pPr>
      <w:r>
        <w:rPr>
          <w:rFonts w:ascii="Calibri" w:cs="Calibri" w:eastAsia="Calibri" w:hAnsi="Calibri"/>
          <w:b/>
          <w:bCs/>
          <w:color w:val="2E5AAC"/>
          <w:sz w:val="26"/>
          <w:szCs w:val="26"/>
        </w:rPr>
        <w:t xml:space="preserve">A5. Lifecycle controls</w:t>
      </w:r>
    </w:p>
    <w:p>
      <w:pPr>
        <w:spacing w:after="110"/>
      </w:pPr>
      <w:r>
        <w:rPr>
          <w:rFonts w:ascii="Calibri" w:cs="Calibri" w:eastAsia="Calibri" w:hAnsi="Calibri"/>
          <w:color w:val="333A45"/>
          <w:sz w:val="21"/>
          <w:szCs w:val="21"/>
        </w:rPr>
        <w:t xml:space="preserve">A5.1 </w:t>
      </w:r>
      <w:r>
        <w:rPr>
          <w:rFonts w:ascii="Calibri" w:cs="Calibri" w:eastAsia="Calibri" w:hAnsi="Calibri"/>
          <w:b/>
          <w:bCs/>
          <w:color w:val="333A45"/>
          <w:sz w:val="21"/>
          <w:szCs w:val="21"/>
        </w:rPr>
        <w:t xml:space="preserve">Before deployment</w:t>
      </w:r>
      <w:r>
        <w:rPr>
          <w:rFonts w:ascii="Calibri" w:cs="Calibri" w:eastAsia="Calibri" w:hAnsi="Calibri"/>
          <w:color w:val="333A45"/>
          <w:sz w:val="21"/>
          <w:szCs w:val="21"/>
        </w:rPr>
        <w:t xml:space="preserve">: the role determinations; the objective evaluation against alternatives required by policy 6.2, recorded; the notice and consent position; the permit where required; the transfer assessment where data leaves Oman; the ethical, social and environmental impact assessment where [ORGANISATION] develops or adapts the system; bias and fairness testing; and sign-off by the business owner and the Personal Data Protection Officer.</w:t>
      </w:r>
    </w:p>
    <w:p>
      <w:pPr>
        <w:spacing w:after="110"/>
      </w:pPr>
      <w:r>
        <w:rPr>
          <w:rFonts w:ascii="Calibri" w:cs="Calibri" w:eastAsia="Calibri" w:hAnsi="Calibri"/>
          <w:color w:val="333A45"/>
          <w:sz w:val="21"/>
          <w:szCs w:val="21"/>
        </w:rPr>
        <w:t xml:space="preserve">A5.2 </w:t>
      </w:r>
      <w:r>
        <w:rPr>
          <w:rFonts w:ascii="Calibri" w:cs="Calibri" w:eastAsia="Calibri" w:hAnsi="Calibri"/>
          <w:b/>
          <w:bCs/>
          <w:color w:val="333A45"/>
          <w:sz w:val="21"/>
          <w:szCs w:val="21"/>
        </w:rPr>
        <w:t xml:space="preserve">The evaluation against alternatives is a distinct artefact.</w:t>
      </w:r>
      <w:r>
        <w:rPr>
          <w:rFonts w:ascii="Calibri" w:cs="Calibri" w:eastAsia="Calibri" w:hAnsi="Calibri"/>
          <w:color w:val="333A45"/>
          <w:sz w:val="21"/>
          <w:szCs w:val="21"/>
        </w:rPr>
        <w:t xml:space="preserve"> The national policy requires the system to show practical feasibility and benefit </w:t>
      </w:r>
      <w:r>
        <w:rPr>
          <w:rFonts w:ascii="Calibri" w:cs="Calibri" w:eastAsia="Calibri" w:hAnsi="Calibri"/>
          <w:i/>
          <w:iCs/>
          <w:color w:val="333A45"/>
          <w:sz w:val="21"/>
          <w:szCs w:val="21"/>
        </w:rPr>
        <w:t xml:space="preserve">compared with available alternatives</w:t>
      </w:r>
      <w:r>
        <w:rPr>
          <w:rFonts w:ascii="Calibri" w:cs="Calibri" w:eastAsia="Calibri" w:hAnsi="Calibri"/>
          <w:color w:val="333A45"/>
          <w:sz w:val="21"/>
          <w:szCs w:val="21"/>
        </w:rPr>
        <w:t xml:space="preserve">, evaluated objectively before adoption. A business case that never names a lower-risk alternative does not satisfy it, and the committee returns it.</w:t>
      </w:r>
    </w:p>
    <w:p>
      <w:pPr>
        <w:spacing w:after="110"/>
      </w:pPr>
      <w:r>
        <w:rPr>
          <w:rFonts w:ascii="Calibri" w:cs="Calibri" w:eastAsia="Calibri" w:hAnsi="Calibri"/>
          <w:color w:val="333A45"/>
          <w:sz w:val="21"/>
          <w:szCs w:val="21"/>
        </w:rPr>
        <w:t xml:space="preserve">A5.3 </w:t>
      </w:r>
      <w:r>
        <w:rPr>
          <w:rFonts w:ascii="Calibri" w:cs="Calibri" w:eastAsia="Calibri" w:hAnsi="Calibri"/>
          <w:b/>
          <w:bCs/>
          <w:color w:val="333A45"/>
          <w:sz w:val="21"/>
          <w:szCs w:val="21"/>
        </w:rPr>
        <w:t xml:space="preserve">In change</w:t>
      </w:r>
      <w:r>
        <w:rPr>
          <w:rFonts w:ascii="Calibri" w:cs="Calibri" w:eastAsia="Calibri" w:hAnsi="Calibri"/>
          <w:color w:val="333A45"/>
          <w:sz w:val="21"/>
          <w:szCs w:val="21"/>
        </w:rPr>
        <w:t xml:space="preserve">: modifications with a material effect on behaviour go through change management and re-testing, and reopen the notice at policy 10.4, the register entry, the permit fields at A4.4, and the transfer assessment where locations move.</w:t>
      </w:r>
    </w:p>
    <w:p>
      <w:pPr>
        <w:spacing w:after="110"/>
      </w:pPr>
      <w:r>
        <w:rPr>
          <w:rFonts w:ascii="Calibri" w:cs="Calibri" w:eastAsia="Calibri" w:hAnsi="Calibri"/>
          <w:color w:val="333A45"/>
          <w:sz w:val="21"/>
          <w:szCs w:val="21"/>
        </w:rPr>
        <w:t xml:space="preserve">A5.4 </w:t>
      </w:r>
      <w:r>
        <w:rPr>
          <w:rFonts w:ascii="Calibri" w:cs="Calibri" w:eastAsia="Calibri" w:hAnsi="Calibri"/>
          <w:b/>
          <w:bCs/>
          <w:color w:val="333A45"/>
          <w:sz w:val="21"/>
          <w:szCs w:val="21"/>
        </w:rPr>
        <w:t xml:space="preserve">In operation</w:t>
      </w:r>
      <w:r>
        <w:rPr>
          <w:rFonts w:ascii="Calibri" w:cs="Calibri" w:eastAsia="Calibri" w:hAnsi="Calibri"/>
          <w:color w:val="333A45"/>
          <w:sz w:val="21"/>
          <w:szCs w:val="21"/>
        </w:rPr>
        <w:t xml:space="preserve">: continuous performance monitoring, with errors, deviations and negative effects </w:t>
      </w:r>
      <w:r>
        <w:rPr>
          <w:rFonts w:ascii="Calibri" w:cs="Calibri" w:eastAsia="Calibri" w:hAnsi="Calibri"/>
          <w:b/>
          <w:bCs/>
          <w:color w:val="333A45"/>
          <w:sz w:val="21"/>
          <w:szCs w:val="21"/>
        </w:rPr>
        <w:t xml:space="preserve">documented immediately on detection</w:t>
      </w:r>
      <w:r>
        <w:rPr>
          <w:rFonts w:ascii="Calibri" w:cs="Calibri" w:eastAsia="Calibri" w:hAnsi="Calibri"/>
          <w:color w:val="333A45"/>
          <w:sz w:val="21"/>
          <w:szCs w:val="21"/>
        </w:rPr>
        <w:t xml:space="preserve"> and corrective measures taken. The committee reviews the interval between detection and documentation as a metric (A10.1), because "immediately" is the standard.</w:t>
      </w:r>
    </w:p>
    <w:p>
      <w:pPr>
        <w:spacing w:after="110"/>
      </w:pPr>
      <w:r>
        <w:rPr>
          <w:rFonts w:ascii="Calibri" w:cs="Calibri" w:eastAsia="Calibri" w:hAnsi="Calibri"/>
          <w:color w:val="333A45"/>
          <w:sz w:val="21"/>
          <w:szCs w:val="21"/>
        </w:rPr>
        <w:t xml:space="preserve">A5.5 </w:t>
      </w:r>
      <w:r>
        <w:rPr>
          <w:rFonts w:ascii="Calibri" w:cs="Calibri" w:eastAsia="Calibri" w:hAnsi="Calibri"/>
          <w:b/>
          <w:bCs/>
          <w:color w:val="333A45"/>
          <w:sz w:val="21"/>
          <w:szCs w:val="21"/>
        </w:rPr>
        <w:t xml:space="preserve">Regular review and updating</w:t>
      </w:r>
      <w:r>
        <w:rPr>
          <w:rFonts w:ascii="Calibri" w:cs="Calibri" w:eastAsia="Calibri" w:hAnsi="Calibri"/>
          <w:color w:val="333A45"/>
          <w:sz w:val="21"/>
          <w:szCs w:val="21"/>
        </w:rPr>
        <w:t xml:space="preserve"> of systems to keep pace with technical developments and international standards, and </w:t>
      </w:r>
      <w:r>
        <w:rPr>
          <w:rFonts w:ascii="Calibri" w:cs="Calibri" w:eastAsia="Calibri" w:hAnsi="Calibri"/>
          <w:b/>
          <w:bCs/>
          <w:color w:val="333A45"/>
          <w:sz w:val="21"/>
          <w:szCs w:val="21"/>
        </w:rPr>
        <w:t xml:space="preserve">periodic evaluations verifying accuracy, including independent technical reviews</w:t>
      </w:r>
      <w:r>
        <w:rPr>
          <w:rFonts w:ascii="Calibri" w:cs="Calibri" w:eastAsia="Calibri" w:hAnsi="Calibri"/>
          <w:color w:val="333A45"/>
          <w:sz w:val="21"/>
          <w:szCs w:val="21"/>
        </w:rPr>
        <w:t xml:space="preserve">. The review interval is recorded per system.</w:t>
      </w:r>
    </w:p>
    <w:p>
      <w:pPr>
        <w:spacing w:after="110"/>
      </w:pPr>
      <w:r>
        <w:rPr>
          <w:rFonts w:ascii="Calibri" w:cs="Calibri" w:eastAsia="Calibri" w:hAnsi="Calibri"/>
          <w:color w:val="333A45"/>
          <w:sz w:val="21"/>
          <w:szCs w:val="21"/>
        </w:rPr>
        <w:t xml:space="preserve">A5.6 </w:t>
      </w:r>
      <w:r>
        <w:rPr>
          <w:rFonts w:ascii="Calibri" w:cs="Calibri" w:eastAsia="Calibri" w:hAnsi="Calibri"/>
          <w:b/>
          <w:bCs/>
          <w:color w:val="333A45"/>
          <w:sz w:val="21"/>
          <w:szCs w:val="21"/>
        </w:rPr>
        <w:t xml:space="preserve">At retirement</w:t>
      </w:r>
      <w:r>
        <w:rPr>
          <w:rFonts w:ascii="Calibri" w:cs="Calibri" w:eastAsia="Calibri" w:hAnsi="Calibri"/>
          <w:color w:val="333A45"/>
          <w:sz w:val="21"/>
          <w:szCs w:val="21"/>
        </w:rPr>
        <w:t xml:space="preserve">: disposal across every store in the inventory record; closure of the register entry with the retention position honoured; notification of permit amendment where the permit named the system; and retention of the compliance records under policy 20.3.</w:t>
      </w:r>
    </w:p>
    <w:p>
      <w:pPr>
        <w:spacing w:after="110"/>
      </w:pPr>
      <w:r>
        <w:rPr>
          <w:rFonts w:ascii="Calibri" w:cs="Calibri" w:eastAsia="Calibri" w:hAnsi="Calibri"/>
          <w:color w:val="333A45"/>
          <w:sz w:val="21"/>
          <w:szCs w:val="21"/>
        </w:rPr>
        <w:t xml:space="preserve">A5.7 </w:t>
      </w:r>
      <w:r>
        <w:rPr>
          <w:rFonts w:ascii="Calibri" w:cs="Calibri" w:eastAsia="Calibri" w:hAnsi="Calibri"/>
          <w:b/>
          <w:bCs/>
          <w:color w:val="333A45"/>
          <w:sz w:val="21"/>
          <w:szCs w:val="21"/>
        </w:rPr>
        <w:t xml:space="preserve">A model fine-tuned on personal data may retain it.</w:t>
      </w:r>
      <w:r>
        <w:rPr>
          <w:rFonts w:ascii="Calibri" w:cs="Calibri" w:eastAsia="Calibri" w:hAnsi="Calibri"/>
          <w:color w:val="333A45"/>
          <w:sz w:val="21"/>
          <w:szCs w:val="21"/>
        </w:rPr>
        <w:t xml:space="preserve"> Before any such model is deployed, [ORGANISATION] records how erasure, correction and withdrawal of consent would be given effect against it, and where that is not possible, does not fine-tune on that data.</w:t>
      </w:r>
    </w:p>
    <w:p>
      <w:pPr>
        <w:keepNext/>
        <w:pBdr>
          <w:bottom w:val="single" w:color="9DB9E8" w:sz="4" w:space="3"/>
        </w:pBdr>
        <w:spacing w:after="100" w:before="260"/>
      </w:pPr>
      <w:r>
        <w:rPr>
          <w:rFonts w:ascii="Calibri" w:cs="Calibri" w:eastAsia="Calibri" w:hAnsi="Calibri"/>
          <w:b/>
          <w:bCs/>
          <w:color w:val="2E5AAC"/>
          <w:sz w:val="26"/>
          <w:szCs w:val="26"/>
        </w:rPr>
        <w:t xml:space="preserve">A6. Cross-border transfer governance</w:t>
      </w:r>
    </w:p>
    <w:p>
      <w:pPr>
        <w:spacing w:after="110"/>
      </w:pPr>
      <w:r>
        <w:rPr>
          <w:rFonts w:ascii="Calibri" w:cs="Calibri" w:eastAsia="Calibri" w:hAnsi="Calibri"/>
          <w:b/>
          <w:bCs/>
          <w:color w:val="333A45"/>
          <w:sz w:val="21"/>
          <w:szCs w:val="21"/>
        </w:rPr>
        <w:t xml:space="preserve">This is the largest single financial exposure in the framework. It is governed as such.</w:t>
      </w:r>
    </w:p>
    <w:p>
      <w:pPr>
        <w:spacing w:after="110"/>
      </w:pPr>
      <w:r>
        <w:rPr>
          <w:rFonts w:ascii="Calibri" w:cs="Calibri" w:eastAsia="Calibri" w:hAnsi="Calibri"/>
          <w:color w:val="333A45"/>
          <w:sz w:val="21"/>
          <w:szCs w:val="21"/>
        </w:rPr>
        <w:t xml:space="preserve">A6.1 The committee maintains a </w:t>
      </w:r>
      <w:r>
        <w:rPr>
          <w:rFonts w:ascii="Calibri" w:cs="Calibri" w:eastAsia="Calibri" w:hAnsi="Calibri"/>
          <w:b/>
          <w:bCs/>
          <w:color w:val="333A45"/>
          <w:sz w:val="21"/>
          <w:szCs w:val="21"/>
        </w:rPr>
        <w:t xml:space="preserve">Transfer Register</w:t>
      </w:r>
      <w:r>
        <w:rPr>
          <w:rFonts w:ascii="Calibri" w:cs="Calibri" w:eastAsia="Calibri" w:hAnsi="Calibri"/>
          <w:color w:val="333A45"/>
          <w:sz w:val="21"/>
          <w:szCs w:val="21"/>
        </w:rPr>
        <w:t xml:space="preserve"> recording, for every AI system that moves personal data outside Oman: the consent basis or the exemption relied on; the assessment reference and date; the external processing entity; the states through which data passes and the </w:t>
      </w:r>
      <w:r>
        <w:rPr>
          <w:rFonts w:ascii="Calibri" w:cs="Calibri" w:eastAsia="Calibri" w:hAnsi="Calibri"/>
          <w:b/>
          <w:bCs/>
          <w:color w:val="333A45"/>
          <w:sz w:val="21"/>
          <w:szCs w:val="21"/>
        </w:rPr>
        <w:t xml:space="preserve">final destination</w:t>
      </w:r>
      <w:r>
        <w:rPr>
          <w:rFonts w:ascii="Calibri" w:cs="Calibri" w:eastAsia="Calibri" w:hAnsi="Calibri"/>
          <w:color w:val="333A45"/>
          <w:sz w:val="21"/>
          <w:szCs w:val="21"/>
        </w:rPr>
        <w:t xml:space="preserve">; the protection level determination; and the review date.</w:t>
      </w:r>
    </w:p>
    <w:p>
      <w:pPr>
        <w:spacing w:after="110"/>
      </w:pPr>
      <w:r>
        <w:rPr>
          <w:rFonts w:ascii="Calibri" w:cs="Calibri" w:eastAsia="Calibri" w:hAnsi="Calibri"/>
          <w:color w:val="333A45"/>
          <w:sz w:val="21"/>
          <w:szCs w:val="21"/>
        </w:rPr>
        <w:t xml:space="preserve">A6.2 </w:t>
      </w:r>
      <w:r>
        <w:rPr>
          <w:rFonts w:ascii="Calibri" w:cs="Calibri" w:eastAsia="Calibri" w:hAnsi="Calibri"/>
          <w:b/>
          <w:bCs/>
          <w:color w:val="333A45"/>
          <w:sz w:val="21"/>
          <w:szCs w:val="21"/>
        </w:rPr>
        <w:t xml:space="preserve">Both exemptions from consent are narrow and are recorded with reasons.</w:t>
      </w:r>
      <w:r>
        <w:rPr>
          <w:rFonts w:ascii="Calibri" w:cs="Calibri" w:eastAsia="Calibri" w:hAnsi="Calibri"/>
          <w:color w:val="333A45"/>
          <w:sz w:val="21"/>
          <w:szCs w:val="21"/>
        </w:rPr>
        <w:t xml:space="preserve"> Reliance on the identity-concealment exemption requires [ORGANISATION]'s own written assessment that identification is impossible by any means - </w:t>
      </w:r>
      <w:r>
        <w:rPr>
          <w:rFonts w:ascii="Calibri" w:cs="Calibri" w:eastAsia="Calibri" w:hAnsi="Calibri"/>
          <w:b/>
          <w:bCs/>
          <w:color w:val="333A45"/>
          <w:sz w:val="21"/>
          <w:szCs w:val="21"/>
        </w:rPr>
        <w:t xml:space="preserve">not a supplier's description of its data as anonymised</w:t>
      </w:r>
      <w:r>
        <w:rPr>
          <w:rFonts w:ascii="Calibri" w:cs="Calibri" w:eastAsia="Calibri" w:hAnsi="Calibri"/>
          <w:color w:val="333A45"/>
          <w:sz w:val="21"/>
          <w:szCs w:val="21"/>
        </w:rPr>
        <w:t xml:space="preserve">. The committee reviews every such reliance.</w:t>
      </w:r>
    </w:p>
    <w:p>
      <w:pPr>
        <w:spacing w:after="110"/>
      </w:pPr>
      <w:r>
        <w:rPr>
          <w:rFonts w:ascii="Calibri" w:cs="Calibri" w:eastAsia="Calibri" w:hAnsi="Calibri"/>
          <w:color w:val="333A45"/>
          <w:sz w:val="21"/>
          <w:szCs w:val="21"/>
        </w:rPr>
        <w:t xml:space="preserve">A6.3 </w:t>
      </w:r>
      <w:r>
        <w:rPr>
          <w:rFonts w:ascii="Calibri" w:cs="Calibri" w:eastAsia="Calibri" w:hAnsi="Calibri"/>
          <w:b/>
          <w:bCs/>
          <w:color w:val="333A45"/>
          <w:sz w:val="21"/>
          <w:szCs w:val="21"/>
        </w:rPr>
        <w:t xml:space="preserve">The assessment is written to be produced.</w:t>
      </w:r>
      <w:r>
        <w:rPr>
          <w:rFonts w:ascii="Calibri" w:cs="Calibri" w:eastAsia="Calibri" w:hAnsi="Calibri"/>
          <w:color w:val="333A45"/>
          <w:sz w:val="21"/>
          <w:szCs w:val="21"/>
        </w:rPr>
        <w:t xml:space="preserve"> The ministry may request a copy. The committee therefore holds each assessment in final form rather than as a working document, and reviews it when any of its five inputs changes.</w:t>
      </w:r>
    </w:p>
    <w:p>
      <w:pPr>
        <w:spacing w:after="110"/>
      </w:pPr>
      <w:r>
        <w:rPr>
          <w:rFonts w:ascii="Calibri" w:cs="Calibri" w:eastAsia="Calibri" w:hAnsi="Calibri"/>
          <w:color w:val="333A45"/>
          <w:sz w:val="21"/>
          <w:szCs w:val="21"/>
        </w:rPr>
        <w:t xml:space="preserve">A6.4 </w:t>
      </w:r>
      <w:r>
        <w:rPr>
          <w:rFonts w:ascii="Calibri" w:cs="Calibri" w:eastAsia="Calibri" w:hAnsi="Calibri"/>
          <w:b/>
          <w:bCs/>
          <w:color w:val="333A45"/>
          <w:sz w:val="21"/>
          <w:szCs w:val="21"/>
        </w:rPr>
        <w:t xml:space="preserve">Location is a gating question at procurement, not a diligence item.</w:t>
      </w:r>
      <w:r>
        <w:rPr>
          <w:rFonts w:ascii="Calibri" w:cs="Calibri" w:eastAsia="Calibri" w:hAnsi="Calibri"/>
          <w:color w:val="333A45"/>
          <w:sz w:val="21"/>
          <w:szCs w:val="21"/>
        </w:rPr>
        <w:t xml:space="preserve"> A supplier that will not state its processing and storage locations, or reserves the right to change them without notice, is not approved for personal data. Where a supplier may change regions, the contract must give notice sufficient to reassess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the change takes effect (A7.2).</w:t>
      </w:r>
    </w:p>
    <w:p>
      <w:pPr>
        <w:spacing w:after="110"/>
      </w:pPr>
      <w:r>
        <w:rPr>
          <w:rFonts w:ascii="Calibri" w:cs="Calibri" w:eastAsia="Calibri" w:hAnsi="Calibri"/>
          <w:color w:val="333A45"/>
          <w:sz w:val="21"/>
          <w:szCs w:val="21"/>
        </w:rPr>
        <w:t xml:space="preserve">A6.5 The committee maintains a standing view of </w:t>
      </w:r>
      <w:r>
        <w:rPr>
          <w:rFonts w:ascii="Calibri" w:cs="Calibri" w:eastAsia="Calibri" w:hAnsi="Calibri"/>
          <w:b/>
          <w:bCs/>
          <w:color w:val="333A45"/>
          <w:sz w:val="21"/>
          <w:szCs w:val="21"/>
        </w:rPr>
        <w:t xml:space="preserve">which AI services would stop working if the ministry suspended transfers</w:t>
      </w:r>
      <w:r>
        <w:rPr>
          <w:rFonts w:ascii="Calibri" w:cs="Calibri" w:eastAsia="Calibri" w:hAnsi="Calibri"/>
          <w:color w:val="333A45"/>
          <w:sz w:val="21"/>
          <w:szCs w:val="21"/>
        </w:rPr>
        <w:t xml:space="preserve">, since suspension of transfer abroad is an express enforcement measure. That view informs concentration risk and the exit plans at A7.5.</w:t>
      </w:r>
    </w:p>
    <w:p>
      <w:pPr>
        <w:spacing w:after="110"/>
      </w:pPr>
      <w:r>
        <w:rPr>
          <w:rFonts w:ascii="Calibri" w:cs="Calibri" w:eastAsia="Calibri" w:hAnsi="Calibri"/>
          <w:color w:val="333A45"/>
          <w:sz w:val="21"/>
          <w:szCs w:val="21"/>
        </w:rPr>
        <w:t xml:space="preserve">A6.6 Where a permit is in force, the places of transfer and storage are permit fields. A6.1 and A4.1 are reconciled at every committee meeting.</w:t>
      </w:r>
    </w:p>
    <w:p>
      <w:pPr>
        <w:keepNext/>
        <w:pBdr>
          <w:bottom w:val="single" w:color="9DB9E8" w:sz="4" w:space="3"/>
        </w:pBdr>
        <w:spacing w:after="100" w:before="260"/>
      </w:pPr>
      <w:r>
        <w:rPr>
          <w:rFonts w:ascii="Calibri" w:cs="Calibri" w:eastAsia="Calibri" w:hAnsi="Calibri"/>
          <w:b/>
          <w:bCs/>
          <w:color w:val="2E5AAC"/>
          <w:sz w:val="26"/>
          <w:szCs w:val="26"/>
        </w:rPr>
        <w:t xml:space="preserve">A7. Suppliers</w:t>
      </w:r>
    </w:p>
    <w:p>
      <w:pPr>
        <w:spacing w:after="110"/>
      </w:pPr>
      <w:r>
        <w:rPr>
          <w:rFonts w:ascii="Calibri" w:cs="Calibri" w:eastAsia="Calibri" w:hAnsi="Calibri"/>
          <w:color w:val="333A45"/>
          <w:sz w:val="21"/>
          <w:szCs w:val="21"/>
        </w:rPr>
        <w:t xml:space="preserve">A7.1 No AI service is procured or renewed without the review at policy 3.2 and a written contract. </w:t>
      </w:r>
      <w:r>
        <w:rPr>
          <w:rFonts w:ascii="Calibri" w:cs="Calibri" w:eastAsia="Calibri" w:hAnsi="Calibri"/>
          <w:b/>
          <w:bCs/>
          <w:color w:val="333A45"/>
          <w:sz w:val="21"/>
          <w:szCs w:val="21"/>
        </w:rPr>
        <w:t xml:space="preserve">Engaging a processor does not move [ORGANISATION]'s obligations</w:t>
      </w:r>
      <w:r>
        <w:rPr>
          <w:rFonts w:ascii="Calibri" w:cs="Calibri" w:eastAsia="Calibri" w:hAnsi="Calibri"/>
          <w:color w:val="333A45"/>
          <w:sz w:val="21"/>
          <w:szCs w:val="21"/>
        </w:rPr>
        <w:t xml:space="preserve">, and the committee does not accept a supplier commitment as a substitute for a control [ORGANISATION] can evidence.</w:t>
      </w:r>
    </w:p>
    <w:p>
      <w:pPr>
        <w:spacing w:after="110"/>
      </w:pPr>
      <w:r>
        <w:rPr>
          <w:rFonts w:ascii="Calibri" w:cs="Calibri" w:eastAsia="Calibri" w:hAnsi="Calibri"/>
          <w:color w:val="333A45"/>
          <w:sz w:val="21"/>
          <w:szCs w:val="21"/>
        </w:rPr>
        <w:t xml:space="preserve">A7.2 Contracts cover: processing only on [ORGANISATION]'s documented instructions and only for the stated purpose; </w:t>
      </w:r>
      <w:r>
        <w:rPr>
          <w:rFonts w:ascii="Calibri" w:cs="Calibri" w:eastAsia="Calibri" w:hAnsi="Calibri"/>
          <w:b/>
          <w:bCs/>
          <w:color w:val="333A45"/>
          <w:sz w:val="21"/>
          <w:szCs w:val="21"/>
        </w:rPr>
        <w:t xml:space="preserve">disclosure of actual processing and storage locations and advance notice of any change</w:t>
      </w:r>
      <w:r>
        <w:rPr>
          <w:rFonts w:ascii="Calibri" w:cs="Calibri" w:eastAsia="Calibri" w:hAnsi="Calibri"/>
          <w:color w:val="333A45"/>
          <w:sz w:val="21"/>
          <w:szCs w:val="21"/>
        </w:rPr>
        <w:t xml:space="preserve">; no use of [ORGANISATION] data to train the supplier's models; disclosure of material model changes; </w:t>
      </w:r>
      <w:r>
        <w:rPr>
          <w:rFonts w:ascii="Calibri" w:cs="Calibri" w:eastAsia="Calibri" w:hAnsi="Calibri"/>
          <w:b/>
          <w:bCs/>
          <w:color w:val="333A45"/>
          <w:sz w:val="21"/>
          <w:szCs w:val="21"/>
        </w:rPr>
        <w:t xml:space="preserve">immediate breach notification with enough detail to populate both 72-hour notifications</w:t>
      </w:r>
      <w:r>
        <w:rPr>
          <w:rFonts w:ascii="Calibri" w:cs="Calibri" w:eastAsia="Calibri" w:hAnsi="Calibri"/>
          <w:color w:val="333A45"/>
          <w:sz w:val="21"/>
          <w:szCs w:val="21"/>
        </w:rPr>
        <w:t xml:space="preserve">; the ability to identify whose personal data an exposure touched; assistance with individuals' requests inside the 45-day period; sub-processor authorisation and flow-down; secure deletion or return at end of service; </w:t>
      </w:r>
      <w:r>
        <w:rPr>
          <w:rFonts w:ascii="Calibri" w:cs="Calibri" w:eastAsia="Calibri" w:hAnsi="Calibri"/>
          <w:b/>
          <w:bCs/>
          <w:color w:val="333A45"/>
          <w:sz w:val="21"/>
          <w:szCs w:val="21"/>
        </w:rPr>
        <w:t xml:space="preserve">audit and access rights sufficient for the external auditor at A8</w:t>
      </w:r>
      <w:r>
        <w:rPr>
          <w:rFonts w:ascii="Calibri" w:cs="Calibri" w:eastAsia="Calibri" w:hAnsi="Calibri"/>
          <w:color w:val="333A45"/>
          <w:sz w:val="21"/>
          <w:szCs w:val="21"/>
        </w:rPr>
        <w:t xml:space="preserve">; and exit arrangements.</w:t>
      </w:r>
    </w:p>
    <w:p>
      <w:pPr>
        <w:spacing w:after="110"/>
      </w:pPr>
      <w:r>
        <w:rPr>
          <w:rFonts w:ascii="Calibri" w:cs="Calibri" w:eastAsia="Calibri" w:hAnsi="Calibri"/>
          <w:color w:val="333A45"/>
          <w:sz w:val="21"/>
          <w:szCs w:val="21"/>
        </w:rPr>
        <w:t xml:space="preserve">A7.3 </w:t>
      </w:r>
      <w:r>
        <w:rPr>
          <w:rFonts w:ascii="Calibri" w:cs="Calibri" w:eastAsia="Calibri" w:hAnsi="Calibri"/>
          <w:b/>
          <w:bCs/>
          <w:color w:val="333A45"/>
          <w:sz w:val="21"/>
          <w:szCs w:val="21"/>
        </w:rPr>
        <w:t xml:space="preserve">Sub-processors are recipients of disclosure</w:t>
      </w:r>
      <w:r>
        <w:rPr>
          <w:rFonts w:ascii="Calibri" w:cs="Calibri" w:eastAsia="Calibri" w:hAnsi="Calibri"/>
          <w:color w:val="333A45"/>
          <w:sz w:val="21"/>
          <w:szCs w:val="21"/>
        </w:rPr>
        <w:t xml:space="preserve"> for register purposes and may be permit fields. They are identified before approval, not discovered later.</w:t>
      </w:r>
    </w:p>
    <w:p>
      <w:pPr>
        <w:spacing w:after="110"/>
      </w:pPr>
      <w:r>
        <w:rPr>
          <w:rFonts w:ascii="Calibri" w:cs="Calibri" w:eastAsia="Calibri" w:hAnsi="Calibri"/>
          <w:color w:val="333A45"/>
          <w:sz w:val="21"/>
          <w:szCs w:val="21"/>
        </w:rPr>
        <w:t xml:space="preserve">A7.4 Where [ORGANISATION] is itself a processor for a client, the annex owner maintains the list of such engagements, the instructions received, and the notification duties accepted.</w:t>
      </w:r>
    </w:p>
    <w:p>
      <w:pPr>
        <w:spacing w:after="110"/>
      </w:pPr>
      <w:r>
        <w:rPr>
          <w:rFonts w:ascii="Calibri" w:cs="Calibri" w:eastAsia="Calibri" w:hAnsi="Calibri"/>
          <w:color w:val="333A45"/>
          <w:sz w:val="21"/>
          <w:szCs w:val="21"/>
        </w:rPr>
        <w:t xml:space="preserve">A7.5 Critical AI suppliers are reassessed at least annually, with an exit plan and a concentration risk review by the committee, informed by A6.5.</w:t>
      </w:r>
    </w:p>
    <w:p>
      <w:pPr>
        <w:keepNext/>
        <w:pBdr>
          <w:bottom w:val="single" w:color="9DB9E8" w:sz="4" w:space="3"/>
        </w:pBdr>
        <w:spacing w:after="100" w:before="260"/>
      </w:pPr>
      <w:r>
        <w:rPr>
          <w:rFonts w:ascii="Calibri" w:cs="Calibri" w:eastAsia="Calibri" w:hAnsi="Calibri"/>
          <w:b/>
          <w:bCs/>
          <w:color w:val="2E5AAC"/>
          <w:sz w:val="26"/>
          <w:szCs w:val="26"/>
        </w:rPr>
        <w:t xml:space="preserve">A8. External audit readiness</w:t>
      </w:r>
    </w:p>
    <w:p>
      <w:pPr>
        <w:spacing w:after="110"/>
      </w:pPr>
      <w:r>
        <w:rPr>
          <w:rFonts w:ascii="Calibri" w:cs="Calibri" w:eastAsia="Calibri" w:hAnsi="Calibri"/>
          <w:b/>
          <w:bCs/>
          <w:color w:val="333A45"/>
          <w:sz w:val="21"/>
          <w:szCs w:val="21"/>
        </w:rPr>
        <w:t xml:space="preserve">The ministry can require an external audit, and the report is due to the Competent Department within 60 days of the auditor's appointment. That is short.</w:t>
      </w:r>
    </w:p>
    <w:p>
      <w:pPr>
        <w:spacing w:after="110"/>
      </w:pPr>
      <w:r>
        <w:rPr>
          <w:rFonts w:ascii="Calibri" w:cs="Calibri" w:eastAsia="Calibri" w:hAnsi="Calibri"/>
          <w:color w:val="333A45"/>
          <w:sz w:val="21"/>
          <w:szCs w:val="21"/>
        </w:rPr>
        <w:t xml:space="preserve">A8.1 The committee maintains a standing </w:t>
      </w:r>
      <w:r>
        <w:rPr>
          <w:rFonts w:ascii="Calibri" w:cs="Calibri" w:eastAsia="Calibri" w:hAnsi="Calibri"/>
          <w:b/>
          <w:bCs/>
          <w:color w:val="333A45"/>
          <w:sz w:val="21"/>
          <w:szCs w:val="21"/>
        </w:rPr>
        <w:t xml:space="preserve">audit pack</w:t>
      </w:r>
      <w:r>
        <w:rPr>
          <w:rFonts w:ascii="Calibri" w:cs="Calibri" w:eastAsia="Calibri" w:hAnsi="Calibri"/>
          <w:color w:val="333A45"/>
          <w:sz w:val="21"/>
          <w:szCs w:val="21"/>
        </w:rPr>
        <w:t xml:space="preserve">, derived from the inventory and the registers, comprising: the processing activities register; the Permit Register; the Transfer Register with assessments; the notice and consent evidence; the breach documentation; the controls and procedures [ORGANISATION] has established for processing; and the AI-specific documentation at A8.4.</w:t>
      </w:r>
    </w:p>
    <w:p>
      <w:pPr>
        <w:spacing w:after="110"/>
      </w:pPr>
      <w:r>
        <w:rPr>
          <w:rFonts w:ascii="Calibri" w:cs="Calibri" w:eastAsia="Calibri" w:hAnsi="Calibri"/>
          <w:color w:val="333A45"/>
          <w:sz w:val="21"/>
          <w:szCs w:val="21"/>
        </w:rPr>
        <w:t xml:space="preserve">A8.2 The auditor must be </w:t>
      </w:r>
      <w:r>
        <w:rPr>
          <w:rFonts w:ascii="Calibri" w:cs="Calibri" w:eastAsia="Calibri" w:hAnsi="Calibri"/>
          <w:b/>
          <w:bCs/>
          <w:color w:val="333A45"/>
          <w:sz w:val="21"/>
          <w:szCs w:val="21"/>
        </w:rPr>
        <w:t xml:space="preserve">accredited and licensed by the ministry</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independent of [ORGANISATION]</w:t>
      </w:r>
      <w:r>
        <w:rPr>
          <w:rFonts w:ascii="Calibri" w:cs="Calibri" w:eastAsia="Calibri" w:hAnsi="Calibri"/>
          <w:color w:val="333A45"/>
          <w:sz w:val="21"/>
          <w:szCs w:val="21"/>
        </w:rPr>
        <w:t xml:space="preserve">. The committee identifies candidate auditors in advance rather than beginning the search when the requirement arrives.</w:t>
      </w:r>
    </w:p>
    <w:p>
      <w:pPr>
        <w:spacing w:after="110"/>
      </w:pPr>
      <w:r>
        <w:rPr>
          <w:rFonts w:ascii="Calibri" w:cs="Calibri" w:eastAsia="Calibri" w:hAnsi="Calibri"/>
          <w:color w:val="333A45"/>
          <w:sz w:val="21"/>
          <w:szCs w:val="21"/>
        </w:rPr>
        <w:t xml:space="preserve">A8.3 [ORGANISATION] must </w:t>
      </w:r>
      <w:r>
        <w:rPr>
          <w:rFonts w:ascii="Calibri" w:cs="Calibri" w:eastAsia="Calibri" w:hAnsi="Calibri"/>
          <w:b/>
          <w:bCs/>
          <w:color w:val="333A45"/>
          <w:sz w:val="21"/>
          <w:szCs w:val="21"/>
        </w:rPr>
        <w:t xml:space="preserve">enable the auditor to view and examine the records, processing systems and data necessary</w:t>
      </w:r>
      <w:r>
        <w:rPr>
          <w:rFonts w:ascii="Calibri" w:cs="Calibri" w:eastAsia="Calibri" w:hAnsi="Calibri"/>
          <w:color w:val="333A45"/>
          <w:sz w:val="21"/>
          <w:szCs w:val="21"/>
        </w:rPr>
        <w:t xml:space="preserve"> for the audit. Access provisioning for an independent external party is designed in advance and tested, because a 60-day clock cannot absorb an access dispute.</w:t>
      </w:r>
    </w:p>
    <w:p>
      <w:pPr>
        <w:spacing w:after="110"/>
      </w:pPr>
      <w:r>
        <w:rPr>
          <w:rFonts w:ascii="Calibri" w:cs="Calibri" w:eastAsia="Calibri" w:hAnsi="Calibri"/>
          <w:color w:val="333A45"/>
          <w:sz w:val="21"/>
          <w:szCs w:val="21"/>
        </w:rPr>
        <w:t xml:space="preserve">A8.4 The audit pack additionally holds, for AI systems: the objective evaluation against alternatives (A5.2); the documentation of the development process where [ORGANISATION] develops; the ethical, social and environmental impact assessments; the algorithm documentation explaining decision logic and the data analysis process; bias monitoring and fairness test results; and the analytical tools and reports enabling the logic of operation to be evaluated.</w:t>
      </w:r>
    </w:p>
    <w:p>
      <w:pPr>
        <w:spacing w:after="110"/>
      </w:pPr>
      <w:r>
        <w:rPr>
          <w:rFonts w:ascii="Calibri" w:cs="Calibri" w:eastAsia="Calibri" w:hAnsi="Calibri"/>
          <w:color w:val="333A45"/>
          <w:sz w:val="21"/>
          <w:szCs w:val="21"/>
        </w:rPr>
        <w:t xml:space="preserve">A8.5 </w:t>
      </w:r>
      <w:r>
        <w:rPr>
          <w:rFonts w:ascii="Calibri" w:cs="Calibri" w:eastAsia="Calibri" w:hAnsi="Calibri"/>
          <w:b/>
          <w:bCs/>
          <w:color w:val="333A45"/>
          <w:sz w:val="21"/>
          <w:szCs w:val="21"/>
        </w:rPr>
        <w:t xml:space="preserve">The national policy requires production of documents to the regulatory authorities on official investigation, both for use and for development.</w:t>
      </w:r>
      <w:r>
        <w:rPr>
          <w:rFonts w:ascii="Calibri" w:cs="Calibri" w:eastAsia="Calibri" w:hAnsi="Calibri"/>
          <w:color w:val="333A45"/>
          <w:sz w:val="21"/>
          <w:szCs w:val="21"/>
        </w:rPr>
        <w:t xml:space="preserve"> A8.1 and A8.4 serve that duty as well as the statutory audit.</w:t>
      </w:r>
    </w:p>
    <w:p>
      <w:pPr>
        <w:keepNext/>
        <w:pBdr>
          <w:bottom w:val="single" w:color="9DB9E8" w:sz="4" w:space="3"/>
        </w:pBdr>
        <w:spacing w:after="100" w:before="260"/>
      </w:pPr>
      <w:r>
        <w:rPr>
          <w:rFonts w:ascii="Calibri" w:cs="Calibri" w:eastAsia="Calibri" w:hAnsi="Calibri"/>
          <w:b/>
          <w:bCs/>
          <w:color w:val="2E5AAC"/>
          <w:sz w:val="26"/>
          <w:szCs w:val="26"/>
        </w:rPr>
        <w:t xml:space="preserve">A9. Assurance</w:t>
      </w:r>
    </w:p>
    <w:p>
      <w:pPr>
        <w:spacing w:after="110"/>
      </w:pPr>
      <w:r>
        <w:rPr>
          <w:rFonts w:ascii="Calibri" w:cs="Calibri" w:eastAsia="Calibri" w:hAnsi="Calibri"/>
          <w:color w:val="333A45"/>
          <w:sz w:val="21"/>
          <w:szCs w:val="21"/>
        </w:rPr>
        <w:t xml:space="preserve">A9.1 Internal audit reviews the AI governance programme at least [annually], including: a sample test that inventory records match what systems actually do; a reconciliation of the inventory, the register, the Permit Register and the Transfer Register; verification that published Personal Data Protection Officer details are current; and a walkthrough of the incident process against a simulated breach that crosses </w:t>
      </w:r>
      <w:r>
        <w:rPr>
          <w:rFonts w:ascii="Calibri" w:cs="Calibri" w:eastAsia="Calibri" w:hAnsi="Calibri"/>
          <w:b/>
          <w:bCs/>
          <w:color w:val="333A45"/>
          <w:sz w:val="21"/>
          <w:szCs w:val="21"/>
        </w:rPr>
        <w:t xml:space="preserve">one</w:t>
      </w:r>
      <w:r>
        <w:rPr>
          <w:rFonts w:ascii="Calibri" w:cs="Calibri" w:eastAsia="Calibri" w:hAnsi="Calibri"/>
          <w:color w:val="333A45"/>
          <w:sz w:val="21"/>
          <w:szCs w:val="21"/>
        </w:rPr>
        <w:t xml:space="preserve"> notification threshold but not the other.</w:t>
      </w:r>
    </w:p>
    <w:p>
      <w:pPr>
        <w:spacing w:after="110"/>
      </w:pPr>
      <w:r>
        <w:rPr>
          <w:rFonts w:ascii="Calibri" w:cs="Calibri" w:eastAsia="Calibri" w:hAnsi="Calibri"/>
          <w:color w:val="333A45"/>
          <w:sz w:val="21"/>
          <w:szCs w:val="21"/>
        </w:rPr>
        <w:t xml:space="preserve">A9.2 </w:t>
      </w:r>
      <w:r>
        <w:rPr>
          <w:rFonts w:ascii="Calibri" w:cs="Calibri" w:eastAsia="Calibri" w:hAnsi="Calibri"/>
          <w:b/>
          <w:bCs/>
          <w:color w:val="333A45"/>
          <w:sz w:val="21"/>
          <w:szCs w:val="21"/>
        </w:rPr>
        <w:t xml:space="preserve">That last test is deliberate.</w:t>
      </w:r>
      <w:r>
        <w:rPr>
          <w:rFonts w:ascii="Calibri" w:cs="Calibri" w:eastAsia="Calibri" w:hAnsi="Calibri"/>
          <w:color w:val="333A45"/>
          <w:sz w:val="21"/>
          <w:szCs w:val="21"/>
        </w:rPr>
        <w:t xml:space="preserve"> The two 72-hour duties have different triggers, and the failure mode is an organisation that runs one clock and assumes it discharged both.</w:t>
      </w:r>
    </w:p>
    <w:p>
      <w:pPr>
        <w:spacing w:after="110"/>
      </w:pPr>
      <w:r>
        <w:rPr>
          <w:rFonts w:ascii="Calibri" w:cs="Calibri" w:eastAsia="Calibri" w:hAnsi="Calibri"/>
          <w:color w:val="333A45"/>
          <w:sz w:val="21"/>
          <w:szCs w:val="21"/>
        </w:rPr>
        <w:t xml:space="preserve">A9.3 The committee conducts a management review of the whole programme at least [annually]: policy and annex, inventory, registers, permits, transfers, metrics, incidents, supplier performance, and regulatory change from both the ministry and the sector regulator, with documented actions.</w:t>
      </w:r>
    </w:p>
    <w:p>
      <w:pPr>
        <w:keepNext/>
        <w:pBdr>
          <w:bottom w:val="single" w:color="9DB9E8" w:sz="4" w:space="3"/>
        </w:pBdr>
        <w:spacing w:after="100" w:before="260"/>
      </w:pPr>
      <w:r>
        <w:rPr>
          <w:rFonts w:ascii="Calibri" w:cs="Calibri" w:eastAsia="Calibri" w:hAnsi="Calibri"/>
          <w:b/>
          <w:bCs/>
          <w:color w:val="2E5AAC"/>
          <w:sz w:val="26"/>
          <w:szCs w:val="26"/>
        </w:rPr>
        <w:t xml:space="preserve">A10. Metrics</w:t>
      </w:r>
    </w:p>
    <w:p>
      <w:pPr>
        <w:spacing w:after="110"/>
      </w:pPr>
      <w:r>
        <w:rPr>
          <w:rFonts w:ascii="Calibri" w:cs="Calibri" w:eastAsia="Calibri" w:hAnsi="Calibri"/>
          <w:color w:val="333A45"/>
          <w:sz w:val="21"/>
          <w:szCs w:val="21"/>
        </w:rPr>
        <w:t xml:space="preserve">A10.1 The committee tracks agreed indicators, including:</w:t>
      </w:r>
    </w:p>
    <w:p>
      <w:pPr>
        <w:pStyle w:val="ListParagraph"/>
        <w:numPr>
          <w:ilvl w:val="0"/>
          <w:numId w:val="2"/>
        </w:numPr>
        <w:spacing w:after="70"/>
      </w:pPr>
      <w:r>
        <w:rPr>
          <w:rFonts w:ascii="Calibri" w:cs="Calibri" w:eastAsia="Calibri" w:hAnsi="Calibri"/>
          <w:color w:val="333A45"/>
          <w:sz w:val="21"/>
          <w:szCs w:val="21"/>
        </w:rPr>
        <w:t xml:space="preserve">approved-tool adoption, and unapproved-tool discoveries;</w:t>
      </w:r>
    </w:p>
    <w:p>
      <w:pPr>
        <w:pStyle w:val="ListParagraph"/>
        <w:numPr>
          <w:ilvl w:val="0"/>
          <w:numId w:val="2"/>
        </w:numPr>
        <w:spacing w:after="70"/>
      </w:pPr>
      <w:r>
        <w:rPr>
          <w:rFonts w:ascii="Calibri" w:cs="Calibri" w:eastAsia="Calibri" w:hAnsi="Calibri"/>
          <w:b/>
          <w:bCs/>
          <w:color w:val="333A45"/>
          <w:sz w:val="21"/>
          <w:szCs w:val="21"/>
        </w:rPr>
        <w:t xml:space="preserve">AI systems processing personal data with no register entry,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AI systems processing permit-category data without a permit,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permits within six months of expiry with no renewal started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permit-relevant changes not notified within 15 days,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AI systems moving personal data abroad with no current transfer assessment,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systems whose recorded locations do not reconcile to the register;</w:t>
      </w:r>
    </w:p>
    <w:p>
      <w:pPr>
        <w:pStyle w:val="ListParagraph"/>
        <w:numPr>
          <w:ilvl w:val="0"/>
          <w:numId w:val="2"/>
        </w:numPr>
        <w:spacing w:after="70"/>
      </w:pPr>
      <w:r>
        <w:rPr>
          <w:rFonts w:ascii="Calibri" w:cs="Calibri" w:eastAsia="Calibri" w:hAnsi="Calibri"/>
          <w:b/>
          <w:bCs/>
          <w:color w:val="333A45"/>
          <w:sz w:val="21"/>
          <w:szCs w:val="21"/>
        </w:rPr>
        <w:t xml:space="preserve">interval from detection to documentation</w:t>
      </w:r>
      <w:r>
        <w:rPr>
          <w:rFonts w:ascii="Calibri" w:cs="Calibri" w:eastAsia="Calibri" w:hAnsi="Calibri"/>
          <w:color w:val="333A45"/>
          <w:sz w:val="21"/>
          <w:szCs w:val="21"/>
        </w:rPr>
        <w:t xml:space="preserve"> of errors, deviations and negative effects (A5.4);</w:t>
      </w:r>
    </w:p>
    <w:p>
      <w:pPr>
        <w:pStyle w:val="ListParagraph"/>
        <w:numPr>
          <w:ilvl w:val="0"/>
          <w:numId w:val="2"/>
        </w:numPr>
        <w:spacing w:after="70"/>
      </w:pPr>
      <w:r>
        <w:rPr>
          <w:rFonts w:ascii="Calibri" w:cs="Calibri" w:eastAsia="Calibri" w:hAnsi="Calibri"/>
          <w:color w:val="333A45"/>
          <w:sz w:val="21"/>
          <w:szCs w:val="21"/>
        </w:rPr>
        <w:t xml:space="preserve">time from occurrence to awareness; time from awareness to regulator notification; time from awareness to data subject notification, </w:t>
      </w:r>
      <w:r>
        <w:rPr>
          <w:rFonts w:ascii="Calibri" w:cs="Calibri" w:eastAsia="Calibri" w:hAnsi="Calibri"/>
          <w:b/>
          <w:bCs/>
          <w:color w:val="333A45"/>
          <w:sz w:val="21"/>
          <w:szCs w:val="21"/>
        </w:rPr>
        <w:t xml:space="preserve">reported separately</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incidents where only one notification limb was assessed;</w:t>
      </w:r>
    </w:p>
    <w:p>
      <w:pPr>
        <w:pStyle w:val="ListParagraph"/>
        <w:numPr>
          <w:ilvl w:val="0"/>
          <w:numId w:val="2"/>
        </w:numPr>
        <w:spacing w:after="70"/>
      </w:pPr>
      <w:r>
        <w:rPr>
          <w:rFonts w:ascii="Calibri" w:cs="Calibri" w:eastAsia="Calibri" w:hAnsi="Calibri"/>
          <w:color w:val="333A45"/>
          <w:sz w:val="21"/>
          <w:szCs w:val="21"/>
        </w:rPr>
        <w:t xml:space="preserve">data subject requests answered within 45 days, and any that were not;</w:t>
      </w:r>
    </w:p>
    <w:p>
      <w:pPr>
        <w:pStyle w:val="ListParagraph"/>
        <w:numPr>
          <w:ilvl w:val="0"/>
          <w:numId w:val="2"/>
        </w:numPr>
        <w:spacing w:after="70"/>
      </w:pPr>
      <w:r>
        <w:rPr>
          <w:rFonts w:ascii="Calibri" w:cs="Calibri" w:eastAsia="Calibri" w:hAnsi="Calibri"/>
          <w:color w:val="333A45"/>
          <w:sz w:val="21"/>
          <w:szCs w:val="21"/>
        </w:rPr>
        <w:t xml:space="preserve">systems that cannot enumerate affected individuals, or cannot trace data provenance;</w:t>
      </w:r>
    </w:p>
    <w:p>
      <w:pPr>
        <w:pStyle w:val="ListParagraph"/>
        <w:numPr>
          <w:ilvl w:val="0"/>
          <w:numId w:val="2"/>
        </w:numPr>
        <w:spacing w:after="70"/>
      </w:pPr>
      <w:r>
        <w:rPr>
          <w:rFonts w:ascii="Calibri" w:cs="Calibri" w:eastAsia="Calibri" w:hAnsi="Calibri"/>
          <w:color w:val="333A45"/>
          <w:sz w:val="21"/>
          <w:szCs w:val="21"/>
        </w:rPr>
        <w:t xml:space="preserve">Level 4 systems with no recorded evaluation against alternatives;</w:t>
      </w:r>
    </w:p>
    <w:p>
      <w:pPr>
        <w:pStyle w:val="ListParagraph"/>
        <w:numPr>
          <w:ilvl w:val="0"/>
          <w:numId w:val="2"/>
        </w:numPr>
        <w:spacing w:after="70"/>
      </w:pPr>
      <w:r>
        <w:rPr>
          <w:rFonts w:ascii="Calibri" w:cs="Calibri" w:eastAsia="Calibri" w:hAnsi="Calibri"/>
          <w:color w:val="333A45"/>
          <w:sz w:val="21"/>
          <w:szCs w:val="21"/>
        </w:rPr>
        <w:t xml:space="preserve">bias findings raised and </w:t>
      </w:r>
      <w:r>
        <w:rPr>
          <w:rFonts w:ascii="Calibri" w:cs="Calibri" w:eastAsia="Calibri" w:hAnsi="Calibri"/>
          <w:b/>
          <w:bCs/>
          <w:color w:val="333A45"/>
          <w:sz w:val="21"/>
          <w:szCs w:val="21"/>
        </w:rPr>
        <w:t xml:space="preserve">remediations actually made</w:t>
      </w:r>
      <w:r>
        <w:rPr>
          <w:rFonts w:ascii="Calibri" w:cs="Calibri" w:eastAsia="Calibri" w:hAnsi="Calibri"/>
          <w:color w:val="333A45"/>
          <w:sz w:val="21"/>
          <w:szCs w:val="21"/>
        </w:rPr>
        <w:t xml:space="preserve">, reported as a pair;</w:t>
      </w:r>
    </w:p>
    <w:p>
      <w:pPr>
        <w:pStyle w:val="ListParagraph"/>
        <w:numPr>
          <w:ilvl w:val="0"/>
          <w:numId w:val="2"/>
        </w:numPr>
        <w:spacing w:after="70"/>
      </w:pPr>
      <w:r>
        <w:rPr>
          <w:rFonts w:ascii="Calibri" w:cs="Calibri" w:eastAsia="Calibri" w:hAnsi="Calibri"/>
          <w:color w:val="333A45"/>
          <w:sz w:val="21"/>
          <w:szCs w:val="21"/>
        </w:rPr>
        <w:t xml:space="preserve">exception count and age;</w:t>
      </w:r>
    </w:p>
    <w:p>
      <w:pPr>
        <w:pStyle w:val="ListParagraph"/>
        <w:numPr>
          <w:ilvl w:val="0"/>
          <w:numId w:val="2"/>
        </w:numPr>
        <w:spacing w:after="70"/>
      </w:pPr>
      <w:r>
        <w:rPr>
          <w:rFonts w:ascii="Calibri" w:cs="Calibri" w:eastAsia="Calibri" w:hAnsi="Calibri"/>
          <w:color w:val="333A45"/>
          <w:sz w:val="21"/>
          <w:szCs w:val="21"/>
        </w:rPr>
        <w:t xml:space="preserve">training completion, reported separately for the transfer module.</w:t>
      </w:r>
    </w:p>
    <w:p>
      <w:pPr>
        <w:spacing w:after="110"/>
      </w:pPr>
      <w:r>
        <w:rPr>
          <w:rFonts w:ascii="Calibri" w:cs="Calibri" w:eastAsia="Calibri" w:hAnsi="Calibri"/>
          <w:color w:val="333A45"/>
          <w:sz w:val="21"/>
          <w:szCs w:val="21"/>
        </w:rPr>
        <w:t xml:space="preserve">A10.2 The two notification timings at A10.1 are reported separately and never as an average. </w:t>
      </w:r>
      <w:r>
        <w:rPr>
          <w:rFonts w:ascii="Calibri" w:cs="Calibri" w:eastAsia="Calibri" w:hAnsi="Calibri"/>
          <w:b/>
          <w:bCs/>
          <w:color w:val="333A45"/>
          <w:sz w:val="21"/>
          <w:szCs w:val="21"/>
        </w:rPr>
        <w:t xml:space="preserve">An average conceals precisely the failure A9.2 tests for.</w:t>
      </w:r>
    </w:p>
    <w:p>
      <w:pPr>
        <w:keepNext/>
        <w:pBdr>
          <w:bottom w:val="single" w:color="9DB9E8" w:sz="4" w:space="3"/>
        </w:pBdr>
        <w:spacing w:after="100" w:before="260"/>
      </w:pPr>
      <w:r>
        <w:rPr>
          <w:rFonts w:ascii="Calibri" w:cs="Calibri" w:eastAsia="Calibri" w:hAnsi="Calibri"/>
          <w:b/>
          <w:bCs/>
          <w:color w:val="2E5AAC"/>
          <w:sz w:val="26"/>
          <w:szCs w:val="26"/>
        </w:rPr>
        <w:t xml:space="preserve">A11. Individuals' requests</w:t>
      </w:r>
    </w:p>
    <w:p>
      <w:pPr>
        <w:spacing w:after="110"/>
      </w:pPr>
      <w:r>
        <w:rPr>
          <w:rFonts w:ascii="Calibri" w:cs="Calibri" w:eastAsia="Calibri" w:hAnsi="Calibri"/>
          <w:color w:val="333A45"/>
          <w:sz w:val="21"/>
          <w:szCs w:val="21"/>
        </w:rPr>
        <w:t xml:space="preserve">A11.1 [ORGANISATION] maintains a documented route by which a request is executed against every AI system in the inventory - prompts, uploads, transcripts, embeddings, caches, indexes and logs.</w:t>
      </w:r>
    </w:p>
    <w:p>
      <w:pPr>
        <w:spacing w:after="110"/>
      </w:pPr>
      <w:r>
        <w:rPr>
          <w:rFonts w:ascii="Calibri" w:cs="Calibri" w:eastAsia="Calibri" w:hAnsi="Calibri"/>
          <w:color w:val="333A45"/>
          <w:sz w:val="21"/>
          <w:szCs w:val="21"/>
        </w:rPr>
        <w:t xml:space="preserve">A11.2 A request to exercise the statutory rights is made in writing and answered </w:t>
      </w:r>
      <w:r>
        <w:rPr>
          <w:rFonts w:ascii="Calibri" w:cs="Calibri" w:eastAsia="Calibri" w:hAnsi="Calibri"/>
          <w:b/>
          <w:bCs/>
          <w:color w:val="333A45"/>
          <w:sz w:val="21"/>
          <w:szCs w:val="21"/>
        </w:rPr>
        <w:t xml:space="preserve">within 45 days of receipt, free of charge</w:t>
      </w:r>
      <w:r>
        <w:rPr>
          <w:rFonts w:ascii="Calibri" w:cs="Calibri" w:eastAsia="Calibri" w:hAnsi="Calibri"/>
          <w:color w:val="333A45"/>
          <w:sz w:val="21"/>
          <w:szCs w:val="21"/>
        </w:rPr>
        <w:t xml:space="preserve">. The individual may request </w:t>
      </w:r>
      <w:r>
        <w:rPr>
          <w:rFonts w:ascii="Calibri" w:cs="Calibri" w:eastAsia="Calibri" w:hAnsi="Calibri"/>
          <w:b/>
          <w:bCs/>
          <w:color w:val="333A45"/>
          <w:sz w:val="21"/>
          <w:szCs w:val="21"/>
        </w:rPr>
        <w:t xml:space="preserve">suspension of processing pending the decision</w:t>
      </w:r>
      <w:r>
        <w:rPr>
          <w:rFonts w:ascii="Calibri" w:cs="Calibri" w:eastAsia="Calibri" w:hAnsi="Calibri"/>
          <w:color w:val="333A45"/>
          <w:sz w:val="21"/>
          <w:szCs w:val="21"/>
        </w:rPr>
        <w:t xml:space="preserve">, and the committee ensures systems can suspend as well as delete.</w:t>
      </w:r>
    </w:p>
    <w:p>
      <w:pPr>
        <w:spacing w:after="110"/>
      </w:pPr>
      <w:r>
        <w:rPr>
          <w:rFonts w:ascii="Calibri" w:cs="Calibri" w:eastAsia="Calibri" w:hAnsi="Calibri"/>
          <w:color w:val="333A45"/>
          <w:sz w:val="21"/>
          <w:szCs w:val="21"/>
        </w:rPr>
        <w:t xml:space="preserve">A11.3 A request may be refused </w:t>
      </w:r>
      <w:r>
        <w:rPr>
          <w:rFonts w:ascii="Calibri" w:cs="Calibri" w:eastAsia="Calibri" w:hAnsi="Calibri"/>
          <w:b/>
          <w:bCs/>
          <w:color w:val="333A45"/>
          <w:sz w:val="21"/>
          <w:szCs w:val="21"/>
        </w:rPr>
        <w:t xml:space="preserve">partially or wholly only where it is repeated without justification or its execution requires unusual effort</w:t>
      </w:r>
      <w:r>
        <w:rPr>
          <w:rFonts w:ascii="Calibri" w:cs="Calibri" w:eastAsia="Calibri" w:hAnsi="Calibri"/>
          <w:color w:val="333A45"/>
          <w:sz w:val="21"/>
          <w:szCs w:val="21"/>
        </w:rPr>
        <w:t xml:space="preserve">, and the refusal must be </w:t>
      </w:r>
      <w:r>
        <w:rPr>
          <w:rFonts w:ascii="Calibri" w:cs="Calibri" w:eastAsia="Calibri" w:hAnsi="Calibri"/>
          <w:b/>
          <w:bCs/>
          <w:color w:val="333A45"/>
          <w:sz w:val="21"/>
          <w:szCs w:val="21"/>
        </w:rPr>
        <w:t xml:space="preserve">reasoned and notified within the same 45 days</w:t>
      </w:r>
      <w:r>
        <w:rPr>
          <w:rFonts w:ascii="Calibri" w:cs="Calibri" w:eastAsia="Calibri" w:hAnsi="Calibri"/>
          <w:color w:val="333A45"/>
          <w:sz w:val="21"/>
          <w:szCs w:val="21"/>
        </w:rPr>
        <w:t xml:space="preserve">. The Personal Data Protection Officer approves every refusal and records the ground.</w:t>
      </w:r>
    </w:p>
    <w:p>
      <w:pPr>
        <w:spacing w:after="110"/>
      </w:pPr>
      <w:r>
        <w:rPr>
          <w:rFonts w:ascii="Calibri" w:cs="Calibri" w:eastAsia="Calibri" w:hAnsi="Calibri"/>
          <w:color w:val="333A45"/>
          <w:sz w:val="21"/>
          <w:szCs w:val="21"/>
        </w:rPr>
        <w:t xml:space="preserve">A11.4 </w:t>
      </w:r>
      <w:r>
        <w:rPr>
          <w:rFonts w:ascii="Calibri" w:cs="Calibri" w:eastAsia="Calibri" w:hAnsi="Calibri"/>
          <w:b/>
          <w:bCs/>
          <w:color w:val="333A45"/>
          <w:sz w:val="21"/>
          <w:szCs w:val="21"/>
        </w:rPr>
        <w:t xml:space="preserve">Erasure</w:t>
      </w:r>
      <w:r>
        <w:rPr>
          <w:rFonts w:ascii="Calibri" w:cs="Calibri" w:eastAsia="Calibri" w:hAnsi="Calibri"/>
          <w:color w:val="333A45"/>
          <w:sz w:val="21"/>
          <w:szCs w:val="21"/>
        </w:rPr>
        <w:t xml:space="preserve"> is available where the purpose has ended, where consent has been withdrawn, or where the processing does not comply with the law or the regulations. [ORGANISATION] may refuse where a legal obligation under a law, judgment or judicial decision requires retention, or where </w:t>
      </w:r>
      <w:r>
        <w:rPr>
          <w:rFonts w:ascii="Calibri" w:cs="Calibri" w:eastAsia="Calibri" w:hAnsi="Calibri"/>
          <w:b/>
          <w:bCs/>
          <w:color w:val="333A45"/>
          <w:sz w:val="21"/>
          <w:szCs w:val="21"/>
        </w:rPr>
        <w:t xml:space="preserve">a live dispute exists between [ORGANISATION] and the data subject</w:t>
      </w:r>
      <w:r>
        <w:rPr>
          <w:rFonts w:ascii="Calibri" w:cs="Calibri" w:eastAsia="Calibri" w:hAnsi="Calibri"/>
          <w:color w:val="333A45"/>
          <w:sz w:val="21"/>
          <w:szCs w:val="21"/>
        </w:rPr>
        <w:t xml:space="preserve">. Both grounds are recorded with reasons.</w:t>
      </w:r>
    </w:p>
    <w:p>
      <w:pPr>
        <w:spacing w:after="110"/>
      </w:pPr>
      <w:r>
        <w:rPr>
          <w:rFonts w:ascii="Calibri" w:cs="Calibri" w:eastAsia="Calibri" w:hAnsi="Calibri"/>
          <w:color w:val="333A45"/>
          <w:sz w:val="21"/>
          <w:szCs w:val="21"/>
        </w:rPr>
        <w:t xml:space="preserve">A11.5 A </w:t>
      </w:r>
      <w:r>
        <w:rPr>
          <w:rFonts w:ascii="Calibri" w:cs="Calibri" w:eastAsia="Calibri" w:hAnsi="Calibri"/>
          <w:b/>
          <w:bCs/>
          <w:color w:val="333A45"/>
          <w:sz w:val="21"/>
          <w:szCs w:val="21"/>
        </w:rPr>
        <w:t xml:space="preserve">copy</w:t>
      </w:r>
      <w:r>
        <w:rPr>
          <w:rFonts w:ascii="Calibri" w:cs="Calibri" w:eastAsia="Calibri" w:hAnsi="Calibri"/>
          <w:color w:val="333A45"/>
          <w:sz w:val="21"/>
          <w:szCs w:val="21"/>
        </w:rPr>
        <w:t xml:space="preserve"> of processed personal data is provided in a readable and clear format, electronic or paper, </w:t>
      </w:r>
      <w:r>
        <w:rPr>
          <w:rFonts w:ascii="Calibri" w:cs="Calibri" w:eastAsia="Calibri" w:hAnsi="Calibri"/>
          <w:b/>
          <w:bCs/>
          <w:color w:val="333A45"/>
          <w:sz w:val="21"/>
          <w:szCs w:val="21"/>
        </w:rPr>
        <w:t xml:space="preserve">verified to be free of personal data identifying another person</w:t>
      </w:r>
      <w:r>
        <w:rPr>
          <w:rFonts w:ascii="Calibri" w:cs="Calibri" w:eastAsia="Calibri" w:hAnsi="Calibri"/>
          <w:color w:val="333A45"/>
          <w:sz w:val="21"/>
          <w:szCs w:val="21"/>
        </w:rPr>
        <w:t xml:space="preserve">. For AI systems this verification is a real task - transcripts and prompt logs routinely contain third parties - and the committee requires it to be evidenced, not assumed.</w:t>
      </w:r>
    </w:p>
    <w:p>
      <w:pPr>
        <w:spacing w:after="110"/>
      </w:pPr>
      <w:r>
        <w:rPr>
          <w:rFonts w:ascii="Calibri" w:cs="Calibri" w:eastAsia="Calibri" w:hAnsi="Calibri"/>
          <w:color w:val="333A45"/>
          <w:sz w:val="21"/>
          <w:szCs w:val="21"/>
        </w:rPr>
        <w:t xml:space="preserve">A11.6 </w:t>
      </w:r>
      <w:r>
        <w:rPr>
          <w:rFonts w:ascii="Calibri" w:cs="Calibri" w:eastAsia="Calibri" w:hAnsi="Calibri"/>
          <w:b/>
          <w:bCs/>
          <w:color w:val="333A45"/>
          <w:sz w:val="21"/>
          <w:szCs w:val="21"/>
        </w:rPr>
        <w:t xml:space="preserve">Portability</w:t>
      </w:r>
      <w:r>
        <w:rPr>
          <w:rFonts w:ascii="Calibri" w:cs="Calibri" w:eastAsia="Calibri" w:hAnsi="Calibri"/>
          <w:color w:val="333A45"/>
          <w:sz w:val="21"/>
          <w:szCs w:val="21"/>
        </w:rPr>
        <w:t xml:space="preserve"> is to a new controller, and [ORGANISATION] transfers where legally obliged to do so.</w:t>
      </w:r>
    </w:p>
    <w:p>
      <w:pPr>
        <w:spacing w:after="110"/>
      </w:pPr>
      <w:r>
        <w:rPr>
          <w:rFonts w:ascii="Calibri" w:cs="Calibri" w:eastAsia="Calibri" w:hAnsi="Calibri"/>
          <w:color w:val="333A45"/>
          <w:sz w:val="21"/>
          <w:szCs w:val="21"/>
        </w:rPr>
        <w:t xml:space="preserve">A11.7 A system that cannot support access, correction, erasure, restriction and portability against its own stores is not approved for personal data. A5.7 governs the fine-tuning case.</w:t>
      </w:r>
    </w:p>
    <w:p>
      <w:pPr>
        <w:keepNext/>
        <w:pBdr>
          <w:bottom w:val="single" w:color="9DB9E8" w:sz="4" w:space="3"/>
        </w:pBdr>
        <w:spacing w:after="100" w:before="260"/>
      </w:pPr>
      <w:r>
        <w:rPr>
          <w:rFonts w:ascii="Calibri" w:cs="Calibri" w:eastAsia="Calibri" w:hAnsi="Calibri"/>
          <w:b/>
          <w:bCs/>
          <w:color w:val="2E5AAC"/>
          <w:sz w:val="26"/>
          <w:szCs w:val="26"/>
        </w:rPr>
        <w:t xml:space="preserve">A12. Complaints</w:t>
      </w:r>
    </w:p>
    <w:p>
      <w:pPr>
        <w:spacing w:after="110"/>
      </w:pPr>
      <w:r>
        <w:rPr>
          <w:rFonts w:ascii="Calibri" w:cs="Calibri" w:eastAsia="Calibri" w:hAnsi="Calibri"/>
          <w:color w:val="333A45"/>
          <w:sz w:val="21"/>
          <w:szCs w:val="21"/>
        </w:rPr>
        <w:t xml:space="preserve">A12.1 A data subject or other interested person may complain to the Competent Department about any contravention, </w:t>
      </w:r>
      <w:r>
        <w:rPr>
          <w:rFonts w:ascii="Calibri" w:cs="Calibri" w:eastAsia="Calibri" w:hAnsi="Calibri"/>
          <w:b/>
          <w:bCs/>
          <w:color w:val="333A45"/>
          <w:sz w:val="21"/>
          <w:szCs w:val="21"/>
        </w:rPr>
        <w:t xml:space="preserve">within 30 days of certain knowledge of it</w:t>
      </w:r>
      <w:r>
        <w:rPr>
          <w:rFonts w:ascii="Calibri" w:cs="Calibri" w:eastAsia="Calibri" w:hAnsi="Calibri"/>
          <w:color w:val="333A45"/>
          <w:sz w:val="21"/>
          <w:szCs w:val="21"/>
        </w:rPr>
        <w:t xml:space="preserve">, and the Competent Department notifies [ORGANISATION] with a copy </w:t>
      </w:r>
      <w:r>
        <w:rPr>
          <w:rFonts w:ascii="Calibri" w:cs="Calibri" w:eastAsia="Calibri" w:hAnsi="Calibri"/>
          <w:b/>
          <w:bCs/>
          <w:color w:val="333A45"/>
          <w:sz w:val="21"/>
          <w:szCs w:val="21"/>
        </w:rPr>
        <w:t xml:space="preserve">within 7 days</w:t>
      </w:r>
      <w:r>
        <w:rPr>
          <w:rFonts w:ascii="Calibri" w:cs="Calibri" w:eastAsia="Calibri" w:hAnsi="Calibri"/>
          <w:color w:val="333A45"/>
          <w:sz w:val="21"/>
          <w:szCs w:val="21"/>
        </w:rPr>
        <w:t xml:space="preserve"> of submission.</w:t>
      </w:r>
    </w:p>
    <w:p>
      <w:pPr>
        <w:spacing w:after="110"/>
      </w:pPr>
      <w:r>
        <w:rPr>
          <w:rFonts w:ascii="Calibri" w:cs="Calibri" w:eastAsia="Calibri" w:hAnsi="Calibri"/>
          <w:color w:val="333A45"/>
          <w:sz w:val="21"/>
          <w:szCs w:val="21"/>
        </w:rPr>
        <w:t xml:space="preserve">A12.2 [ORGANISATION] has </w:t>
      </w:r>
      <w:r>
        <w:rPr>
          <w:rFonts w:ascii="Calibri" w:cs="Calibri" w:eastAsia="Calibri" w:hAnsi="Calibri"/>
          <w:b/>
          <w:bCs/>
          <w:color w:val="333A45"/>
          <w:sz w:val="21"/>
          <w:szCs w:val="21"/>
        </w:rPr>
        <w:t xml:space="preserve">14 days from being notified</w:t>
      </w:r>
      <w:r>
        <w:rPr>
          <w:rFonts w:ascii="Calibri" w:cs="Calibri" w:eastAsia="Calibri" w:hAnsi="Calibri"/>
          <w:color w:val="333A45"/>
          <w:sz w:val="21"/>
          <w:szCs w:val="21"/>
        </w:rPr>
        <w:t xml:space="preserve"> to reply. </w:t>
      </w:r>
      <w:r>
        <w:rPr>
          <w:rFonts w:ascii="Calibri" w:cs="Calibri" w:eastAsia="Calibri" w:hAnsi="Calibri"/>
          <w:b/>
          <w:bCs/>
          <w:color w:val="333A45"/>
          <w:sz w:val="21"/>
          <w:szCs w:val="21"/>
        </w:rPr>
        <w:t xml:space="preserve">This is the shortest externally imposed deadline in the framework</w:t>
      </w:r>
      <w:r>
        <w:rPr>
          <w:rFonts w:ascii="Calibri" w:cs="Calibri" w:eastAsia="Calibri" w:hAnsi="Calibri"/>
          <w:color w:val="333A45"/>
          <w:sz w:val="21"/>
          <w:szCs w:val="21"/>
        </w:rPr>
        <w:t xml:space="preserve">, and the committee maintains a standing process and an owner so that a complaint arriving during a holiday period does not consume it.</w:t>
      </w:r>
    </w:p>
    <w:p>
      <w:pPr>
        <w:spacing w:after="110"/>
      </w:pPr>
      <w:r>
        <w:rPr>
          <w:rFonts w:ascii="Calibri" w:cs="Calibri" w:eastAsia="Calibri" w:hAnsi="Calibri"/>
          <w:color w:val="333A45"/>
          <w:sz w:val="21"/>
          <w:szCs w:val="21"/>
        </w:rPr>
        <w:t xml:space="preserve">A12.3 The Competent Department decides within </w:t>
      </w:r>
      <w:r>
        <w:rPr>
          <w:rFonts w:ascii="Calibri" w:cs="Calibri" w:eastAsia="Calibri" w:hAnsi="Calibri"/>
          <w:b/>
          <w:bCs/>
          <w:color w:val="333A45"/>
          <w:sz w:val="21"/>
          <w:szCs w:val="21"/>
        </w:rPr>
        <w:t xml:space="preserve">60 days</w:t>
      </w:r>
      <w:r>
        <w:rPr>
          <w:rFonts w:ascii="Calibri" w:cs="Calibri" w:eastAsia="Calibri" w:hAnsi="Calibri"/>
          <w:color w:val="333A45"/>
          <w:sz w:val="21"/>
          <w:szCs w:val="21"/>
        </w:rPr>
        <w:t xml:space="preserve"> from the day after [ORGANISATION]'s reply period expires, and </w:t>
      </w:r>
      <w:r>
        <w:rPr>
          <w:rFonts w:ascii="Calibri" w:cs="Calibri" w:eastAsia="Calibri" w:hAnsi="Calibri"/>
          <w:b/>
          <w:bCs/>
          <w:color w:val="333A45"/>
          <w:sz w:val="21"/>
          <w:szCs w:val="21"/>
        </w:rPr>
        <w:t xml:space="preserve">silence is a rejection of the complaint</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A12.4 The committee reviews every complaint, its reply, and its outcome, and treats a complaint about an AI system as a signal about the system rather than only about the incident.</w:t>
      </w:r>
    </w:p>
    <w:p>
      <w:pPr>
        <w:spacing w:after="110"/>
      </w:pPr>
      <w:r>
        <w:rPr>
          <w:rFonts w:ascii="Calibri" w:cs="Calibri" w:eastAsia="Calibri" w:hAnsi="Calibri"/>
          <w:color w:val="333A45"/>
          <w:sz w:val="21"/>
          <w:szCs w:val="21"/>
        </w:rPr>
        <w:t xml:space="preserve">A12.5 Staff can raise concerns about AI use - inaccuracy, unfair outcome, misuse, or pressure to bypass controls - outside their line management and without detriment, through [speak-up channel]. A concern that personal data may have been exposed is routed to the incident process the same hour, because both notification clocks run from awareness.</w:t>
      </w:r>
    </w:p>
    <w:p>
      <w:pPr>
        <w:keepNext/>
        <w:pBdr>
          <w:bottom w:val="single" w:color="9DB9E8" w:sz="4" w:space="3"/>
        </w:pBdr>
        <w:spacing w:after="100" w:before="260"/>
      </w:pPr>
      <w:r>
        <w:rPr>
          <w:rFonts w:ascii="Calibri" w:cs="Calibri" w:eastAsia="Calibri" w:hAnsi="Calibri"/>
          <w:b/>
          <w:bCs/>
          <w:color w:val="2E5AAC"/>
          <w:sz w:val="26"/>
          <w:szCs w:val="26"/>
        </w:rPr>
        <w:t xml:space="preserve">A13. Exceptions</w:t>
      </w:r>
    </w:p>
    <w:p>
      <w:pPr>
        <w:spacing w:after="110"/>
      </w:pPr>
      <w:r>
        <w:rPr>
          <w:rFonts w:ascii="Calibri" w:cs="Calibri" w:eastAsia="Calibri" w:hAnsi="Calibri"/>
          <w:color w:val="333A45"/>
          <w:sz w:val="21"/>
          <w:szCs w:val="21"/>
        </w:rPr>
        <w:t xml:space="preserve">A13.1 Departures from the policy or this annex require a written exception approved by the annex owner, with the risk accepted in writing by a named senior owner. Exceptions are time-bound (maximum [6 months]), carry compensating controls, and are recorded with expiry dates. The committee reviews the register at every meeting; expired exceptions lapse automatically.</w:t>
      </w:r>
    </w:p>
    <w:p>
      <w:pPr>
        <w:spacing w:after="110"/>
      </w:pPr>
      <w:r>
        <w:rPr>
          <w:rFonts w:ascii="Calibri" w:cs="Calibri" w:eastAsia="Calibri" w:hAnsi="Calibri"/>
          <w:color w:val="333A45"/>
          <w:sz w:val="21"/>
          <w:szCs w:val="21"/>
        </w:rPr>
        <w:t xml:space="preserve">A13.2 </w:t>
      </w:r>
      <w:r>
        <w:rPr>
          <w:rFonts w:ascii="Calibri" w:cs="Calibri" w:eastAsia="Calibri" w:hAnsi="Calibri"/>
          <w:b/>
          <w:bCs/>
          <w:color w:val="333A45"/>
          <w:sz w:val="21"/>
          <w:szCs w:val="21"/>
        </w:rPr>
        <w:t xml:space="preserve">No exception may be granted</w:t>
      </w:r>
      <w:r>
        <w:rPr>
          <w:rFonts w:ascii="Calibri" w:cs="Calibri" w:eastAsia="Calibri" w:hAnsi="Calibri"/>
          <w:color w:val="333A45"/>
          <w:sz w:val="21"/>
          <w:szCs w:val="21"/>
        </w:rPr>
        <w:t xml:space="preserve"> to: process a permit category without a permit; transfer personal data outside Oman otherwise than in accordance with policy Section 17; process a child's data without verified guardian consent; or disable logging or audit evidence.</w:t>
      </w:r>
    </w:p>
    <w:p>
      <w:pPr>
        <w:spacing w:after="110"/>
      </w:pPr>
      <w:r>
        <w:rPr>
          <w:rFonts w:ascii="Calibri" w:cs="Calibri" w:eastAsia="Calibri" w:hAnsi="Calibri"/>
          <w:color w:val="333A45"/>
          <w:sz w:val="21"/>
          <w:szCs w:val="21"/>
        </w:rPr>
        <w:t xml:space="preserve">A13.3 </w:t>
      </w:r>
      <w:r>
        <w:rPr>
          <w:rFonts w:ascii="Calibri" w:cs="Calibri" w:eastAsia="Calibri" w:hAnsi="Calibri"/>
          <w:b/>
          <w:bCs/>
          <w:color w:val="333A45"/>
          <w:sz w:val="21"/>
          <w:szCs w:val="21"/>
        </w:rPr>
        <w:t xml:space="preserve">An internal exception cannot substitute for a ministry decision.</w:t>
      </w:r>
      <w:r>
        <w:rPr>
          <w:rFonts w:ascii="Calibri" w:cs="Calibri" w:eastAsia="Calibri" w:hAnsi="Calibri"/>
          <w:color w:val="333A45"/>
          <w:sz w:val="21"/>
          <w:szCs w:val="21"/>
        </w:rPr>
        <w:t xml:space="preserve"> Where the framework provides for a permit, an approval or a grievance, only the ministry may grant it, and the register records the application and its outcome rather than a self-granted equivalent.</w:t>
      </w:r>
    </w:p>
    <w:p>
      <w:pPr>
        <w:spacing w:after="110"/>
      </w:pPr>
      <w:r>
        <w:rPr>
          <w:rFonts w:ascii="Calibri" w:cs="Calibri" w:eastAsia="Calibri" w:hAnsi="Calibri"/>
          <w:color w:val="333A45"/>
          <w:sz w:val="21"/>
          <w:szCs w:val="21"/>
        </w:rPr>
        <w:t xml:space="preserve">A13.4 Administrative sanctions available to the ministry include </w:t>
      </w:r>
      <w:r>
        <w:rPr>
          <w:rFonts w:ascii="Calibri" w:cs="Calibri" w:eastAsia="Calibri" w:hAnsi="Calibri"/>
          <w:b/>
          <w:bCs/>
          <w:color w:val="333A45"/>
          <w:sz w:val="21"/>
          <w:szCs w:val="21"/>
        </w:rPr>
        <w:t xml:space="preserve">warning, suspension of the permit until the contravention is removed, an administrative fine per contravention, and cancellation of the permit</w:t>
      </w:r>
      <w:r>
        <w:rPr>
          <w:rFonts w:ascii="Calibri" w:cs="Calibri" w:eastAsia="Calibri" w:hAnsi="Calibri"/>
          <w:color w:val="333A45"/>
          <w:sz w:val="21"/>
          <w:szCs w:val="21"/>
        </w:rPr>
        <w:t xml:space="preserve">. A person on whom a sanction is imposed may grieve to the Minister </w:t>
      </w:r>
      <w:r>
        <w:rPr>
          <w:rFonts w:ascii="Calibri" w:cs="Calibri" w:eastAsia="Calibri" w:hAnsi="Calibri"/>
          <w:b/>
          <w:bCs/>
          <w:color w:val="333A45"/>
          <w:sz w:val="21"/>
          <w:szCs w:val="21"/>
        </w:rPr>
        <w:t xml:space="preserve">within 60 days</w:t>
      </w:r>
      <w:r>
        <w:rPr>
          <w:rFonts w:ascii="Calibri" w:cs="Calibri" w:eastAsia="Calibri" w:hAnsi="Calibri"/>
          <w:color w:val="333A45"/>
          <w:sz w:val="21"/>
          <w:szCs w:val="21"/>
        </w:rPr>
        <w:t xml:space="preserve">, and the Minister decides within </w:t>
      </w:r>
      <w:r>
        <w:rPr>
          <w:rFonts w:ascii="Calibri" w:cs="Calibri" w:eastAsia="Calibri" w:hAnsi="Calibri"/>
          <w:b/>
          <w:bCs/>
          <w:color w:val="333A45"/>
          <w:sz w:val="21"/>
          <w:szCs w:val="21"/>
        </w:rPr>
        <w:t xml:space="preserve">30 days</w:t>
      </w:r>
      <w:r>
        <w:rPr>
          <w:rFonts w:ascii="Calibri" w:cs="Calibri" w:eastAsia="Calibri" w:hAnsi="Calibri"/>
          <w:color w:val="333A45"/>
          <w:sz w:val="21"/>
          <w:szCs w:val="21"/>
        </w:rPr>
        <w:t xml:space="preserve">, with silence a rejection. The committee records any sanction and any grievance.</w:t>
      </w:r>
    </w:p>
    <w:p>
      <w:pPr>
        <w:keepNext/>
        <w:pBdr>
          <w:bottom w:val="single" w:color="9DB9E8" w:sz="4" w:space="3"/>
        </w:pBdr>
        <w:spacing w:after="100" w:before="260"/>
      </w:pPr>
      <w:r>
        <w:rPr>
          <w:rFonts w:ascii="Calibri" w:cs="Calibri" w:eastAsia="Calibri" w:hAnsi="Calibri"/>
          <w:b/>
          <w:bCs/>
          <w:color w:val="2E5AAC"/>
          <w:sz w:val="26"/>
          <w:szCs w:val="26"/>
        </w:rPr>
        <w:t xml:space="preserve">A14. Agentic AI</w:t>
      </w:r>
    </w:p>
    <w:p>
      <w:pPr>
        <w:spacing w:after="110"/>
      </w:pPr>
      <w:r>
        <w:rPr>
          <w:rFonts w:ascii="Calibri" w:cs="Calibri" w:eastAsia="Calibri" w:hAnsi="Calibri"/>
          <w:color w:val="333A45"/>
          <w:sz w:val="21"/>
          <w:szCs w:val="21"/>
        </w:rPr>
        <w:t xml:space="preserve">A14.1 AI agents operate under their own credentials with least-privilege access. A person's own credentials must never be given to an agent.</w:t>
      </w:r>
    </w:p>
    <w:p>
      <w:pPr>
        <w:spacing w:after="110"/>
      </w:pPr>
      <w:r>
        <w:rPr>
          <w:rFonts w:ascii="Calibri" w:cs="Calibri" w:eastAsia="Calibri" w:hAnsi="Calibri"/>
          <w:color w:val="333A45"/>
          <w:sz w:val="21"/>
          <w:szCs w:val="21"/>
        </w:rPr>
        <w:t xml:space="preserve">A14.2 </w:t>
      </w:r>
      <w:r>
        <w:rPr>
          <w:rFonts w:ascii="Calibri" w:cs="Calibri" w:eastAsia="Calibri" w:hAnsi="Calibri"/>
          <w:b/>
          <w:bCs/>
          <w:color w:val="333A45"/>
          <w:sz w:val="21"/>
          <w:szCs w:val="21"/>
        </w:rPr>
        <w:t xml:space="preserve">An agent's reachable data set is classified in advance</w:t>
      </w:r>
      <w:r>
        <w:rPr>
          <w:rFonts w:ascii="Calibri" w:cs="Calibri" w:eastAsia="Calibri" w:hAnsi="Calibri"/>
          <w:color w:val="333A45"/>
          <w:sz w:val="21"/>
          <w:szCs w:val="21"/>
        </w:rPr>
        <w:t xml:space="preserve">, and an agent must not be able to reach a permit category unless the permit covers it and the agent is within the approved tooling.</w:t>
      </w:r>
    </w:p>
    <w:p>
      <w:pPr>
        <w:spacing w:after="110"/>
      </w:pPr>
      <w:r>
        <w:rPr>
          <w:rFonts w:ascii="Calibri" w:cs="Calibri" w:eastAsia="Calibri" w:hAnsi="Calibri"/>
          <w:color w:val="333A45"/>
          <w:sz w:val="21"/>
          <w:szCs w:val="21"/>
        </w:rPr>
        <w:t xml:space="preserve">A14.3 </w:t>
      </w:r>
      <w:r>
        <w:rPr>
          <w:rFonts w:ascii="Calibri" w:cs="Calibri" w:eastAsia="Calibri" w:hAnsi="Calibri"/>
          <w:b/>
          <w:bCs/>
          <w:color w:val="333A45"/>
          <w:sz w:val="21"/>
          <w:szCs w:val="21"/>
        </w:rPr>
        <w:t xml:space="preserve">An agent must not be able to move personal data outside Oman</w:t>
      </w:r>
      <w:r>
        <w:rPr>
          <w:rFonts w:ascii="Calibri" w:cs="Calibri" w:eastAsia="Calibri" w:hAnsi="Calibri"/>
          <w:color w:val="333A45"/>
          <w:sz w:val="21"/>
          <w:szCs w:val="21"/>
        </w:rPr>
        <w:t xml:space="preserve"> other than to a destination in the Transfer Register with a current assessment. Where an agent can select its own tools or data sources, the committee assesses whether it can reach an unassessed destination at all, and constrains it if so.</w:t>
      </w:r>
    </w:p>
    <w:p>
      <w:pPr>
        <w:spacing w:after="110"/>
      </w:pPr>
      <w:r>
        <w:rPr>
          <w:rFonts w:ascii="Calibri" w:cs="Calibri" w:eastAsia="Calibri" w:hAnsi="Calibri"/>
          <w:color w:val="333A45"/>
          <w:sz w:val="21"/>
          <w:szCs w:val="21"/>
        </w:rPr>
        <w:t xml:space="preserve">A14.4 Consequential actions - payments, external communications, changes to records about people, code deployment, publication, deletion - require a human checkpoint before execution unless the committee has expressly approved autonomous operation for that action and system.</w:t>
      </w:r>
    </w:p>
    <w:p>
      <w:pPr>
        <w:spacing w:after="110"/>
      </w:pPr>
      <w:r>
        <w:rPr>
          <w:rFonts w:ascii="Calibri" w:cs="Calibri" w:eastAsia="Calibri" w:hAnsi="Calibri"/>
          <w:color w:val="333A45"/>
          <w:sz w:val="21"/>
          <w:szCs w:val="21"/>
        </w:rPr>
        <w:t xml:space="preserve">A14.5 An agent must not delete personal data subject to a live request, an open incident, or a retention obligation.</w:t>
      </w:r>
    </w:p>
    <w:p>
      <w:pPr>
        <w:spacing w:after="110"/>
      </w:pPr>
      <w:r>
        <w:rPr>
          <w:rFonts w:ascii="Calibri" w:cs="Calibri" w:eastAsia="Calibri" w:hAnsi="Calibri"/>
          <w:color w:val="333A45"/>
          <w:sz w:val="21"/>
          <w:szCs w:val="21"/>
        </w:rPr>
        <w:t xml:space="preserve">A14.6 Agent activity is logged and attributable to a named human owner; sessions are bounded in scope and duration; every agent has a documented means of immediate suspension.</w:t>
      </w:r>
    </w:p>
    <w:p>
      <w:pPr>
        <w:spacing w:after="110"/>
      </w:pPr>
      <w:r>
        <w:rPr>
          <w:rFonts w:ascii="Calibri" w:cs="Calibri" w:eastAsia="Calibri" w:hAnsi="Calibri"/>
          <w:color w:val="333A45"/>
          <w:sz w:val="21"/>
          <w:szCs w:val="21"/>
        </w:rPr>
        <w:t xml:space="preserve">A14.7 Content an agent ingests from outside [ORGANISATION] is treated as untrusted input, including instructions embedded in that content.</w:t>
      </w:r>
    </w:p>
    <w:p>
      <w:pPr>
        <w:keepNext/>
        <w:pBdr>
          <w:bottom w:val="single" w:color="9DB9E8" w:sz="4" w:space="3"/>
        </w:pBdr>
        <w:spacing w:after="100" w:before="260"/>
      </w:pPr>
      <w:r>
        <w:rPr>
          <w:rFonts w:ascii="Calibri" w:cs="Calibri" w:eastAsia="Calibri" w:hAnsi="Calibri"/>
          <w:b/>
          <w:bCs/>
          <w:color w:val="2E5AAC"/>
          <w:sz w:val="26"/>
          <w:szCs w:val="26"/>
        </w:rPr>
        <w:t xml:space="preserve">A15. What this annex does not assert</w:t>
      </w:r>
    </w:p>
    <w:p>
      <w:pPr>
        <w:spacing w:after="110"/>
      </w:pPr>
      <w:r>
        <w:rPr>
          <w:rFonts w:ascii="Calibri" w:cs="Calibri" w:eastAsia="Calibri" w:hAnsi="Calibri"/>
          <w:color w:val="333A45"/>
          <w:sz w:val="21"/>
          <w:szCs w:val="21"/>
        </w:rPr>
        <w:t xml:space="preserve">A15.1 This annex rests on the personal data protection law, its executive regulations and the national AI policy, all held in full.</w:t>
      </w:r>
    </w:p>
    <w:p>
      <w:pPr>
        <w:spacing w:after="110"/>
      </w:pPr>
      <w:r>
        <w:rPr>
          <w:rFonts w:ascii="Calibri" w:cs="Calibri" w:eastAsia="Calibri" w:hAnsi="Calibri"/>
          <w:color w:val="333A45"/>
          <w:sz w:val="21"/>
          <w:szCs w:val="21"/>
        </w:rPr>
        <w:t xml:space="preserve">A15.2 It does </w:t>
      </w:r>
      <w:r>
        <w:rPr>
          <w:rFonts w:ascii="Calibri" w:cs="Calibri" w:eastAsia="Calibri" w:hAnsi="Calibri"/>
          <w:b/>
          <w:bCs/>
          <w:color w:val="333A45"/>
          <w:sz w:val="21"/>
          <w:szCs w:val="21"/>
        </w:rPr>
        <w:t xml:space="preserve">not</w:t>
      </w:r>
      <w:r>
        <w:rPr>
          <w:rFonts w:ascii="Calibri" w:cs="Calibri" w:eastAsia="Calibri" w:hAnsi="Calibri"/>
          <w:color w:val="333A45"/>
          <w:sz w:val="21"/>
          <w:szCs w:val="21"/>
        </w:rPr>
        <w:t xml:space="preserve"> state any requirement of [ORGANISATION]'s sector regulator, of the national data governance and management regulatory framework, of the national records law, of the cybercrime law, of the IT risk management framework, or of the national AI and advanced digital technologies programme. </w:t>
      </w:r>
      <w:r>
        <w:rPr>
          <w:rFonts w:ascii="Calibri" w:cs="Calibri" w:eastAsia="Calibri" w:hAnsi="Calibri"/>
          <w:b/>
          <w:bCs/>
          <w:color w:val="333A45"/>
          <w:sz w:val="21"/>
          <w:szCs w:val="21"/>
        </w:rPr>
        <w:t xml:space="preserve">None of those is held</w:t>
      </w:r>
      <w:r>
        <w:rPr>
          <w:rFonts w:ascii="Calibri" w:cs="Calibri" w:eastAsia="Calibri" w:hAnsi="Calibri"/>
          <w:color w:val="333A45"/>
          <w:sz w:val="21"/>
          <w:szCs w:val="21"/>
        </w:rPr>
        <w:t xml:space="preserve">, and the national AI policy names several of them as related issuances.</w:t>
      </w:r>
    </w:p>
    <w:p>
      <w:pPr>
        <w:spacing w:after="110"/>
      </w:pPr>
      <w:r>
        <w:rPr>
          <w:rFonts w:ascii="Calibri" w:cs="Calibri" w:eastAsia="Calibri" w:hAnsi="Calibri"/>
          <w:color w:val="333A45"/>
          <w:sz w:val="21"/>
          <w:szCs w:val="21"/>
        </w:rPr>
        <w:t xml:space="preserve">A15.3 It does not state the competences of the Electronic Defence Centre, which the law expressly preserves.</w:t>
      </w:r>
    </w:p>
    <w:p>
      <w:pPr>
        <w:spacing w:after="110"/>
      </w:pPr>
      <w:r>
        <w:rPr>
          <w:rFonts w:ascii="Calibri" w:cs="Calibri" w:eastAsia="Calibri" w:hAnsi="Calibri"/>
          <w:color w:val="333A45"/>
          <w:sz w:val="21"/>
          <w:szCs w:val="21"/>
        </w:rPr>
        <w:t xml:space="preserve">A15.4 </w:t>
      </w:r>
      <w:r>
        <w:rPr>
          <w:rFonts w:ascii="Calibri" w:cs="Calibri" w:eastAsia="Calibri" w:hAnsi="Calibri"/>
          <w:b/>
          <w:bCs/>
          <w:color w:val="333A45"/>
          <w:sz w:val="21"/>
          <w:szCs w:val="21"/>
        </w:rPr>
        <w:t xml:space="preserve">It does not apply to units of the State's administrative apparatus</w:t>
      </w:r>
      <w:r>
        <w:rPr>
          <w:rFonts w:ascii="Calibri" w:cs="Calibri" w:eastAsia="Calibri" w:hAnsi="Calibri"/>
          <w:color w:val="333A45"/>
          <w:sz w:val="21"/>
          <w:szCs w:val="21"/>
        </w:rPr>
        <w:t xml:space="preserve">, which are governed by a separate national personal data protection policy. That instrument is held and would be the basis of a separate government-sector document.</w:t>
      </w:r>
    </w:p>
    <w:p>
      <w:pPr>
        <w:spacing w:after="110"/>
      </w:pPr>
      <w:r>
        <w:rPr>
          <w:rFonts w:ascii="Calibri" w:cs="Calibri" w:eastAsia="Calibri" w:hAnsi="Calibri"/>
          <w:color w:val="333A45"/>
          <w:sz w:val="21"/>
          <w:szCs w:val="21"/>
        </w:rPr>
        <w:t xml:space="preserve">A15.5 </w:t>
      </w:r>
      <w:r>
        <w:rPr>
          <w:rFonts w:ascii="Calibri" w:cs="Calibri" w:eastAsia="Calibri" w:hAnsi="Calibri"/>
          <w:b/>
          <w:bCs/>
          <w:color w:val="333A45"/>
          <w:sz w:val="21"/>
          <w:szCs w:val="21"/>
        </w:rPr>
        <w:t xml:space="preserve">The committee treats obtaining the sector regulator's issuances as a standing action</w:t>
      </w:r>
      <w:r>
        <w:rPr>
          <w:rFonts w:ascii="Calibri" w:cs="Calibri" w:eastAsia="Calibri" w:hAnsi="Calibri"/>
          <w:color w:val="333A45"/>
          <w:sz w:val="21"/>
          <w:szCs w:val="21"/>
        </w:rPr>
        <w:t xml:space="preserve">, because for a private-sector institution that regulator - not the issuing ministry - monitors compliance with the national AI policy.</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annex, published 3 September 2026; written from the enacted Arabic texts and checked against MTCIT's official English texts, per the research note and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Omani personal data protection law and national AI policy as set out in the accompanying research note, and must be reviewed by the Personal Data Protection Officer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 Enterprise Annex - Sultanate of Oman</dc:title>
  <dc:creator>Narendra Karki</dc:creator>
  <cp:lastModifiedBy>Narendra Karki</cp:lastModifiedBy>
  <cp:revision>1</cp:revision>
  <dcterms:created xsi:type="dcterms:W3CDTF">2026-09-03T08:24:43.712Z</dcterms:created>
  <dcterms:modified xsi:type="dcterms:W3CDTF">2026-09-03T08:24:43.712Z</dcterms:modified>
</cp:coreProperties>
</file>

<file path=docProps/custom.xml><?xml version="1.0" encoding="utf-8"?>
<Properties xmlns="http://schemas.openxmlformats.org/officeDocument/2006/custom-properties" xmlns:vt="http://schemas.openxmlformats.org/officeDocument/2006/docPropsVTypes"/>
</file>