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AAC" w:sz="12" w:space="6"/>
        </w:pBdr>
        <w:spacing w:after="60"/>
      </w:pPr>
      <w:r>
        <w:rPr>
          <w:rFonts w:ascii="Calibri" w:cs="Calibri" w:eastAsia="Calibri" w:hAnsi="Calibri"/>
          <w:b/>
          <w:bCs/>
          <w:color w:val="1F3864"/>
          <w:sz w:val="42"/>
          <w:szCs w:val="42"/>
        </w:rPr>
        <w:t xml:space="preserve">Source register - Sultanate of Oman AI policy set</w:t>
      </w:r>
    </w:p>
    <w:p>
      <w:pPr>
        <w:spacing w:after="110"/>
      </w:pPr>
      <w:r>
        <w:rPr>
          <w:rFonts w:ascii="Calibri" w:cs="Calibri" w:eastAsia="Calibri" w:hAnsi="Calibri"/>
          <w:color w:val="333A45"/>
          <w:sz w:val="21"/>
          <w:szCs w:val="21"/>
        </w:rPr>
        <w:t xml:space="preserve">Every document referred to, used, or deliberately not used in producing the Oman AI Acceptable Use Policy v1.0, the Enterprise Annex v1.0, and the research note.</w:t>
      </w:r>
    </w:p>
    <w:p>
      <w:pPr>
        <w:spacing w:after="110"/>
      </w:pPr>
      <w:r>
        <w:rPr>
          <w:rFonts w:ascii="Calibri" w:cs="Calibri" w:eastAsia="Calibri" w:hAnsi="Calibri"/>
          <w:color w:val="333A45"/>
          <w:sz w:val="21"/>
          <w:szCs w:val="21"/>
        </w:rPr>
        <w:t xml:space="preserve">State as at 3 September 2026. Hashes are SHA-256 of the file as supplied, truncated to 16 characters.</w:t>
      </w:r>
    </w:p>
    <w:p>
      <w:pPr>
        <w:keepNext/>
        <w:pBdr>
          <w:bottom w:val="single" w:color="9DB9E8" w:sz="4" w:space="3"/>
        </w:pBdr>
        <w:spacing w:after="100" w:before="260"/>
      </w:pPr>
      <w:r>
        <w:rPr>
          <w:rFonts w:ascii="Calibri" w:cs="Calibri" w:eastAsia="Calibri" w:hAnsi="Calibri"/>
          <w:b/>
          <w:bCs/>
          <w:color w:val="2E5AAC"/>
          <w:sz w:val="26"/>
          <w:szCs w:val="26"/>
        </w:rPr>
        <w:t xml:space="preserve">0. Read this first</w:t>
      </w:r>
    </w:p>
    <w:p>
      <w:pPr>
        <w:spacing w:after="110"/>
      </w:pPr>
      <w:r>
        <w:rPr>
          <w:rFonts w:ascii="Calibri" w:cs="Calibri" w:eastAsia="Calibri" w:hAnsi="Calibri"/>
          <w:b/>
          <w:bCs/>
          <w:color w:val="333A45"/>
          <w:sz w:val="21"/>
          <w:szCs w:val="21"/>
        </w:rPr>
        <w:t xml:space="preserve">Oman is among the best-resourced jurisdictions in this series</w:t>
      </w:r>
      <w:r>
        <w:rPr>
          <w:rFonts w:ascii="Calibri" w:cs="Calibri" w:eastAsia="Calibri" w:hAnsi="Calibri"/>
          <w:color w:val="333A45"/>
          <w:sz w:val="21"/>
          <w:szCs w:val="21"/>
        </w:rPr>
        <w:t xml:space="preserve">: a </w:t>
      </w:r>
      <w:r>
        <w:rPr>
          <w:rFonts w:ascii="Calibri" w:cs="Calibri" w:eastAsia="Calibri" w:hAnsi="Calibri"/>
          <w:b/>
          <w:bCs/>
          <w:color w:val="333A45"/>
          <w:sz w:val="21"/>
          <w:szCs w:val="21"/>
        </w:rPr>
        <w:t xml:space="preserve">comprehensive data protection law, its executive regulations, and a national AI policy</w:t>
      </w:r>
      <w:r>
        <w:rPr>
          <w:rFonts w:ascii="Calibri" w:cs="Calibri" w:eastAsia="Calibri" w:hAnsi="Calibri"/>
          <w:color w:val="333A45"/>
          <w:sz w:val="21"/>
          <w:szCs w:val="21"/>
        </w:rPr>
        <w:t xml:space="preserve"> - all held in full, all current, none of it pending commencement.</w:t>
      </w:r>
    </w:p>
    <w:p>
      <w:pPr>
        <w:spacing w:after="110"/>
      </w:pPr>
      <w:r>
        <w:rPr>
          <w:rFonts w:ascii="Calibri" w:cs="Calibri" w:eastAsia="Calibri" w:hAnsi="Calibri"/>
          <w:color w:val="333A45"/>
          <w:sz w:val="21"/>
          <w:szCs w:val="21"/>
        </w:rPr>
        <w:t xml:space="preserve">Two consequences follow. The policy set states AI obligations that are </w:t>
      </w:r>
      <w:r>
        <w:rPr>
          <w:rFonts w:ascii="Calibri" w:cs="Calibri" w:eastAsia="Calibri" w:hAnsi="Calibri"/>
          <w:b/>
          <w:bCs/>
          <w:color w:val="333A45"/>
          <w:sz w:val="21"/>
          <w:szCs w:val="21"/>
        </w:rPr>
        <w:t xml:space="preserve">actually AI obligations</w:t>
      </w:r>
      <w:r>
        <w:rPr>
          <w:rFonts w:ascii="Calibri" w:cs="Calibri" w:eastAsia="Calibri" w:hAnsi="Calibri"/>
          <w:color w:val="333A45"/>
          <w:sz w:val="21"/>
          <w:szCs w:val="21"/>
        </w:rPr>
        <w:t xml:space="preserve">, not general data protection duties applied to AI by analogy. And the set contains </w:t>
      </w:r>
      <w:r>
        <w:rPr>
          <w:rFonts w:ascii="Calibri" w:cs="Calibri" w:eastAsia="Calibri" w:hAnsi="Calibri"/>
          <w:b/>
          <w:bCs/>
          <w:color w:val="333A45"/>
          <w:sz w:val="21"/>
          <w:szCs w:val="21"/>
        </w:rPr>
        <w:t xml:space="preserve">no commencement-readiness register</w:t>
      </w:r>
      <w:r>
        <w:rPr>
          <w:rFonts w:ascii="Calibri" w:cs="Calibri" w:eastAsia="Calibri" w:hAnsi="Calibri"/>
          <w:color w:val="333A45"/>
          <w:sz w:val="21"/>
          <w:szCs w:val="21"/>
        </w:rPr>
        <w:t xml:space="preserve">, because there is nothing left to be ready for: the one-year conformity deadline under the Executive Regulations expired in early 2025.</w:t>
      </w:r>
    </w:p>
    <w:p>
      <w:pPr>
        <w:spacing w:after="110"/>
      </w:pPr>
      <w:r>
        <w:rPr>
          <w:rFonts w:ascii="Calibri" w:cs="Calibri" w:eastAsia="Calibri" w:hAnsi="Calibri"/>
          <w:b/>
          <w:bCs/>
          <w:color w:val="333A45"/>
          <w:sz w:val="21"/>
          <w:szCs w:val="21"/>
        </w:rPr>
        <w:t xml:space="preserve">Both language versions are held.</w:t>
      </w:r>
      <w:r>
        <w:rPr>
          <w:rFonts w:ascii="Calibri" w:cs="Calibri" w:eastAsia="Calibri" w:hAnsi="Calibri"/>
          <w:color w:val="333A45"/>
          <w:sz w:val="21"/>
          <w:szCs w:val="21"/>
        </w:rPr>
        <w:t xml:space="preserve"> The Arabic is the enacted text and therefore the authority. </w:t>
      </w:r>
      <w:r>
        <w:rPr>
          <w:rFonts w:ascii="Calibri" w:cs="Calibri" w:eastAsia="Calibri" w:hAnsi="Calibri"/>
          <w:b/>
          <w:bCs/>
          <w:color w:val="333A45"/>
          <w:sz w:val="21"/>
          <w:szCs w:val="21"/>
        </w:rPr>
        <w:t xml:space="preserve">MTCIT's official English texts of the Law, the Executive Regulations and the AI Policy are also held</w:t>
      </w:r>
      <w:r>
        <w:rPr>
          <w:rFonts w:ascii="Calibri" w:cs="Calibri" w:eastAsia="Calibri" w:hAnsi="Calibri"/>
          <w:color w:val="333A45"/>
          <w:sz w:val="21"/>
          <w:szCs w:val="21"/>
        </w:rPr>
        <w:t xml:space="preserve">, and every substantive assertion in this set has been checked against them. Terminology throughout now follows MTCIT's own English. Section 4 records what the check found, including where the two versions differ.</w:t>
      </w:r>
    </w:p>
    <w:p>
      <w:pPr>
        <w:keepNext/>
        <w:pBdr>
          <w:bottom w:val="single" w:color="9DB9E8" w:sz="4" w:space="3"/>
        </w:pBdr>
        <w:spacing w:after="100" w:before="260"/>
      </w:pPr>
      <w:r>
        <w:rPr>
          <w:rFonts w:ascii="Calibri" w:cs="Calibri" w:eastAsia="Calibri" w:hAnsi="Calibri"/>
          <w:b/>
          <w:bCs/>
          <w:color w:val="2E5AAC"/>
          <w:sz w:val="26"/>
          <w:szCs w:val="26"/>
        </w:rPr>
        <w:t xml:space="preserve">1. HELD AND CITED</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2250"/>
        <w:gridCol w:w="2250"/>
        <w:gridCol w:w="2250"/>
        <w:gridCol w:w="2250"/>
      </w:tblGrid>
      <w:tr>
        <w:trPr>
          <w:tblHeader/>
        </w:trPr>
        <w:tc>
          <w:tcPr>
            <w:tcW w:type="dxa" w:w="225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t>
            </w:r>
          </w:p>
        </w:tc>
        <w:tc>
          <w:tcPr>
            <w:tcW w:type="dxa" w:w="225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Instrument</w:t>
            </w:r>
          </w:p>
        </w:tc>
        <w:tc>
          <w:tcPr>
            <w:tcW w:type="dxa" w:w="225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Reference</w:t>
            </w:r>
          </w:p>
        </w:tc>
        <w:tc>
          <w:tcPr>
            <w:tcW w:type="dxa" w:w="225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SHA-256</w:t>
            </w:r>
          </w:p>
        </w:tc>
      </w:tr>
      <w:tr>
        <w:trPr>
          <w:tblHeader w:val="false"/>
        </w:trPr>
        <w:tc>
          <w:tcPr>
            <w:tcW w:type="dxa" w:w="225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c>
          <w:tcPr>
            <w:tcW w:type="dxa" w:w="225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Personal Data Protection Law</w:t>
            </w:r>
          </w:p>
        </w:tc>
        <w:tc>
          <w:tcPr>
            <w:tcW w:type="dxa" w:w="225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Royal Decree </w:t>
            </w:r>
            <w:r>
              <w:rPr>
                <w:rFonts w:ascii="Calibri" w:cs="Calibri" w:eastAsia="Calibri" w:hAnsi="Calibri"/>
                <w:b/>
                <w:bCs/>
                <w:color w:val="333A45"/>
                <w:sz w:val="19"/>
                <w:szCs w:val="19"/>
              </w:rPr>
              <w:t xml:space="preserve">6/2022</w:t>
            </w:r>
            <w:r>
              <w:rPr>
                <w:rFonts w:ascii="Calibri" w:cs="Calibri" w:eastAsia="Calibri" w:hAnsi="Calibri"/>
                <w:color w:val="333A45"/>
                <w:sz w:val="19"/>
                <w:szCs w:val="19"/>
              </w:rPr>
              <w:t xml:space="preserve">, 7 Rajab 1443 H / </w:t>
            </w:r>
            <w:r>
              <w:rPr>
                <w:rFonts w:ascii="Calibri" w:cs="Calibri" w:eastAsia="Calibri" w:hAnsi="Calibri"/>
                <w:b/>
                <w:bCs/>
                <w:color w:val="333A45"/>
                <w:sz w:val="19"/>
                <w:szCs w:val="19"/>
              </w:rPr>
              <w:t xml:space="preserve">9 February 2022</w:t>
            </w:r>
            <w:r>
              <w:rPr>
                <w:rFonts w:ascii="Calibri" w:cs="Calibri" w:eastAsia="Calibri" w:hAnsi="Calibri"/>
                <w:color w:val="333A45"/>
                <w:sz w:val="19"/>
                <w:szCs w:val="19"/>
              </w:rPr>
              <w:t xml:space="preserve">. Official Gazette </w:t>
            </w:r>
            <w:r>
              <w:rPr>
                <w:rFonts w:ascii="Calibri" w:cs="Calibri" w:eastAsia="Calibri" w:hAnsi="Calibri"/>
                <w:b/>
                <w:bCs/>
                <w:color w:val="333A45"/>
                <w:sz w:val="19"/>
                <w:szCs w:val="19"/>
              </w:rPr>
              <w:t xml:space="preserve">1429</w:t>
            </w:r>
            <w:r>
              <w:rPr>
                <w:rFonts w:ascii="Calibri" w:cs="Calibri" w:eastAsia="Calibri" w:hAnsi="Calibri"/>
                <w:color w:val="333A45"/>
                <w:sz w:val="19"/>
                <w:szCs w:val="19"/>
              </w:rPr>
              <w:t xml:space="preserve">. 5 chapters, </w:t>
            </w:r>
            <w:r>
              <w:rPr>
                <w:rFonts w:ascii="Calibri" w:cs="Calibri" w:eastAsia="Calibri" w:hAnsi="Calibri"/>
                <w:b/>
                <w:bCs/>
                <w:color w:val="333A45"/>
                <w:sz w:val="19"/>
                <w:szCs w:val="19"/>
              </w:rPr>
              <w:t xml:space="preserve">32 articles</w:t>
            </w:r>
            <w:r>
              <w:rPr>
                <w:rFonts w:ascii="Calibri" w:cs="Calibri" w:eastAsia="Calibri" w:hAnsi="Calibri"/>
                <w:color w:val="333A45"/>
                <w:sz w:val="19"/>
                <w:szCs w:val="19"/>
              </w:rPr>
              <w:t xml:space="preserve">, 10 pp</w:t>
            </w:r>
          </w:p>
        </w:tc>
        <w:tc>
          <w:tcPr>
            <w:tcW w:type="dxa" w:w="225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a7fde9fff58e5e9d</w:t>
            </w:r>
          </w:p>
        </w:tc>
      </w:tr>
      <w:tr>
        <w:trPr>
          <w:tblHeader w:val="false"/>
        </w:trPr>
        <w:tc>
          <w:tcPr>
            <w:tcW w:type="dxa" w:w="225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w:t>
            </w:r>
          </w:p>
        </w:tc>
        <w:tc>
          <w:tcPr>
            <w:tcW w:type="dxa" w:w="225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Executive Regulations of the Personal Data Protection Law</w:t>
            </w:r>
          </w:p>
        </w:tc>
        <w:tc>
          <w:tcPr>
            <w:tcW w:type="dxa" w:w="225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Ministerial Decision </w:t>
            </w:r>
            <w:r>
              <w:rPr>
                <w:rFonts w:ascii="Calibri" w:cs="Calibri" w:eastAsia="Calibri" w:hAnsi="Calibri"/>
                <w:b/>
                <w:bCs/>
                <w:color w:val="333A45"/>
                <w:sz w:val="19"/>
                <w:szCs w:val="19"/>
              </w:rPr>
              <w:t xml:space="preserve">34/2024</w:t>
            </w:r>
            <w:r>
              <w:rPr>
                <w:rFonts w:ascii="Calibri" w:cs="Calibri" w:eastAsia="Calibri" w:hAnsi="Calibri"/>
                <w:color w:val="333A45"/>
                <w:sz w:val="19"/>
                <w:szCs w:val="19"/>
              </w:rPr>
              <w:t xml:space="preserve">, MTCIT, 16 Rajab 1445 H / </w:t>
            </w:r>
            <w:r>
              <w:rPr>
                <w:rFonts w:ascii="Calibri" w:cs="Calibri" w:eastAsia="Calibri" w:hAnsi="Calibri"/>
                <w:b/>
                <w:bCs/>
                <w:color w:val="333A45"/>
                <w:sz w:val="19"/>
                <w:szCs w:val="19"/>
              </w:rPr>
              <w:t xml:space="preserve">28 January 2024</w:t>
            </w:r>
            <w:r>
              <w:rPr>
                <w:rFonts w:ascii="Calibri" w:cs="Calibri" w:eastAsia="Calibri" w:hAnsi="Calibri"/>
                <w:color w:val="333A45"/>
                <w:sz w:val="19"/>
                <w:szCs w:val="19"/>
              </w:rPr>
              <w:t xml:space="preserve">. Official Gazette </w:t>
            </w:r>
            <w:r>
              <w:rPr>
                <w:rFonts w:ascii="Calibri" w:cs="Calibri" w:eastAsia="Calibri" w:hAnsi="Calibri"/>
                <w:b/>
                <w:bCs/>
                <w:color w:val="333A45"/>
                <w:sz w:val="19"/>
                <w:szCs w:val="19"/>
              </w:rPr>
              <w:t xml:space="preserve">1531</w:t>
            </w:r>
            <w:r>
              <w:rPr>
                <w:rFonts w:ascii="Calibri" w:cs="Calibri" w:eastAsia="Calibri" w:hAnsi="Calibri"/>
                <w:color w:val="333A45"/>
                <w:sz w:val="19"/>
                <w:szCs w:val="19"/>
              </w:rPr>
              <w:t xml:space="preserve">. 9 chapters, </w:t>
            </w:r>
            <w:r>
              <w:rPr>
                <w:rFonts w:ascii="Calibri" w:cs="Calibri" w:eastAsia="Calibri" w:hAnsi="Calibri"/>
                <w:b/>
                <w:bCs/>
                <w:color w:val="333A45"/>
                <w:sz w:val="19"/>
                <w:szCs w:val="19"/>
              </w:rPr>
              <w:t xml:space="preserve">45 articles</w:t>
            </w:r>
            <w:r>
              <w:rPr>
                <w:rFonts w:ascii="Calibri" w:cs="Calibri" w:eastAsia="Calibri" w:hAnsi="Calibri"/>
                <w:color w:val="333A45"/>
                <w:sz w:val="19"/>
                <w:szCs w:val="19"/>
              </w:rPr>
              <w:t xml:space="preserve">, 14 pp</w:t>
            </w:r>
          </w:p>
        </w:tc>
        <w:tc>
          <w:tcPr>
            <w:tcW w:type="dxa" w:w="225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43fdb2a30ab82b2c</w:t>
            </w:r>
          </w:p>
        </w:tc>
      </w:tr>
      <w:tr>
        <w:trPr>
          <w:tblHeader w:val="false"/>
        </w:trPr>
        <w:tc>
          <w:tcPr>
            <w:tcW w:type="dxa" w:w="225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3</w:t>
            </w:r>
          </w:p>
        </w:tc>
        <w:tc>
          <w:tcPr>
            <w:tcW w:type="dxa" w:w="225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General Policy for the Safe and Ethical Use of Artificial Intelligence Systems</w:t>
            </w:r>
          </w:p>
        </w:tc>
        <w:tc>
          <w:tcPr>
            <w:tcW w:type="dxa" w:w="225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MTCIT, Directorate General of Policies and Governance. </w:t>
            </w:r>
            <w:r>
              <w:rPr>
                <w:rFonts w:ascii="Calibri" w:cs="Calibri" w:eastAsia="Calibri" w:hAnsi="Calibri"/>
                <w:b/>
                <w:bCs/>
                <w:color w:val="333A45"/>
                <w:sz w:val="19"/>
                <w:szCs w:val="19"/>
              </w:rPr>
              <w:t xml:space="preserve">First edition, April 2025</w:t>
            </w:r>
            <w:r>
              <w:rPr>
                <w:rFonts w:ascii="Calibri" w:cs="Calibri" w:eastAsia="Calibri" w:hAnsi="Calibri"/>
                <w:color w:val="333A45"/>
                <w:sz w:val="19"/>
                <w:szCs w:val="19"/>
              </w:rPr>
              <w:t xml:space="preserve">; document record version 0.1, 2025. 29 pp</w:t>
            </w:r>
          </w:p>
        </w:tc>
        <w:tc>
          <w:tcPr>
            <w:tcW w:type="dxa" w:w="225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debb42b888083a3a</w:t>
            </w:r>
          </w:p>
        </w:tc>
      </w:tr>
    </w:tbl>
    <w:p>
      <w:pPr>
        <w:spacing w:after="120"/>
      </w:pPr>
    </w:p>
    <w:p>
      <w:pPr>
        <w:keepNext/>
        <w:spacing w:after="80" w:before="200"/>
      </w:pPr>
      <w:r>
        <w:rPr>
          <w:rFonts w:ascii="Calibri" w:cs="Calibri" w:eastAsia="Calibri" w:hAnsi="Calibri"/>
          <w:b/>
          <w:bCs/>
          <w:color w:val="1F3864"/>
          <w:sz w:val="22"/>
          <w:szCs w:val="22"/>
        </w:rPr>
        <w:t xml:space="preserve">1a. Official English texts - HELD AND USED FOR VERIFICATION</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1800"/>
        <w:gridCol w:w="1800"/>
        <w:gridCol w:w="1800"/>
        <w:gridCol w:w="1800"/>
        <w:gridCol w:w="1800"/>
      </w:tblGrid>
      <w:tr>
        <w:trPr>
          <w:tblHeader/>
        </w:trPr>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Instrument</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MTCIT English title</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Pages</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SHA-256</w:t>
            </w:r>
          </w:p>
        </w:tc>
      </w:tr>
      <w:tr>
        <w:trPr>
          <w:tblHeader w:val="false"/>
        </w:trPr>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1E</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Personal Data Protection Law</w:t>
            </w:r>
          </w:p>
        </w:tc>
        <w:tc>
          <w:tcPr>
            <w:tcW w:type="dxa" w:w="1800"/>
            <w:tcMar>
              <w:top w:type="dxa" w:w="80"/>
              <w:left w:type="dxa" w:w="110"/>
              <w:bottom w:type="dxa" w:w="80"/>
              <w:right w:type="dxa" w:w="110"/>
            </w:tcMar>
          </w:tcPr>
          <w:p>
            <w:pPr>
              <w:spacing w:after="0" w:before="0"/>
            </w:pPr>
            <w:r>
              <w:rPr>
                <w:rFonts w:ascii="Calibri" w:cs="Calibri" w:eastAsia="Calibri" w:hAnsi="Calibri"/>
                <w:i/>
                <w:iCs/>
                <w:color w:val="333A45"/>
                <w:sz w:val="19"/>
                <w:szCs w:val="19"/>
              </w:rPr>
              <w:t xml:space="preserve">The Personal Data Protection Law</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18eaee25cb5336cb</w:t>
            </w:r>
          </w:p>
        </w:tc>
      </w:tr>
      <w:tr>
        <w:trPr>
          <w:tblHeader w:val="false"/>
        </w:trPr>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2E</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Executive Regulations</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i/>
                <w:iCs/>
                <w:color w:val="333A45"/>
                <w:sz w:val="19"/>
                <w:szCs w:val="19"/>
              </w:rPr>
              <w:t xml:space="preserve">Executive Regulation of the Personal Data Protection Law</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16</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b11656460d1060d2</w:t>
            </w:r>
          </w:p>
        </w:tc>
      </w:tr>
      <w:tr>
        <w:trPr>
          <w:tblHeader w:val="false"/>
        </w:trPr>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3E</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National AI Policy</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w:t>
            </w:r>
            <w:r>
              <w:rPr>
                <w:rFonts w:ascii="Calibri" w:cs="Calibri" w:eastAsia="Calibri" w:hAnsi="Calibri"/>
                <w:b/>
                <w:bCs/>
                <w:color w:val="333A45"/>
                <w:sz w:val="19"/>
                <w:szCs w:val="19"/>
              </w:rPr>
              <w:t xml:space="preserve">Public Policy for Safe and Ethical Use of Artificial Intelligence Systems</w:t>
            </w:r>
            <w:r>
              <w:rPr>
                <w:rFonts w:ascii="Calibri" w:cs="Calibri" w:eastAsia="Calibri" w:hAnsi="Calibri"/>
                <w:color w:val="333A45"/>
                <w:sz w:val="19"/>
                <w:szCs w:val="19"/>
              </w:rPr>
              <w:t xml:space="preserve">*, April 2025</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29</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b61ae04b88f9da30</w:t>
            </w:r>
          </w:p>
        </w:tc>
      </w:tr>
    </w:tbl>
    <w:p>
      <w:pPr>
        <w:spacing w:after="120"/>
      </w:pPr>
    </w:p>
    <w:p>
      <w:pPr>
        <w:spacing w:after="110"/>
      </w:pPr>
      <w:r>
        <w:rPr>
          <w:rFonts w:ascii="Calibri" w:cs="Calibri" w:eastAsia="Calibri" w:hAnsi="Calibri"/>
          <w:color w:val="333A45"/>
          <w:sz w:val="21"/>
          <w:szCs w:val="21"/>
        </w:rPr>
        <w:t xml:space="preserve">Note the English title at 3E differs from the working translation used while drafting this set: MTCIT renders it </w:t>
      </w:r>
      <w:r>
        <w:rPr>
          <w:rFonts w:ascii="Calibri" w:cs="Calibri" w:eastAsia="Calibri" w:hAnsi="Calibri"/>
          <w:b/>
          <w:bCs/>
          <w:color w:val="333A45"/>
          <w:sz w:val="21"/>
          <w:szCs w:val="21"/>
        </w:rPr>
        <w:t xml:space="preserve">"Public Policy for Safe and Ethical Use of Artificial Intelligence Systems"</w:t>
      </w:r>
      <w:r>
        <w:rPr>
          <w:rFonts w:ascii="Calibri" w:cs="Calibri" w:eastAsia="Calibri" w:hAnsi="Calibri"/>
          <w:color w:val="333A45"/>
          <w:sz w:val="21"/>
          <w:szCs w:val="21"/>
        </w:rPr>
        <w:t xml:space="preserve">, not "General Policy for the Safe and Ethical Use of...". The English Executive Regulations run to </w:t>
      </w:r>
      <w:r>
        <w:rPr>
          <w:rFonts w:ascii="Calibri" w:cs="Calibri" w:eastAsia="Calibri" w:hAnsi="Calibri"/>
          <w:b/>
          <w:bCs/>
          <w:color w:val="333A45"/>
          <w:sz w:val="21"/>
          <w:szCs w:val="21"/>
        </w:rPr>
        <w:t xml:space="preserve">16 pages against the Arabic's 14</w:t>
      </w:r>
      <w:r>
        <w:rPr>
          <w:rFonts w:ascii="Calibri" w:cs="Calibri" w:eastAsia="Calibri" w:hAnsi="Calibri"/>
          <w:color w:val="333A45"/>
          <w:sz w:val="21"/>
          <w:szCs w:val="21"/>
        </w:rPr>
        <w:t xml:space="preserve">, a layout difference rather than a content one - the article count is the same at 45.</w:t>
      </w:r>
    </w:p>
    <w:p>
      <w:pPr>
        <w:spacing w:after="110"/>
      </w:pPr>
      <w:r>
        <w:rPr>
          <w:rFonts w:ascii="Calibri" w:cs="Calibri" w:eastAsia="Calibri" w:hAnsi="Calibri"/>
          <w:b/>
          <w:bCs/>
          <w:color w:val="333A45"/>
          <w:sz w:val="21"/>
          <w:szCs w:val="21"/>
        </w:rPr>
        <w:t xml:space="preserve">Cited from row 1</w:t>
      </w:r>
      <w:r>
        <w:rPr>
          <w:rFonts w:ascii="Calibri" w:cs="Calibri" w:eastAsia="Calibri" w:hAnsi="Calibri"/>
          <w:color w:val="333A45"/>
          <w:sz w:val="21"/>
          <w:szCs w:val="21"/>
        </w:rPr>
        <w:t xml:space="preserve">: Decree Arts 1-4; Law Arts 1-32 (all). </w:t>
      </w:r>
      <w:r>
        <w:rPr>
          <w:rFonts w:ascii="Calibri" w:cs="Calibri" w:eastAsia="Calibri" w:hAnsi="Calibri"/>
          <w:b/>
          <w:bCs/>
          <w:color w:val="333A45"/>
          <w:sz w:val="21"/>
          <w:szCs w:val="21"/>
        </w:rPr>
        <w:t xml:space="preserve">Cited from row 2</w:t>
      </w:r>
      <w:r>
        <w:rPr>
          <w:rFonts w:ascii="Calibri" w:cs="Calibri" w:eastAsia="Calibri" w:hAnsi="Calibri"/>
          <w:color w:val="333A45"/>
          <w:sz w:val="21"/>
          <w:szCs w:val="21"/>
        </w:rPr>
        <w:t xml:space="preserve">: Decision Arts 1-4; Regulations Arts 1-45 (all). </w:t>
      </w:r>
      <w:r>
        <w:rPr>
          <w:rFonts w:ascii="Calibri" w:cs="Calibri" w:eastAsia="Calibri" w:hAnsi="Calibri"/>
          <w:b/>
          <w:bCs/>
          <w:color w:val="333A45"/>
          <w:sz w:val="21"/>
          <w:szCs w:val="21"/>
        </w:rPr>
        <w:t xml:space="preserve">Cited from row 3</w:t>
      </w:r>
      <w:r>
        <w:rPr>
          <w:rFonts w:ascii="Calibri" w:cs="Calibri" w:eastAsia="Calibri" w:hAnsi="Calibri"/>
          <w:color w:val="333A45"/>
          <w:sz w:val="21"/>
          <w:szCs w:val="21"/>
        </w:rPr>
        <w:t xml:space="preserve">: Introduction; Definitions; Objectives; Scope; General provisions 1-5; Use controls 1-10; Development controls 1-13; Ethical principles (Humanity and society 1-4, Inclusiveness and fairness 1-3, Responsibility and accountability 1-5, Policy management 1-2); Compliance 1-2; Related issuances.</w:t>
      </w:r>
    </w:p>
    <w:p>
      <w:pPr>
        <w:spacing w:after="110"/>
      </w:pPr>
      <w:r>
        <w:rPr>
          <w:rFonts w:ascii="Calibri" w:cs="Calibri" w:eastAsia="Calibri" w:hAnsi="Calibri"/>
          <w:b/>
          <w:bCs/>
          <w:color w:val="333A45"/>
          <w:sz w:val="21"/>
          <w:szCs w:val="21"/>
        </w:rPr>
        <w:t xml:space="preserve">Every article of the Law and of the Regulations was read.</w:t>
      </w:r>
      <w:r>
        <w:rPr>
          <w:rFonts w:ascii="Calibri" w:cs="Calibri" w:eastAsia="Calibri" w:hAnsi="Calibri"/>
          <w:color w:val="333A45"/>
          <w:sz w:val="21"/>
          <w:szCs w:val="21"/>
        </w:rPr>
        <w:t xml:space="preserve"> The policy and annex draw on all of them; the research note cites each.</w:t>
      </w:r>
    </w:p>
    <w:p>
      <w:pPr>
        <w:keepNext/>
        <w:pBdr>
          <w:bottom w:val="single" w:color="9DB9E8" w:sz="4" w:space="3"/>
        </w:pBdr>
        <w:spacing w:after="100" w:before="260"/>
      </w:pPr>
      <w:r>
        <w:rPr>
          <w:rFonts w:ascii="Calibri" w:cs="Calibri" w:eastAsia="Calibri" w:hAnsi="Calibri"/>
          <w:b/>
          <w:bCs/>
          <w:color w:val="2E5AAC"/>
          <w:sz w:val="26"/>
          <w:szCs w:val="26"/>
        </w:rPr>
        <w:t xml:space="preserve">2. HELD, READ IN FULL, AND DELIBERATELY NOT USED</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3000"/>
        <w:gridCol w:w="3000"/>
        <w:gridCol w:w="3000"/>
      </w:tblGrid>
      <w:tr>
        <w:trPr>
          <w:tblHeader/>
        </w:trPr>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Instrument</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Reference</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SHA-256</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Circular 6/2024 on the Personal Data Protection Policy for Units of the State's Administrative Apparatus</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MTCIT Minister's Office, 20 Ramadan 1445 H / </w:t>
            </w:r>
            <w:r>
              <w:rPr>
                <w:rFonts w:ascii="Calibri" w:cs="Calibri" w:eastAsia="Calibri" w:hAnsi="Calibri"/>
                <w:b/>
                <w:bCs/>
                <w:color w:val="333A45"/>
                <w:sz w:val="19"/>
                <w:szCs w:val="19"/>
              </w:rPr>
              <w:t xml:space="preserve">31 March 2024</w:t>
            </w:r>
            <w:r>
              <w:rPr>
                <w:rFonts w:ascii="Calibri" w:cs="Calibri" w:eastAsia="Calibri" w:hAnsi="Calibri"/>
                <w:color w:val="333A45"/>
                <w:sz w:val="19"/>
                <w:szCs w:val="19"/>
              </w:rPr>
              <w:t xml:space="preserve">, transmitting the policy at Version 1, March 2024. 11 pp</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550bc7a1a64561c0</w:t>
            </w:r>
          </w:p>
        </w:tc>
      </w:tr>
    </w:tbl>
    <w:p>
      <w:pPr>
        <w:spacing w:after="120"/>
      </w:pPr>
    </w:p>
    <w:p>
      <w:pPr>
        <w:spacing w:after="110"/>
      </w:pPr>
      <w:r>
        <w:rPr>
          <w:rFonts w:ascii="Calibri" w:cs="Calibri" w:eastAsia="Calibri" w:hAnsi="Calibri"/>
          <w:b/>
          <w:bCs/>
          <w:color w:val="333A45"/>
          <w:sz w:val="21"/>
          <w:szCs w:val="21"/>
        </w:rPr>
        <w:t xml:space="preserve">Not used because its scope section states that it applies to the units of the State's administrative apparatus</w:t>
      </w:r>
      <w:r>
        <w:rPr>
          <w:rFonts w:ascii="Calibri" w:cs="Calibri" w:eastAsia="Calibri" w:hAnsi="Calibri"/>
          <w:color w:val="333A45"/>
          <w:sz w:val="21"/>
          <w:szCs w:val="21"/>
        </w:rPr>
        <w:t xml:space="preserve">, defined by reference to Royal Decree 75/2020. [ORGANISATION] is assumed to be a private-sector organisation.</w:t>
      </w:r>
    </w:p>
    <w:p>
      <w:pPr>
        <w:spacing w:after="110"/>
      </w:pPr>
      <w:r>
        <w:rPr>
          <w:rFonts w:ascii="Calibri" w:cs="Calibri" w:eastAsia="Calibri" w:hAnsi="Calibri"/>
          <w:color w:val="333A45"/>
          <w:sz w:val="21"/>
          <w:szCs w:val="21"/>
        </w:rPr>
        <w:t xml:space="preserve">It was nonetheless read in full, and research note section 5 summarises it - for three reasons. It would be the basis of a </w:t>
      </w:r>
      <w:r>
        <w:rPr>
          <w:rFonts w:ascii="Calibri" w:cs="Calibri" w:eastAsia="Calibri" w:hAnsi="Calibri"/>
          <w:b/>
          <w:bCs/>
          <w:color w:val="333A45"/>
          <w:sz w:val="21"/>
          <w:szCs w:val="21"/>
        </w:rPr>
        <w:t xml:space="preserve">government-sector variant</w:t>
      </w:r>
      <w:r>
        <w:rPr>
          <w:rFonts w:ascii="Calibri" w:cs="Calibri" w:eastAsia="Calibri" w:hAnsi="Calibri"/>
          <w:color w:val="333A45"/>
          <w:sz w:val="21"/>
          <w:szCs w:val="21"/>
        </w:rPr>
        <w:t xml:space="preserve">. It uses different terminology (</w:t>
      </w:r>
      <w:r>
        <w:rPr>
          <w:rFonts w:ascii="Calibri" w:cs="Calibri" w:eastAsia="Calibri" w:hAnsi="Calibri"/>
          <w:i/>
          <w:iCs/>
          <w:color w:val="333A45"/>
          <w:sz w:val="21"/>
          <w:szCs w:val="21"/>
        </w:rPr>
        <w:t xml:space="preserve">controlling unit</w:t>
      </w:r>
      <w:r>
        <w:rPr>
          <w:rFonts w:ascii="Calibri" w:cs="Calibri" w:eastAsia="Calibri" w:hAnsi="Calibri"/>
          <w:color w:val="333A45"/>
          <w:sz w:val="21"/>
          <w:szCs w:val="21"/>
        </w:rPr>
        <w:t xml:space="preserve"> and </w:t>
      </w:r>
      <w:r>
        <w:rPr>
          <w:rFonts w:ascii="Calibri" w:cs="Calibri" w:eastAsia="Calibri" w:hAnsi="Calibri"/>
          <w:i/>
          <w:iCs/>
          <w:color w:val="333A45"/>
          <w:sz w:val="21"/>
          <w:szCs w:val="21"/>
        </w:rPr>
        <w:t xml:space="preserve">processing unit</w:t>
      </w:r>
      <w:r>
        <w:rPr>
          <w:rFonts w:ascii="Calibri" w:cs="Calibri" w:eastAsia="Calibri" w:hAnsi="Calibri"/>
          <w:color w:val="333A45"/>
          <w:sz w:val="21"/>
          <w:szCs w:val="21"/>
        </w:rPr>
        <w:t xml:space="preserve">). And </w:t>
      </w:r>
      <w:r>
        <w:rPr>
          <w:rFonts w:ascii="Calibri" w:cs="Calibri" w:eastAsia="Calibri" w:hAnsi="Calibri"/>
          <w:b/>
          <w:bCs/>
          <w:color w:val="333A45"/>
          <w:sz w:val="21"/>
          <w:szCs w:val="21"/>
        </w:rPr>
        <w:t xml:space="preserve">two of its provisions diverge materially from the private-sector position and would be wrong if carried across</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b/>
          <w:bCs/>
          <w:color w:val="333A45"/>
          <w:sz w:val="21"/>
          <w:szCs w:val="21"/>
        </w:rPr>
        <w:t xml:space="preserve">breach notification goes to the Electronic Defence Centre</w:t>
      </w:r>
      <w:r>
        <w:rPr>
          <w:rFonts w:ascii="Calibri" w:cs="Calibri" w:eastAsia="Calibri" w:hAnsi="Calibri"/>
          <w:color w:val="333A45"/>
          <w:sz w:val="21"/>
          <w:szCs w:val="21"/>
        </w:rPr>
        <w:t xml:space="preserve">, not to the Ministry's Competent Department;</w:t>
      </w:r>
    </w:p>
    <w:p>
      <w:pPr>
        <w:pStyle w:val="ListParagraph"/>
        <w:numPr>
          <w:ilvl w:val="0"/>
          <w:numId w:val="2"/>
        </w:numPr>
        <w:spacing w:after="70"/>
      </w:pPr>
      <w:r>
        <w:rPr>
          <w:rFonts w:ascii="Calibri" w:cs="Calibri" w:eastAsia="Calibri" w:hAnsi="Calibri"/>
          <w:b/>
          <w:bCs/>
          <w:color w:val="333A45"/>
          <w:sz w:val="21"/>
          <w:szCs w:val="21"/>
        </w:rPr>
        <w:t xml:space="preserve">data localisation is the default</w:t>
      </w:r>
      <w:r>
        <w:rPr>
          <w:rFonts w:ascii="Calibri" w:cs="Calibri" w:eastAsia="Calibri" w:hAnsi="Calibri"/>
          <w:color w:val="333A45"/>
          <w:sz w:val="21"/>
          <w:szCs w:val="21"/>
        </w:rPr>
        <w:t xml:space="preserve">, with processing required inside Oman's geographic borders, only three narrow exceptions, and </w:t>
      </w:r>
      <w:r>
        <w:rPr>
          <w:rFonts w:ascii="Calibri" w:cs="Calibri" w:eastAsia="Calibri" w:hAnsi="Calibri"/>
          <w:b/>
          <w:bCs/>
          <w:color w:val="333A45"/>
          <w:sz w:val="21"/>
          <w:szCs w:val="21"/>
        </w:rPr>
        <w:t xml:space="preserve">Electronic Defence Centre approval required before transferring data abroad for processing</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Recording a held-but-unused instrument, and saying precisely why, is how a set avoids the failure of quietly importing a stricter regime that does not apply.</w:t>
      </w:r>
    </w:p>
    <w:p>
      <w:pPr>
        <w:keepNext/>
        <w:pBdr>
          <w:bottom w:val="single" w:color="9DB9E8" w:sz="4" w:space="3"/>
        </w:pBdr>
        <w:spacing w:after="100" w:before="260"/>
      </w:pPr>
      <w:r>
        <w:rPr>
          <w:rFonts w:ascii="Calibri" w:cs="Calibri" w:eastAsia="Calibri" w:hAnsi="Calibri"/>
          <w:b/>
          <w:bCs/>
          <w:color w:val="2E5AAC"/>
          <w:sz w:val="26"/>
          <w:szCs w:val="26"/>
        </w:rPr>
        <w:t xml:space="preserve">3. NOT HELD - the gaps that shape what these documents can say</w:t>
      </w:r>
    </w:p>
    <w:p>
      <w:pPr>
        <w:keepNext/>
        <w:spacing w:after="80" w:before="200"/>
      </w:pPr>
      <w:r>
        <w:rPr>
          <w:rFonts w:ascii="Calibri" w:cs="Calibri" w:eastAsia="Calibri" w:hAnsi="Calibri"/>
          <w:b/>
          <w:bCs/>
          <w:color w:val="1F3864"/>
          <w:sz w:val="22"/>
          <w:szCs w:val="22"/>
        </w:rPr>
        <w:t xml:space="preserve">3.1 The sector regulator's issuances - the standing action</w:t>
      </w:r>
    </w:p>
    <w:p>
      <w:pPr>
        <w:spacing w:after="110"/>
      </w:pPr>
      <w:r>
        <w:rPr>
          <w:rFonts w:ascii="Calibri" w:cs="Calibri" w:eastAsia="Calibri" w:hAnsi="Calibri"/>
          <w:b/>
          <w:bCs/>
          <w:color w:val="333A45"/>
          <w:sz w:val="21"/>
          <w:szCs w:val="21"/>
        </w:rPr>
        <w:t xml:space="preserve">This is the most important gap, and it is structural rather than incidental.</w:t>
      </w:r>
    </w:p>
    <w:p>
      <w:pPr>
        <w:spacing w:after="110"/>
      </w:pPr>
      <w:r>
        <w:rPr>
          <w:rFonts w:ascii="Calibri" w:cs="Calibri" w:eastAsia="Calibri" w:hAnsi="Calibri"/>
          <w:color w:val="333A45"/>
          <w:sz w:val="21"/>
          <w:szCs w:val="21"/>
        </w:rPr>
        <w:t xml:space="preserve">The national AI policy provides that regulatory authorities </w:t>
      </w:r>
      <w:r>
        <w:rPr>
          <w:rFonts w:ascii="Calibri" w:cs="Calibri" w:eastAsia="Calibri" w:hAnsi="Calibri"/>
          <w:b/>
          <w:bCs/>
          <w:color w:val="333A45"/>
          <w:sz w:val="21"/>
          <w:szCs w:val="21"/>
        </w:rPr>
        <w:t xml:space="preserve">align its provisions with their own regulatory documents</w:t>
      </w:r>
      <w:r>
        <w:rPr>
          <w:rFonts w:ascii="Calibri" w:cs="Calibri" w:eastAsia="Calibri" w:hAnsi="Calibri"/>
          <w:color w:val="333A45"/>
          <w:sz w:val="21"/>
          <w:szCs w:val="21"/>
        </w:rPr>
        <w:t xml:space="preserve"> and circulate them to the institutions they supervise, and that they </w:t>
      </w:r>
      <w:r>
        <w:rPr>
          <w:rFonts w:ascii="Calibri" w:cs="Calibri" w:eastAsia="Calibri" w:hAnsi="Calibri"/>
          <w:b/>
          <w:bCs/>
          <w:color w:val="333A45"/>
          <w:sz w:val="21"/>
          <w:szCs w:val="21"/>
        </w:rPr>
        <w:t xml:space="preserve">may lay down additional provisions regulating the use of AI technologies and algorithms</w:t>
      </w:r>
      <w:r>
        <w:rPr>
          <w:rFonts w:ascii="Calibri" w:cs="Calibri" w:eastAsia="Calibri" w:hAnsi="Calibri"/>
          <w:color w:val="333A45"/>
          <w:sz w:val="21"/>
          <w:szCs w:val="21"/>
        </w:rPr>
        <w:t xml:space="preserve"> with the ministry's approval.</w:t>
      </w:r>
    </w:p>
    <w:p>
      <w:pPr>
        <w:spacing w:after="110"/>
      </w:pPr>
      <w:r>
        <w:rPr>
          <w:rFonts w:ascii="Calibri" w:cs="Calibri" w:eastAsia="Calibri" w:hAnsi="Calibri"/>
          <w:color w:val="333A45"/>
          <w:sz w:val="21"/>
          <w:szCs w:val="21"/>
        </w:rPr>
        <w:t xml:space="preserve">It then provides that </w:t>
      </w:r>
      <w:r>
        <w:rPr>
          <w:rFonts w:ascii="Calibri" w:cs="Calibri" w:eastAsia="Calibri" w:hAnsi="Calibri"/>
          <w:b/>
          <w:bCs/>
          <w:color w:val="333A45"/>
          <w:sz w:val="21"/>
          <w:szCs w:val="21"/>
        </w:rPr>
        <w:t xml:space="preserve">the regulatory authorities monitor the compliance of the institutions in the sectors they supervise</w:t>
      </w:r>
      <w:r>
        <w:rPr>
          <w:rFonts w:ascii="Calibri" w:cs="Calibri" w:eastAsia="Calibri" w:hAnsi="Calibri"/>
          <w:color w:val="333A45"/>
          <w:sz w:val="21"/>
          <w:szCs w:val="21"/>
        </w:rPr>
        <w:t xml:space="preserve">, while the issuing ministry monitors government units and reports to the Council of Ministers.</w:t>
      </w:r>
    </w:p>
    <w:p>
      <w:pPr>
        <w:spacing w:after="110"/>
      </w:pPr>
      <w:r>
        <w:rPr>
          <w:rFonts w:ascii="Calibri" w:cs="Calibri" w:eastAsia="Calibri" w:hAnsi="Calibri"/>
          <w:b/>
          <w:bCs/>
          <w:color w:val="333A45"/>
          <w:sz w:val="21"/>
          <w:szCs w:val="21"/>
        </w:rPr>
        <w:t xml:space="preserve">So for a private-sector organisation, the body that enforces the national AI policy is its own sector regulator, and that regulator may have added to it.</w:t>
      </w:r>
      <w:r>
        <w:rPr>
          <w:rFonts w:ascii="Calibri" w:cs="Calibri" w:eastAsia="Calibri" w:hAnsi="Calibri"/>
          <w:color w:val="333A45"/>
          <w:sz w:val="21"/>
          <w:szCs w:val="21"/>
        </w:rPr>
        <w:t xml:space="preserve"> None of those issuances is held. Policy 4.3 and 22.2, and annex A15.5, say so and make obtaining them a standing committee action.</w:t>
      </w:r>
    </w:p>
    <w:p>
      <w:pPr>
        <w:keepNext/>
        <w:spacing w:after="80" w:before="200"/>
      </w:pPr>
      <w:r>
        <w:rPr>
          <w:rFonts w:ascii="Calibri" w:cs="Calibri" w:eastAsia="Calibri" w:hAnsi="Calibri"/>
          <w:b/>
          <w:bCs/>
          <w:color w:val="1F3864"/>
          <w:sz w:val="22"/>
          <w:szCs w:val="22"/>
        </w:rPr>
        <w:t xml:space="preserve">3.2 Instruments the AI policy itself names as related</w:t>
      </w:r>
    </w:p>
    <w:p>
      <w:pPr>
        <w:spacing w:after="110"/>
      </w:pPr>
      <w:r>
        <w:rPr>
          <w:rFonts w:ascii="Calibri" w:cs="Calibri" w:eastAsia="Calibri" w:hAnsi="Calibri"/>
          <w:color w:val="333A45"/>
          <w:sz w:val="21"/>
          <w:szCs w:val="21"/>
        </w:rPr>
        <w:t xml:space="preserve">The national AI policy lists eight related issuances. </w:t>
      </w:r>
      <w:r>
        <w:rPr>
          <w:rFonts w:ascii="Calibri" w:cs="Calibri" w:eastAsia="Calibri" w:hAnsi="Calibri"/>
          <w:b/>
          <w:bCs/>
          <w:color w:val="333A45"/>
          <w:sz w:val="21"/>
          <w:szCs w:val="21"/>
        </w:rPr>
        <w:t xml:space="preserve">Three are held</w:t>
      </w:r>
      <w:r>
        <w:rPr>
          <w:rFonts w:ascii="Calibri" w:cs="Calibri" w:eastAsia="Calibri" w:hAnsi="Calibri"/>
          <w:color w:val="333A45"/>
          <w:sz w:val="21"/>
          <w:szCs w:val="21"/>
        </w:rPr>
        <w:t xml:space="preserve"> (rows 1 and 2 of section 1, and the government-sector policy at section 2). </w:t>
      </w:r>
      <w:r>
        <w:rPr>
          <w:rFonts w:ascii="Calibri" w:cs="Calibri" w:eastAsia="Calibri" w:hAnsi="Calibri"/>
          <w:b/>
          <w:bCs/>
          <w:color w:val="333A45"/>
          <w:sz w:val="21"/>
          <w:szCs w:val="21"/>
        </w:rPr>
        <w:t xml:space="preserve">Five are not:</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4500"/>
        <w:gridCol w:w="4500"/>
      </w:tblGrid>
      <w:tr>
        <w:trPr>
          <w:tblHeader/>
        </w:trPr>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Not held</w:t>
            </w:r>
          </w:p>
        </w:tc>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What it would supply</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National Programme for AI and Advanced Digital Technologies (2024)</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Programme context and any obligations flowing from it</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IT Risk Management Framework (2014)</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Risk assessment methodology</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Law on Combating Information Technology Crimes (2011)</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Cybercrime offences that may attach to AI misuse</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National Records Law (52/2024)</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Records and retention obligations that may qualify the erasure right</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Regulatory Framework for National Data Governance and Management (2025)</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National data governance obligations, and the most recent of the five</w:t>
            </w:r>
          </w:p>
        </w:tc>
      </w:tr>
    </w:tbl>
    <w:p>
      <w:pPr>
        <w:spacing w:after="120"/>
      </w:pPr>
    </w:p>
    <w:p>
      <w:pPr>
        <w:keepNext/>
        <w:spacing w:after="80" w:before="200"/>
      </w:pPr>
      <w:r>
        <w:rPr>
          <w:rFonts w:ascii="Calibri" w:cs="Calibri" w:eastAsia="Calibri" w:hAnsi="Calibri"/>
          <w:b/>
          <w:bCs/>
          <w:color w:val="1F3864"/>
          <w:sz w:val="22"/>
          <w:szCs w:val="22"/>
        </w:rPr>
        <w:t xml:space="preserve">3.3 Other</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4500"/>
        <w:gridCol w:w="4500"/>
      </w:tblGrid>
      <w:tr>
        <w:trPr>
          <w:tblHeader/>
        </w:trPr>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Not held</w:t>
            </w:r>
          </w:p>
        </w:tc>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Consequence</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MTCIT's official English text of Circular 6/2024</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The circular's page offers a single attachment, labelled English, which is in fact the Arabic. No English version appears to be published. This matters little - the set does not rest on the circular</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MTCIT's forms and guidance</w:t>
            </w:r>
            <w:r>
              <w:rPr>
                <w:rFonts w:ascii="Calibri" w:cs="Calibri" w:eastAsia="Calibri" w:hAnsi="Calibri"/>
                <w:color w:val="333A45"/>
                <w:sz w:val="19"/>
                <w:szCs w:val="19"/>
              </w:rPr>
              <w:t xml:space="preserve"> - the Article 5 processing permit form, the breach report form, the cross-border transfer assessment, the DPO appointment form, the processing activity record, the data subject rights guidelines, the controller-processor guidelines and the explicit consent guide</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Published by MTCIT on its personal data governance page. </w:t>
            </w:r>
            <w:r>
              <w:rPr>
                <w:rFonts w:ascii="Calibri" w:cs="Calibri" w:eastAsia="Calibri" w:hAnsi="Calibri"/>
                <w:b/>
                <w:bCs/>
                <w:color w:val="333A45"/>
                <w:sz w:val="19"/>
                <w:szCs w:val="19"/>
              </w:rPr>
              <w:t xml:space="preserve">Several map directly onto obligations in this set</w:t>
            </w:r>
            <w:r>
              <w:rPr>
                <w:rFonts w:ascii="Calibri" w:cs="Calibri" w:eastAsia="Calibri" w:hAnsi="Calibri"/>
                <w:color w:val="333A45"/>
                <w:sz w:val="19"/>
                <w:szCs w:val="19"/>
              </w:rPr>
              <w:t xml:space="preserve">, and obtaining them would sharpen policy Sections 11, 15 and 17 considerably. The Regulations refer to "the form prepared for that" at several points</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The Electronic Defence Centre's competences</w:t>
            </w:r>
            <w:r>
              <w:rPr>
                <w:rFonts w:ascii="Calibri" w:cs="Calibri" w:eastAsia="Calibri" w:hAnsi="Calibri"/>
                <w:color w:val="333A45"/>
                <w:sz w:val="19"/>
                <w:szCs w:val="19"/>
              </w:rPr>
              <w:t xml:space="preserve"> (Royal Decree 64/2020)</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Expressly preserved by Law Arts 7 and 23 and central to the government-sector policy; not asserted anywhere here</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Royal Decree 75/2020 on the State Administrative Apparatus</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Defines which bodies are State administrative units, and so where the section 2 instrument bites</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Electronic Transactions Law (Royal Decree 69/2008)</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Its Chapter Seven was repealed by Decree Art 3; what survives is not stated</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The prescribed permit fees</w:t>
            </w:r>
            <w:r>
              <w:rPr>
                <w:rFonts w:ascii="Calibri" w:cs="Calibri" w:eastAsia="Calibri" w:hAnsi="Calibri"/>
                <w:color w:val="333A45"/>
                <w:sz w:val="19"/>
                <w:szCs w:val="19"/>
              </w:rPr>
              <w:t xml:space="preserve">, and </w:t>
            </w:r>
            <w:r>
              <w:rPr>
                <w:rFonts w:ascii="Calibri" w:cs="Calibri" w:eastAsia="Calibri" w:hAnsi="Calibri"/>
                <w:b/>
                <w:bCs/>
                <w:color w:val="333A45"/>
                <w:sz w:val="19"/>
                <w:szCs w:val="19"/>
              </w:rPr>
              <w:t xml:space="preserve">the retention period the Competent Department determines</w:t>
            </w:r>
            <w:r>
              <w:rPr>
                <w:rFonts w:ascii="Calibri" w:cs="Calibri" w:eastAsia="Calibri" w:hAnsi="Calibri"/>
                <w:color w:val="333A45"/>
                <w:sz w:val="19"/>
                <w:szCs w:val="19"/>
              </w:rPr>
              <w:t xml:space="preserve"> for breach documentation</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Two figures the framework leaves to be set and which this set does not state</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Employment law, anti-discrimination law, intellectual property law</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20 and parts of Section 8 are house standards</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Enforcement decisions and case law</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None relied on anywhere</w:t>
            </w:r>
          </w:p>
        </w:tc>
      </w:tr>
    </w:tbl>
    <w:p>
      <w:pPr>
        <w:spacing w:after="120"/>
      </w:pPr>
    </w:p>
    <w:p>
      <w:pPr>
        <w:keepNext/>
        <w:pBdr>
          <w:bottom w:val="single" w:color="9DB9E8" w:sz="4" w:space="3"/>
        </w:pBdr>
        <w:spacing w:after="100" w:before="260"/>
      </w:pPr>
      <w:r>
        <w:rPr>
          <w:rFonts w:ascii="Calibri" w:cs="Calibri" w:eastAsia="Calibri" w:hAnsi="Calibri"/>
          <w:b/>
          <w:bCs/>
          <w:color w:val="2E5AAC"/>
          <w:sz w:val="26"/>
          <w:szCs w:val="26"/>
        </w:rPr>
        <w:t xml:space="preserve">4. Language, and what it means for reliance</w:t>
      </w:r>
    </w:p>
    <w:p>
      <w:pPr>
        <w:spacing w:after="110"/>
      </w:pPr>
      <w:r>
        <w:rPr>
          <w:rFonts w:ascii="Calibri" w:cs="Calibri" w:eastAsia="Calibri" w:hAnsi="Calibri"/>
          <w:b/>
          <w:bCs/>
          <w:color w:val="333A45"/>
          <w:sz w:val="21"/>
          <w:szCs w:val="21"/>
        </w:rPr>
        <w:t xml:space="preserve">The Arabic governs.</w:t>
      </w:r>
      <w:r>
        <w:rPr>
          <w:rFonts w:ascii="Calibri" w:cs="Calibri" w:eastAsia="Calibri" w:hAnsi="Calibri"/>
          <w:color w:val="333A45"/>
          <w:sz w:val="21"/>
          <w:szCs w:val="21"/>
        </w:rPr>
        <w:t xml:space="preserve"> It is the enacted text published in the Official Gazette; the English is MTCIT's own rendering of it. Where the two differ, the Arabic is the law. The English is therefore a </w:t>
      </w:r>
      <w:r>
        <w:rPr>
          <w:rFonts w:ascii="Calibri" w:cs="Calibri" w:eastAsia="Calibri" w:hAnsi="Calibri"/>
          <w:b/>
          <w:bCs/>
          <w:color w:val="333A45"/>
          <w:sz w:val="21"/>
          <w:szCs w:val="21"/>
        </w:rPr>
        <w:t xml:space="preserve">checking instrument, not a substitute source</w:t>
      </w:r>
      <w:r>
        <w:rPr>
          <w:rFonts w:ascii="Calibri" w:cs="Calibri" w:eastAsia="Calibri" w:hAnsi="Calibri"/>
          <w:color w:val="333A45"/>
          <w:sz w:val="21"/>
          <w:szCs w:val="21"/>
        </w:rPr>
        <w:t xml:space="preserve">, and that is how it has been used.</w:t>
      </w:r>
    </w:p>
    <w:p>
      <w:pPr>
        <w:keepNext/>
        <w:spacing w:after="80" w:before="200"/>
      </w:pPr>
      <w:r>
        <w:rPr>
          <w:rFonts w:ascii="Calibri" w:cs="Calibri" w:eastAsia="Calibri" w:hAnsi="Calibri"/>
          <w:b/>
          <w:bCs/>
          <w:color w:val="1F3864"/>
          <w:sz w:val="22"/>
          <w:szCs w:val="22"/>
        </w:rPr>
        <w:t xml:space="preserve">4.1 How the set was built, and how it was then checked</w:t>
      </w:r>
    </w:p>
    <w:p>
      <w:pPr>
        <w:spacing w:after="110"/>
      </w:pPr>
      <w:r>
        <w:rPr>
          <w:rFonts w:ascii="Calibri" w:cs="Calibri" w:eastAsia="Calibri" w:hAnsi="Calibri"/>
          <w:color w:val="333A45"/>
          <w:sz w:val="21"/>
          <w:szCs w:val="21"/>
        </w:rPr>
        <w:t xml:space="preserve">The set was </w:t>
      </w:r>
      <w:r>
        <w:rPr>
          <w:rFonts w:ascii="Calibri" w:cs="Calibri" w:eastAsia="Calibri" w:hAnsi="Calibri"/>
          <w:b/>
          <w:bCs/>
          <w:color w:val="333A45"/>
          <w:sz w:val="21"/>
          <w:szCs w:val="21"/>
        </w:rPr>
        <w:t xml:space="preserve">written from the Arabic</w:t>
      </w:r>
      <w:r>
        <w:rPr>
          <w:rFonts w:ascii="Calibri" w:cs="Calibri" w:eastAsia="Calibri" w:hAnsi="Calibri"/>
          <w:color w:val="333A45"/>
          <w:sz w:val="21"/>
          <w:szCs w:val="21"/>
        </w:rPr>
        <w:t xml:space="preserve">. The Law and the Regulations carry a text layer that extracts in a legacy encoding and comes out garbled; the AI policy and the circular are image-only with no text layer at all. All four were therefore </w:t>
      </w:r>
      <w:r>
        <w:rPr>
          <w:rFonts w:ascii="Calibri" w:cs="Calibri" w:eastAsia="Calibri" w:hAnsi="Calibri"/>
          <w:b/>
          <w:bCs/>
          <w:color w:val="333A45"/>
          <w:sz w:val="21"/>
          <w:szCs w:val="21"/>
        </w:rPr>
        <w:t xml:space="preserve">read as rendered pages</w:t>
      </w:r>
      <w:r>
        <w:rPr>
          <w:rFonts w:ascii="Calibri" w:cs="Calibri" w:eastAsia="Calibri" w:hAnsi="Calibri"/>
          <w:color w:val="333A45"/>
          <w:sz w:val="21"/>
          <w:szCs w:val="21"/>
        </w:rPr>
        <w:t xml:space="preserve">, which is more reliable than trusting a broken encoding but leaves no text to grep.</w:t>
      </w:r>
    </w:p>
    <w:p>
      <w:pPr>
        <w:spacing w:after="110"/>
      </w:pPr>
      <w:r>
        <w:rPr>
          <w:rFonts w:ascii="Calibri" w:cs="Calibri" w:eastAsia="Calibri" w:hAnsi="Calibri"/>
          <w:b/>
          <w:bCs/>
          <w:color w:val="333A45"/>
          <w:sz w:val="21"/>
          <w:szCs w:val="21"/>
        </w:rPr>
        <w:t xml:space="preserve">That is why no machine-checkable verification was possible at first</w:t>
      </w:r>
      <w:r>
        <w:rPr>
          <w:rFonts w:ascii="Calibri" w:cs="Calibri" w:eastAsia="Calibri" w:hAnsi="Calibri"/>
          <w:color w:val="333A45"/>
          <w:sz w:val="21"/>
          <w:szCs w:val="21"/>
        </w:rPr>
        <w:t xml:space="preserve">, and why the initial checks on this set were limited to hygiene checks rather than verbatim quotation checks.</w:t>
      </w:r>
    </w:p>
    <w:p>
      <w:pPr>
        <w:spacing w:after="110"/>
      </w:pPr>
      <w:r>
        <w:rPr>
          <w:rFonts w:ascii="Calibri" w:cs="Calibri" w:eastAsia="Calibri" w:hAnsi="Calibri"/>
          <w:color w:val="333A45"/>
          <w:sz w:val="21"/>
          <w:szCs w:val="21"/>
        </w:rPr>
        <w:t xml:space="preserve">The official English texts were obtained afterwards. They are also image-only, so they were </w:t>
      </w:r>
      <w:r>
        <w:rPr>
          <w:rFonts w:ascii="Calibri" w:cs="Calibri" w:eastAsia="Calibri" w:hAnsi="Calibri"/>
          <w:b/>
          <w:bCs/>
          <w:color w:val="333A45"/>
          <w:sz w:val="21"/>
          <w:szCs w:val="21"/>
        </w:rPr>
        <w:t xml:space="preserve">OCR'd at 200-300 dpi with Tesseract</w:t>
      </w:r>
      <w:r>
        <w:rPr>
          <w:rFonts w:ascii="Calibri" w:cs="Calibri" w:eastAsia="Calibri" w:hAnsi="Calibri"/>
          <w:color w:val="333A45"/>
          <w:sz w:val="21"/>
          <w:szCs w:val="21"/>
        </w:rPr>
        <w:t xml:space="preserve"> to produce a searchable layer, and every substantive assertion in the set was then checked against it - the gap that had been recorded as this set's principal weakness.</w:t>
      </w:r>
    </w:p>
    <w:p>
      <w:pPr>
        <w:keepNext/>
        <w:spacing w:after="80" w:before="200"/>
      </w:pPr>
      <w:r>
        <w:rPr>
          <w:rFonts w:ascii="Calibri" w:cs="Calibri" w:eastAsia="Calibri" w:hAnsi="Calibri"/>
          <w:b/>
          <w:bCs/>
          <w:color w:val="1F3864"/>
          <w:sz w:val="22"/>
          <w:szCs w:val="22"/>
        </w:rPr>
        <w:t xml:space="preserve">4.2 What the check confirmed</w:t>
      </w:r>
    </w:p>
    <w:p>
      <w:pPr>
        <w:spacing w:after="110"/>
      </w:pPr>
      <w:r>
        <w:rPr>
          <w:rFonts w:ascii="Calibri" w:cs="Calibri" w:eastAsia="Calibri" w:hAnsi="Calibri"/>
          <w:color w:val="333A45"/>
          <w:sz w:val="21"/>
          <w:szCs w:val="21"/>
        </w:rPr>
        <w:t xml:space="preserve">Every material figure, period and trigger holds:</w:t>
      </w:r>
    </w:p>
    <w:p>
      <w:pPr>
        <w:pStyle w:val="ListParagraph"/>
        <w:numPr>
          <w:ilvl w:val="0"/>
          <w:numId w:val="2"/>
        </w:numPr>
        <w:spacing w:after="70"/>
      </w:pPr>
      <w:r>
        <w:rPr>
          <w:rFonts w:ascii="Calibri" w:cs="Calibri" w:eastAsia="Calibri" w:hAnsi="Calibri"/>
          <w:b/>
          <w:bCs/>
          <w:color w:val="333A45"/>
          <w:sz w:val="21"/>
          <w:szCs w:val="21"/>
        </w:rPr>
        <w:t xml:space="preserve">both 72-hour breach clocks</w:t>
      </w:r>
      <w:r>
        <w:rPr>
          <w:rFonts w:ascii="Calibri" w:cs="Calibri" w:eastAsia="Calibri" w:hAnsi="Calibri"/>
          <w:color w:val="333A45"/>
          <w:sz w:val="21"/>
          <w:szCs w:val="21"/>
        </w:rPr>
        <w:t xml:space="preserve"> and their differing triggers - to the Competent Department "if it poses a risk to the rights of the personal data subjects", and to the individual "if such breach would result in serious harm or high risks";</w:t>
      </w:r>
    </w:p>
    <w:p>
      <w:pPr>
        <w:pStyle w:val="ListParagraph"/>
        <w:numPr>
          <w:ilvl w:val="0"/>
          <w:numId w:val="2"/>
        </w:numPr>
        <w:spacing w:after="70"/>
      </w:pPr>
      <w:r>
        <w:rPr>
          <w:rFonts w:ascii="Calibri" w:cs="Calibri" w:eastAsia="Calibri" w:hAnsi="Calibri"/>
          <w:b/>
          <w:bCs/>
          <w:color w:val="333A45"/>
          <w:sz w:val="21"/>
          <w:szCs w:val="21"/>
        </w:rPr>
        <w:t xml:space="preserve">every penalty band</w:t>
      </w:r>
      <w:r>
        <w:rPr>
          <w:rFonts w:ascii="Calibri" w:cs="Calibri" w:eastAsia="Calibri" w:hAnsi="Calibri"/>
          <w:color w:val="333A45"/>
          <w:sz w:val="21"/>
          <w:szCs w:val="21"/>
        </w:rPr>
        <w:t xml:space="preserve">, including the decisive one: </w:t>
      </w:r>
      <w:r>
        <w:rPr>
          <w:rFonts w:ascii="Calibri" w:cs="Calibri" w:eastAsia="Calibri" w:hAnsi="Calibri"/>
          <w:b/>
          <w:bCs/>
          <w:color w:val="333A45"/>
          <w:sz w:val="21"/>
          <w:szCs w:val="21"/>
        </w:rPr>
        <w:t xml:space="preserve">OMR 100,000 to 500,000</w:t>
      </w:r>
      <w:r>
        <w:rPr>
          <w:rFonts w:ascii="Calibri" w:cs="Calibri" w:eastAsia="Calibri" w:hAnsi="Calibri"/>
          <w:color w:val="333A45"/>
          <w:sz w:val="21"/>
          <w:szCs w:val="21"/>
        </w:rPr>
        <w:t xml:space="preserve"> for the transfer contravention against a maximum of OMR 20,000 for anything else;</w:t>
      </w:r>
    </w:p>
    <w:p>
      <w:pPr>
        <w:pStyle w:val="ListParagraph"/>
        <w:numPr>
          <w:ilvl w:val="0"/>
          <w:numId w:val="2"/>
        </w:numPr>
        <w:spacing w:after="70"/>
      </w:pPr>
      <w:r>
        <w:rPr>
          <w:rFonts w:ascii="Calibri" w:cs="Calibri" w:eastAsia="Calibri" w:hAnsi="Calibri"/>
          <w:color w:val="333A45"/>
          <w:sz w:val="21"/>
          <w:szCs w:val="21"/>
        </w:rPr>
        <w:t xml:space="preserve">the </w:t>
      </w:r>
      <w:r>
        <w:rPr>
          <w:rFonts w:ascii="Calibri" w:cs="Calibri" w:eastAsia="Calibri" w:hAnsi="Calibri"/>
          <w:b/>
          <w:bCs/>
          <w:color w:val="333A45"/>
          <w:sz w:val="21"/>
          <w:szCs w:val="21"/>
        </w:rPr>
        <w:t xml:space="preserve">permit timetable</w:t>
      </w:r>
      <w:r>
        <w:rPr>
          <w:rFonts w:ascii="Calibri" w:cs="Calibri" w:eastAsia="Calibri" w:hAnsi="Calibri"/>
          <w:color w:val="333A45"/>
          <w:sz w:val="21"/>
          <w:szCs w:val="21"/>
        </w:rPr>
        <w:t xml:space="preserve"> - 45 days, reasoned refusal, 60-day grievance, 30-day answer, five-year term, 15-day amendment notice;</w:t>
      </w:r>
    </w:p>
    <w:p>
      <w:pPr>
        <w:pStyle w:val="ListParagraph"/>
        <w:numPr>
          <w:ilvl w:val="0"/>
          <w:numId w:val="2"/>
        </w:numPr>
        <w:spacing w:after="70"/>
      </w:pPr>
      <w:r>
        <w:rPr>
          <w:rFonts w:ascii="Calibri" w:cs="Calibri" w:eastAsia="Calibri" w:hAnsi="Calibri"/>
          <w:color w:val="333A45"/>
          <w:sz w:val="21"/>
          <w:szCs w:val="21"/>
        </w:rPr>
        <w:t xml:space="preserve">the </w:t>
      </w:r>
      <w:r>
        <w:rPr>
          <w:rFonts w:ascii="Calibri" w:cs="Calibri" w:eastAsia="Calibri" w:hAnsi="Calibri"/>
          <w:b/>
          <w:bCs/>
          <w:color w:val="333A45"/>
          <w:sz w:val="21"/>
          <w:szCs w:val="21"/>
        </w:rPr>
        <w:t xml:space="preserve">complaints timetable</w:t>
      </w:r>
      <w:r>
        <w:rPr>
          <w:rFonts w:ascii="Calibri" w:cs="Calibri" w:eastAsia="Calibri" w:hAnsi="Calibri"/>
          <w:color w:val="333A45"/>
          <w:sz w:val="21"/>
          <w:szCs w:val="21"/>
        </w:rPr>
        <w:t xml:space="preserve"> - 30 / 7 / 14 / 60 days, and the 60-day grievance with a 30-day answer;</w:t>
      </w:r>
    </w:p>
    <w:p>
      <w:pPr>
        <w:pStyle w:val="ListParagraph"/>
        <w:numPr>
          <w:ilvl w:val="0"/>
          <w:numId w:val="2"/>
        </w:numPr>
        <w:spacing w:after="70"/>
      </w:pPr>
      <w:r>
        <w:rPr>
          <w:rFonts w:ascii="Calibri" w:cs="Calibri" w:eastAsia="Calibri" w:hAnsi="Calibri"/>
          <w:color w:val="333A45"/>
          <w:sz w:val="21"/>
          <w:szCs w:val="21"/>
        </w:rPr>
        <w:t xml:space="preserve">the </w:t>
      </w:r>
      <w:r>
        <w:rPr>
          <w:rFonts w:ascii="Calibri" w:cs="Calibri" w:eastAsia="Calibri" w:hAnsi="Calibri"/>
          <w:b/>
          <w:bCs/>
          <w:color w:val="333A45"/>
          <w:sz w:val="21"/>
          <w:szCs w:val="21"/>
        </w:rPr>
        <w:t xml:space="preserve">45-day free-of-charge</w:t>
      </w:r>
      <w:r>
        <w:rPr>
          <w:rFonts w:ascii="Calibri" w:cs="Calibri" w:eastAsia="Calibri" w:hAnsi="Calibri"/>
          <w:color w:val="333A45"/>
          <w:sz w:val="21"/>
          <w:szCs w:val="21"/>
        </w:rPr>
        <w:t xml:space="preserve"> period for a data subject request, and the </w:t>
      </w:r>
      <w:r>
        <w:rPr>
          <w:rFonts w:ascii="Calibri" w:cs="Calibri" w:eastAsia="Calibri" w:hAnsi="Calibri"/>
          <w:b/>
          <w:bCs/>
          <w:color w:val="333A45"/>
          <w:sz w:val="21"/>
          <w:szCs w:val="21"/>
        </w:rPr>
        <w:t xml:space="preserve">60-day</w:t>
      </w:r>
      <w:r>
        <w:rPr>
          <w:rFonts w:ascii="Calibri" w:cs="Calibri" w:eastAsia="Calibri" w:hAnsi="Calibri"/>
          <w:color w:val="333A45"/>
          <w:sz w:val="21"/>
          <w:szCs w:val="21"/>
        </w:rPr>
        <w:t xml:space="preserve"> external auditor report;</w:t>
      </w:r>
    </w:p>
    <w:p>
      <w:pPr>
        <w:pStyle w:val="ListParagraph"/>
        <w:numPr>
          <w:ilvl w:val="0"/>
          <w:numId w:val="2"/>
        </w:numPr>
        <w:spacing w:after="70"/>
      </w:pPr>
      <w:r>
        <w:rPr>
          <w:rFonts w:ascii="Calibri" w:cs="Calibri" w:eastAsia="Calibri" w:hAnsi="Calibri"/>
          <w:color w:val="333A45"/>
          <w:sz w:val="21"/>
          <w:szCs w:val="21"/>
        </w:rPr>
        <w:t xml:space="preserve">the </w:t>
      </w:r>
      <w:r>
        <w:rPr>
          <w:rFonts w:ascii="Calibri" w:cs="Calibri" w:eastAsia="Calibri" w:hAnsi="Calibri"/>
          <w:b/>
          <w:bCs/>
          <w:color w:val="333A45"/>
          <w:sz w:val="21"/>
          <w:szCs w:val="21"/>
        </w:rPr>
        <w:t xml:space="preserve">transfer conditions</w:t>
      </w:r>
      <w:r>
        <w:rPr>
          <w:rFonts w:ascii="Calibri" w:cs="Calibri" w:eastAsia="Calibri" w:hAnsi="Calibri"/>
          <w:color w:val="333A45"/>
          <w:sz w:val="21"/>
          <w:szCs w:val="21"/>
        </w:rPr>
        <w:t xml:space="preserve">, including both exemptions from consent;</w:t>
      </w:r>
    </w:p>
    <w:p>
      <w:pPr>
        <w:pStyle w:val="ListParagraph"/>
        <w:numPr>
          <w:ilvl w:val="0"/>
          <w:numId w:val="2"/>
        </w:numPr>
        <w:spacing w:after="70"/>
      </w:pPr>
      <w:r>
        <w:rPr>
          <w:rFonts w:ascii="Calibri" w:cs="Calibri" w:eastAsia="Calibri" w:hAnsi="Calibri"/>
          <w:color w:val="333A45"/>
          <w:sz w:val="21"/>
          <w:szCs w:val="21"/>
        </w:rPr>
        <w:t xml:space="preserve">the </w:t>
      </w:r>
      <w:r>
        <w:rPr>
          <w:rFonts w:ascii="Calibri" w:cs="Calibri" w:eastAsia="Calibri" w:hAnsi="Calibri"/>
          <w:b/>
          <w:bCs/>
          <w:color w:val="333A45"/>
          <w:sz w:val="21"/>
          <w:szCs w:val="21"/>
        </w:rPr>
        <w:t xml:space="preserve">AI policy scope</w:t>
      </w:r>
      <w:r>
        <w:rPr>
          <w:rFonts w:ascii="Calibri" w:cs="Calibri" w:eastAsia="Calibri" w:hAnsi="Calibri"/>
          <w:color w:val="333A45"/>
          <w:sz w:val="21"/>
          <w:szCs w:val="21"/>
        </w:rPr>
        <w:t xml:space="preserve">, its use and development controls, and its ethical principles.</w:t>
      </w:r>
    </w:p>
    <w:p>
      <w:pPr>
        <w:spacing w:after="110"/>
      </w:pPr>
      <w:r>
        <w:rPr>
          <w:rFonts w:ascii="Calibri" w:cs="Calibri" w:eastAsia="Calibri" w:hAnsi="Calibri"/>
          <w:b/>
          <w:bCs/>
          <w:color w:val="333A45"/>
          <w:sz w:val="21"/>
          <w:szCs w:val="21"/>
        </w:rPr>
        <w:t xml:space="preserve">Nothing substantive was found to be wrong.</w:t>
      </w:r>
    </w:p>
    <w:p>
      <w:pPr>
        <w:keepNext/>
        <w:spacing w:after="80" w:before="200"/>
      </w:pPr>
      <w:r>
        <w:rPr>
          <w:rFonts w:ascii="Calibri" w:cs="Calibri" w:eastAsia="Calibri" w:hAnsi="Calibri"/>
          <w:b/>
          <w:bCs/>
          <w:color w:val="1F3864"/>
          <w:sz w:val="22"/>
          <w:szCs w:val="22"/>
        </w:rPr>
        <w:t xml:space="preserve">4.3 What the check changed</w:t>
      </w:r>
    </w:p>
    <w:p>
      <w:pPr>
        <w:spacing w:after="110"/>
      </w:pPr>
      <w:r>
        <w:rPr>
          <w:rFonts w:ascii="Calibri" w:cs="Calibri" w:eastAsia="Calibri" w:hAnsi="Calibri"/>
          <w:b/>
          <w:bCs/>
          <w:color w:val="333A45"/>
          <w:sz w:val="21"/>
          <w:szCs w:val="21"/>
        </w:rPr>
        <w:t xml:space="preserve">Terminology.</w:t>
      </w:r>
      <w:r>
        <w:rPr>
          <w:rFonts w:ascii="Calibri" w:cs="Calibri" w:eastAsia="Calibri" w:hAnsi="Calibri"/>
          <w:color w:val="333A45"/>
          <w:sz w:val="21"/>
          <w:szCs w:val="21"/>
        </w:rPr>
        <w:t xml:space="preserve"> The set now uses MTCIT's own English throughout:</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4500"/>
        <w:gridCol w:w="4500"/>
      </w:tblGrid>
      <w:tr>
        <w:trPr>
          <w:tblHeader/>
        </w:trPr>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Was (working translation)</w:t>
            </w:r>
          </w:p>
        </w:tc>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Now (MTCIT English)</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Competent Administration</w:t>
            </w:r>
          </w:p>
        </w:tc>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Competent Department</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express consent</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explicit consent</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higher interests of the State</w:t>
            </w:r>
          </w:p>
        </w:tc>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supreme interests of the state</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distinctive marks or explanatory notices</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labelling or explanatory notices</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transparency, integrity and respect for human dignity</w:t>
            </w:r>
          </w:p>
        </w:tc>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transparency, honesty and respect for human dignity</w:t>
            </w:r>
          </w:p>
        </w:tc>
      </w:tr>
    </w:tbl>
    <w:p>
      <w:pPr>
        <w:spacing w:after="120"/>
      </w:pPr>
    </w:p>
    <w:p>
      <w:pPr>
        <w:spacing w:after="110"/>
      </w:pPr>
      <w:r>
        <w:rPr>
          <w:rFonts w:ascii="Calibri" w:cs="Calibri" w:eastAsia="Calibri" w:hAnsi="Calibri"/>
          <w:b/>
          <w:bCs/>
          <w:color w:val="333A45"/>
          <w:sz w:val="21"/>
          <w:szCs w:val="21"/>
        </w:rPr>
        <w:t xml:space="preserve">A substantive correction</w:t>
      </w:r>
      <w:r>
        <w:rPr>
          <w:rFonts w:ascii="Calibri" w:cs="Calibri" w:eastAsia="Calibri" w:hAnsi="Calibri"/>
          <w:color w:val="333A45"/>
          <w:sz w:val="21"/>
          <w:szCs w:val="21"/>
        </w:rPr>
        <w:t xml:space="preserve">, recorded at section 9.1: the Arabic distribution list of the AI policy is narrower than its own scope section, and the set had followed the scope. </w:t>
      </w:r>
      <w:r>
        <w:rPr>
          <w:rFonts w:ascii="Calibri" w:cs="Calibri" w:eastAsia="Calibri" w:hAnsi="Calibri"/>
          <w:b/>
          <w:bCs/>
          <w:color w:val="333A45"/>
          <w:sz w:val="21"/>
          <w:szCs w:val="21"/>
        </w:rPr>
        <w:t xml:space="preserve">The English distribution list explicitly includes the private sector</w:t>
      </w:r>
      <w:r>
        <w:rPr>
          <w:rFonts w:ascii="Calibri" w:cs="Calibri" w:eastAsia="Calibri" w:hAnsi="Calibri"/>
          <w:color w:val="333A45"/>
          <w:sz w:val="21"/>
          <w:szCs w:val="21"/>
        </w:rPr>
        <w:t xml:space="preserve">, confirming that reading on the very page that had appeared to contradict it.</w:t>
      </w:r>
    </w:p>
    <w:p>
      <w:pPr>
        <w:keepNext/>
        <w:spacing w:after="80" w:before="200"/>
      </w:pPr>
      <w:r>
        <w:rPr>
          <w:rFonts w:ascii="Calibri" w:cs="Calibri" w:eastAsia="Calibri" w:hAnsi="Calibri"/>
          <w:b/>
          <w:bCs/>
          <w:color w:val="1F3864"/>
          <w:sz w:val="22"/>
          <w:szCs w:val="22"/>
        </w:rPr>
        <w:t xml:space="preserve">4.4 Divergences worth knowing</w:t>
      </w:r>
    </w:p>
    <w:p>
      <w:pPr>
        <w:pStyle w:val="ListParagraph"/>
        <w:numPr>
          <w:ilvl w:val="0"/>
          <w:numId w:val="2"/>
        </w:numPr>
        <w:spacing w:after="70"/>
      </w:pPr>
      <w:r>
        <w:rPr>
          <w:rFonts w:ascii="Calibri" w:cs="Calibri" w:eastAsia="Calibri" w:hAnsi="Calibri"/>
          <w:b/>
          <w:bCs/>
          <w:color w:val="333A45"/>
          <w:sz w:val="21"/>
          <w:szCs w:val="21"/>
        </w:rPr>
        <w:t xml:space="preserve">The AI policy's English title</w:t>
      </w:r>
      <w:r>
        <w:rPr>
          <w:rFonts w:ascii="Calibri" w:cs="Calibri" w:eastAsia="Calibri" w:hAnsi="Calibri"/>
          <w:color w:val="333A45"/>
          <w:sz w:val="21"/>
          <w:szCs w:val="21"/>
        </w:rPr>
        <w:t xml:space="preserve"> is </w:t>
      </w:r>
      <w:r>
        <w:rPr>
          <w:rFonts w:ascii="Calibri" w:cs="Calibri" w:eastAsia="Calibri" w:hAnsi="Calibri"/>
          <w:i/>
          <w:iCs/>
          <w:color w:val="333A45"/>
          <w:sz w:val="21"/>
          <w:szCs w:val="21"/>
        </w:rPr>
        <w:t xml:space="preserve">Public Policy for Safe and Ethical Use of Artificial Intelligence Systems</w:t>
      </w:r>
      <w:r>
        <w:rPr>
          <w:rFonts w:ascii="Calibri" w:cs="Calibri" w:eastAsia="Calibri" w:hAnsi="Calibri"/>
          <w:color w:val="333A45"/>
          <w:sz w:val="21"/>
          <w:szCs w:val="21"/>
        </w:rPr>
        <w:t xml:space="preserve">, not "General Policy for the Safe and Ethical Use of..."</w:t>
      </w:r>
    </w:p>
    <w:p>
      <w:pPr>
        <w:pStyle w:val="ListParagraph"/>
        <w:numPr>
          <w:ilvl w:val="0"/>
          <w:numId w:val="2"/>
        </w:numPr>
        <w:spacing w:after="70"/>
      </w:pPr>
      <w:r>
        <w:rPr>
          <w:rFonts w:ascii="Calibri" w:cs="Calibri" w:eastAsia="Calibri" w:hAnsi="Calibri"/>
          <w:b/>
          <w:bCs/>
          <w:color w:val="333A45"/>
          <w:sz w:val="21"/>
          <w:szCs w:val="21"/>
        </w:rPr>
        <w:t xml:space="preserve">The English Law and Regulations are not perfectly consistent with each other.</w:t>
      </w:r>
      <w:r>
        <w:rPr>
          <w:rFonts w:ascii="Calibri" w:cs="Calibri" w:eastAsia="Calibri" w:hAnsi="Calibri"/>
          <w:color w:val="333A45"/>
          <w:sz w:val="21"/>
          <w:szCs w:val="21"/>
        </w:rPr>
        <w:t xml:space="preserve"> Law Art 10 renders the consent requirement as "explicit </w:t>
      </w:r>
      <w:r>
        <w:rPr>
          <w:rFonts w:ascii="Calibri" w:cs="Calibri" w:eastAsia="Calibri" w:hAnsi="Calibri"/>
          <w:b/>
          <w:bCs/>
          <w:color w:val="333A45"/>
          <w:sz w:val="21"/>
          <w:szCs w:val="21"/>
        </w:rPr>
        <w:t xml:space="preserve">approval</w:t>
      </w:r>
      <w:r>
        <w:rPr>
          <w:rFonts w:ascii="Calibri" w:cs="Calibri" w:eastAsia="Calibri" w:hAnsi="Calibri"/>
          <w:color w:val="333A45"/>
          <w:sz w:val="21"/>
          <w:szCs w:val="21"/>
        </w:rPr>
        <w:t xml:space="preserve">" and requires the controller to "</w:t>
      </w:r>
      <w:r>
        <w:rPr>
          <w:rFonts w:ascii="Calibri" w:cs="Calibri" w:eastAsia="Calibri" w:hAnsi="Calibri"/>
          <w:b/>
          <w:bCs/>
          <w:color w:val="333A45"/>
          <w:sz w:val="21"/>
          <w:szCs w:val="21"/>
        </w:rPr>
        <w:t xml:space="preserve">provide proof</w:t>
      </w:r>
      <w:r>
        <w:rPr>
          <w:rFonts w:ascii="Calibri" w:cs="Calibri" w:eastAsia="Calibri" w:hAnsi="Calibri"/>
          <w:color w:val="333A45"/>
          <w:sz w:val="21"/>
          <w:szCs w:val="21"/>
        </w:rPr>
        <w:t xml:space="preserve"> of the written approval", while the Regulations use "explicit </w:t>
      </w:r>
      <w:r>
        <w:rPr>
          <w:rFonts w:ascii="Calibri" w:cs="Calibri" w:eastAsia="Calibri" w:hAnsi="Calibri"/>
          <w:b/>
          <w:bCs/>
          <w:color w:val="333A45"/>
          <w:sz w:val="21"/>
          <w:szCs w:val="21"/>
        </w:rPr>
        <w:t xml:space="preserve">consent</w:t>
      </w:r>
      <w:r>
        <w:rPr>
          <w:rFonts w:ascii="Calibri" w:cs="Calibri" w:eastAsia="Calibri" w:hAnsi="Calibri"/>
          <w:color w:val="333A45"/>
          <w:sz w:val="21"/>
          <w:szCs w:val="21"/>
        </w:rPr>
        <w:t xml:space="preserve">" throughout. The set uses "explicit consent", which is the Regulations' term and the more common one.</w:t>
      </w:r>
    </w:p>
    <w:p>
      <w:pPr>
        <w:pStyle w:val="ListParagraph"/>
        <w:numPr>
          <w:ilvl w:val="0"/>
          <w:numId w:val="2"/>
        </w:numPr>
        <w:spacing w:after="70"/>
      </w:pPr>
      <w:r>
        <w:rPr>
          <w:rFonts w:ascii="Calibri" w:cs="Calibri" w:eastAsia="Calibri" w:hAnsi="Calibri"/>
          <w:b/>
          <w:bCs/>
          <w:color w:val="333A45"/>
          <w:sz w:val="21"/>
          <w:szCs w:val="21"/>
        </w:rPr>
        <w:t xml:space="preserve">Regulations Art 31(2)</w:t>
      </w:r>
      <w:r>
        <w:rPr>
          <w:rFonts w:ascii="Calibri" w:cs="Calibri" w:eastAsia="Calibri" w:hAnsi="Calibri"/>
          <w:color w:val="333A45"/>
          <w:sz w:val="21"/>
          <w:szCs w:val="21"/>
        </w:rPr>
        <w:t xml:space="preserve">, where the regulator may involve itself in notifying individuals, reads "</w:t>
      </w:r>
      <w:r>
        <w:rPr>
          <w:rFonts w:ascii="Calibri" w:cs="Calibri" w:eastAsia="Calibri" w:hAnsi="Calibri"/>
          <w:b/>
          <w:bCs/>
          <w:color w:val="333A45"/>
          <w:sz w:val="21"/>
          <w:szCs w:val="21"/>
        </w:rPr>
        <w:t xml:space="preserve">Requesting</w:t>
      </w:r>
      <w:r>
        <w:rPr>
          <w:rFonts w:ascii="Calibri" w:cs="Calibri" w:eastAsia="Calibri" w:hAnsi="Calibri"/>
          <w:color w:val="333A45"/>
          <w:sz w:val="21"/>
          <w:szCs w:val="21"/>
        </w:rPr>
        <w:t xml:space="preserve"> to notify the personal data subject" in English, against a stronger Arabic formulation closer to </w:t>
      </w:r>
      <w:r>
        <w:rPr>
          <w:rFonts w:ascii="Calibri" w:cs="Calibri" w:eastAsia="Calibri" w:hAnsi="Calibri"/>
          <w:i/>
          <w:iCs/>
          <w:color w:val="333A45"/>
          <w:sz w:val="21"/>
          <w:szCs w:val="21"/>
        </w:rPr>
        <w:t xml:space="preserve">directing</w:t>
      </w:r>
      <w:r>
        <w:rPr>
          <w:rFonts w:ascii="Calibri" w:cs="Calibri" w:eastAsia="Calibri" w:hAnsi="Calibri"/>
          <w:color w:val="333A45"/>
          <w:sz w:val="21"/>
          <w:szCs w:val="21"/>
        </w:rPr>
        <w:t xml:space="preserve">. The set follows the Arabic, since the Arabic governs, but an organisation should expect the softer English wording in correspondence.</w:t>
      </w:r>
    </w:p>
    <w:p>
      <w:pPr>
        <w:keepNext/>
        <w:spacing w:after="80" w:before="200"/>
      </w:pPr>
      <w:r>
        <w:rPr>
          <w:rFonts w:ascii="Calibri" w:cs="Calibri" w:eastAsia="Calibri" w:hAnsi="Calibri"/>
          <w:b/>
          <w:bCs/>
          <w:color w:val="1F3864"/>
          <w:sz w:val="22"/>
          <w:szCs w:val="22"/>
        </w:rPr>
        <w:t xml:space="preserve">4.5 What the check did not do</w:t>
      </w:r>
    </w:p>
    <w:p>
      <w:pPr>
        <w:spacing w:after="110"/>
      </w:pPr>
      <w:r>
        <w:rPr>
          <w:rFonts w:ascii="Calibri" w:cs="Calibri" w:eastAsia="Calibri" w:hAnsi="Calibri"/>
          <w:b/>
          <w:bCs/>
          <w:color w:val="333A45"/>
          <w:sz w:val="21"/>
          <w:szCs w:val="21"/>
        </w:rPr>
        <w:t xml:space="preserve">It is still not a dual extraction of the Arabic</w:t>
      </w:r>
      <w:r>
        <w:rPr>
          <w:rFonts w:ascii="Calibri" w:cs="Calibri" w:eastAsia="Calibri" w:hAnsi="Calibri"/>
          <w:color w:val="333A45"/>
          <w:sz w:val="21"/>
          <w:szCs w:val="21"/>
        </w:rPr>
        <w:t xml:space="preserve"> - two independent extractions agreeing with each other. Checking an Arabic-derived reading against an official English translation is a strong cross-check, but it is not that. Research note section 10 states what would have to happen first before these provisions were derived into structured, machine-readable rules.</w:t>
      </w:r>
    </w:p>
    <w:p>
      <w:pPr>
        <w:keepNext/>
        <w:pBdr>
          <w:bottom w:val="single" w:color="9DB9E8" w:sz="4" w:space="3"/>
        </w:pBdr>
        <w:spacing w:after="100" w:before="260"/>
      </w:pPr>
      <w:r>
        <w:rPr>
          <w:rFonts w:ascii="Calibri" w:cs="Calibri" w:eastAsia="Calibri" w:hAnsi="Calibri"/>
          <w:b/>
          <w:bCs/>
          <w:color w:val="2E5AAC"/>
          <w:sz w:val="26"/>
          <w:szCs w:val="26"/>
        </w:rPr>
        <w:t xml:space="preserve">5. Other jurisdictions' source documents in the working corpus - NOT used here</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3000"/>
        <w:gridCol w:w="3000"/>
        <w:gridCol w:w="3000"/>
      </w:tblGrid>
      <w:tr>
        <w:trPr>
          <w:tblHeader/>
        </w:trPr>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Document</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Jurisdiction</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SHA-256</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Personal Data Protection Act 2012 (2020 Revised Edition)</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Singapore</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d41a91872422d696</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Digital Personal Data Protection Rules 2025 - G.S.R. 846(E)</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India</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eabc7d05e0131446</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Corrigenda - G.S.R. 892(E)</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India</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8f8d9526b5118018</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Data Protection Board composition - G.S.R. 845(E)</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India</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812fe0ce802fe78f</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DIFC Regulation 10 Accreditation and Certification Framework</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UAE (DIFC)</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1557019ef9551bbe</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NDMO Data Management and Personal Data Protection Standards v1.5</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Saudi Arabia</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784fdaae1ff5d9de</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Data Sharing Policy v2.0</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Saudi Arabia</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93e843b8a20a75de</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Data Classification Policy v1</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Saudi Arabia</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bfad974c5343b264</w:t>
            </w:r>
          </w:p>
        </w:tc>
      </w:tr>
    </w:tbl>
    <w:p>
      <w:pPr>
        <w:spacing w:after="120"/>
      </w:pPr>
    </w:p>
    <w:p>
      <w:pPr>
        <w:spacing w:after="110"/>
      </w:pPr>
      <w:r>
        <w:rPr>
          <w:rFonts w:ascii="Calibri" w:cs="Calibri" w:eastAsia="Calibri" w:hAnsi="Calibri"/>
          <w:b/>
          <w:bCs/>
          <w:color w:val="333A45"/>
          <w:sz w:val="21"/>
          <w:szCs w:val="21"/>
        </w:rPr>
        <w:t xml:space="preserve">No provision of any of these entered the Oman set</w:t>
      </w:r>
      <w:r>
        <w:rPr>
          <w:rFonts w:ascii="Calibri" w:cs="Calibri" w:eastAsia="Calibri" w:hAnsi="Calibri"/>
          <w:color w:val="333A45"/>
          <w:sz w:val="21"/>
          <w:szCs w:val="21"/>
        </w:rPr>
        <w:t xml:space="preserve">, and no comparison to any other jurisdiction appears in any Oman document.</w:t>
      </w:r>
    </w:p>
    <w:p>
      <w:pPr>
        <w:keepNext/>
        <w:pBdr>
          <w:bottom w:val="single" w:color="9DB9E8" w:sz="4" w:space="3"/>
        </w:pBdr>
        <w:spacing w:after="100" w:before="260"/>
      </w:pPr>
      <w:r>
        <w:rPr>
          <w:rFonts w:ascii="Calibri" w:cs="Calibri" w:eastAsia="Calibri" w:hAnsi="Calibri"/>
          <w:b/>
          <w:bCs/>
          <w:color w:val="2E5AAC"/>
          <w:sz w:val="26"/>
          <w:szCs w:val="26"/>
        </w:rPr>
        <w:t xml:space="preserve">6. Document architecture</w:t>
      </w:r>
    </w:p>
    <w:p>
      <w:pPr>
        <w:spacing w:after="110"/>
      </w:pPr>
      <w:r>
        <w:rPr>
          <w:rFonts w:ascii="Calibri" w:cs="Calibri" w:eastAsia="Calibri" w:hAnsi="Calibri"/>
          <w:color w:val="333A45"/>
          <w:sz w:val="21"/>
          <w:szCs w:val="21"/>
        </w:rPr>
        <w:t xml:space="preserve">[ORGANISATION] supplied an existing policy set as a structural template. Only its architecture was used: section order, tone, the convention that article numbers live in the research note rather than the policy body, and the practice of flagging house standards that exceed statute.</w:t>
      </w:r>
    </w:p>
    <w:p>
      <w:pPr>
        <w:spacing w:after="110"/>
      </w:pPr>
      <w:r>
        <w:rPr>
          <w:rFonts w:ascii="Calibri" w:cs="Calibri" w:eastAsia="Calibri" w:hAnsi="Calibri"/>
          <w:b/>
          <w:bCs/>
          <w:color w:val="333A45"/>
          <w:sz w:val="21"/>
          <w:szCs w:val="21"/>
        </w:rPr>
        <w:t xml:space="preserve">No legal source from that template was carried across.</w:t>
      </w:r>
      <w:r>
        <w:rPr>
          <w:rFonts w:ascii="Calibri" w:cs="Calibri" w:eastAsia="Calibri" w:hAnsi="Calibri"/>
          <w:color w:val="333A45"/>
          <w:sz w:val="21"/>
          <w:szCs w:val="21"/>
        </w:rPr>
        <w:t xml:space="preserve"> Every obligation in this set was derived independently from the instruments at section 1. Where the template carried a citation and no equivalent Omani provision exists, the clause here is an unsourced house standard and is labelled as such in the policy text itself.</w:t>
      </w:r>
    </w:p>
    <w:p>
      <w:pPr>
        <w:keepNext/>
        <w:pBdr>
          <w:bottom w:val="single" w:color="9DB9E8" w:sz="4" w:space="3"/>
        </w:pBdr>
        <w:spacing w:after="100" w:before="260"/>
      </w:pPr>
      <w:r>
        <w:rPr>
          <w:rFonts w:ascii="Calibri" w:cs="Calibri" w:eastAsia="Calibri" w:hAnsi="Calibri"/>
          <w:b/>
          <w:bCs/>
          <w:color w:val="2E5AAC"/>
          <w:sz w:val="26"/>
          <w:szCs w:val="26"/>
        </w:rPr>
        <w:t xml:space="preserve">7. Documents PRODUCED</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3000"/>
        <w:gridCol w:w="3000"/>
        <w:gridCol w:w="3000"/>
      </w:tblGrid>
      <w:tr>
        <w:trPr>
          <w:tblHeader/>
        </w:trPr>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Document</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Version</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Status</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Oman_AI_Acceptable_Use_Policy.md</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w:t>
            </w:r>
          </w:p>
        </w:tc>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Published 3 Sep 2026</w:t>
            </w:r>
            <w:r>
              <w:rPr>
                <w:rFonts w:ascii="Calibri" w:cs="Calibri" w:eastAsia="Calibri" w:hAnsi="Calibri"/>
                <w:color w:val="333A45"/>
                <w:sz w:val="19"/>
                <w:szCs w:val="19"/>
              </w:rPr>
              <w:t xml:space="preserve"> - written from the enacted Arabic, checked against MTCIT's official English texts</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Oman_AI_Governance_Enterprise_Annex.md</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Published 3 Sep 2026</w:t>
            </w:r>
            <w:r>
              <w:rPr>
                <w:rFonts w:ascii="Calibri" w:cs="Calibri" w:eastAsia="Calibri" w:hAnsi="Calibri"/>
                <w:color w:val="333A45"/>
                <w:sz w:val="19"/>
                <w:szCs w:val="19"/>
              </w:rPr>
              <w:t xml:space="preserve"> - written from the enacted Arabic, checked against MTCIT's official English texts</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Oman_policy_research_note.md</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Citations, findings, the map of the gaps</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Oman_source_register.md</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This document</w:t>
            </w:r>
          </w:p>
        </w:tc>
      </w:tr>
    </w:tbl>
    <w:p>
      <w:pPr>
        <w:spacing w:after="120"/>
      </w:pPr>
    </w:p>
    <w:p>
      <w:pPr>
        <w:keepNext/>
        <w:pBdr>
          <w:bottom w:val="single" w:color="9DB9E8" w:sz="4" w:space="3"/>
        </w:pBdr>
        <w:spacing w:after="100" w:before="260"/>
      </w:pPr>
      <w:r>
        <w:rPr>
          <w:rFonts w:ascii="Calibri" w:cs="Calibri" w:eastAsia="Calibri" w:hAnsi="Calibri"/>
          <w:b/>
          <w:bCs/>
          <w:color w:val="2E5AAC"/>
          <w:sz w:val="26"/>
          <w:szCs w:val="26"/>
        </w:rPr>
        <w:t xml:space="preserve">8. Sources NOT used, as a matter of method</w:t>
      </w:r>
    </w:p>
    <w:p>
      <w:pPr>
        <w:pStyle w:val="ListParagraph"/>
        <w:numPr>
          <w:ilvl w:val="0"/>
          <w:numId w:val="2"/>
        </w:numPr>
        <w:spacing w:after="70"/>
      </w:pPr>
      <w:r>
        <w:rPr>
          <w:rFonts w:ascii="Calibri" w:cs="Calibri" w:eastAsia="Calibri" w:hAnsi="Calibri"/>
          <w:b/>
          <w:bCs/>
          <w:color w:val="333A45"/>
          <w:sz w:val="21"/>
          <w:szCs w:val="21"/>
        </w:rPr>
        <w:t xml:space="preserve">No web content entered any obligation.</w:t>
      </w:r>
      <w:r>
        <w:rPr>
          <w:rFonts w:ascii="Calibri" w:cs="Calibri" w:eastAsia="Calibri" w:hAnsi="Calibri"/>
          <w:color w:val="333A45"/>
          <w:sz w:val="21"/>
          <w:szCs w:val="21"/>
        </w:rPr>
        <w:t xml:space="preserve"> Web search was used earlier only to locate the official MTCIT download pages; nothing from any page was carried into an obligation.</w:t>
      </w:r>
    </w:p>
    <w:p>
      <w:pPr>
        <w:pStyle w:val="ListParagraph"/>
        <w:numPr>
          <w:ilvl w:val="0"/>
          <w:numId w:val="2"/>
        </w:numPr>
        <w:spacing w:after="70"/>
      </w:pPr>
      <w:r>
        <w:rPr>
          <w:rFonts w:ascii="Calibri" w:cs="Calibri" w:eastAsia="Calibri" w:hAnsi="Calibri"/>
          <w:b/>
          <w:bCs/>
          <w:color w:val="333A45"/>
          <w:sz w:val="21"/>
          <w:szCs w:val="21"/>
        </w:rPr>
        <w:t xml:space="preserve">No AI-generated legal content.</w:t>
      </w:r>
      <w:r>
        <w:rPr>
          <w:rFonts w:ascii="Calibri" w:cs="Calibri" w:eastAsia="Calibri" w:hAnsi="Calibri"/>
          <w:color w:val="333A45"/>
          <w:sz w:val="21"/>
          <w:szCs w:val="21"/>
        </w:rPr>
        <w:t xml:space="preserve"> Every provision cited resolves to a page of one of the files at section 1.</w:t>
      </w:r>
    </w:p>
    <w:p>
      <w:pPr>
        <w:pStyle w:val="ListParagraph"/>
        <w:numPr>
          <w:ilvl w:val="0"/>
          <w:numId w:val="2"/>
        </w:numPr>
        <w:spacing w:after="70"/>
      </w:pPr>
      <w:r>
        <w:rPr>
          <w:rFonts w:ascii="Calibri" w:cs="Calibri" w:eastAsia="Calibri" w:hAnsi="Calibri"/>
          <w:b/>
          <w:bCs/>
          <w:color w:val="333A45"/>
          <w:sz w:val="21"/>
          <w:szCs w:val="21"/>
        </w:rPr>
        <w:t xml:space="preserve">No secondary commentary, law-firm briefing, or comparative summary.</w:t>
      </w:r>
    </w:p>
    <w:p>
      <w:pPr>
        <w:pStyle w:val="ListParagraph"/>
        <w:numPr>
          <w:ilvl w:val="0"/>
          <w:numId w:val="2"/>
        </w:numPr>
        <w:spacing w:after="70"/>
      </w:pPr>
      <w:r>
        <w:rPr>
          <w:rFonts w:ascii="Calibri" w:cs="Calibri" w:eastAsia="Calibri" w:hAnsi="Calibri"/>
          <w:b/>
          <w:bCs/>
          <w:color w:val="333A45"/>
          <w:sz w:val="21"/>
          <w:szCs w:val="21"/>
        </w:rPr>
        <w:t xml:space="preserve">No comparison to any other jurisdiction.</w:t>
      </w:r>
    </w:p>
    <w:p>
      <w:pPr>
        <w:keepNext/>
        <w:pBdr>
          <w:bottom w:val="single" w:color="9DB9E8" w:sz="4" w:space="3"/>
        </w:pBdr>
        <w:spacing w:after="100" w:before="260"/>
      </w:pPr>
      <w:r>
        <w:rPr>
          <w:rFonts w:ascii="Calibri" w:cs="Calibri" w:eastAsia="Calibri" w:hAnsi="Calibri"/>
          <w:b/>
          <w:bCs/>
          <w:color w:val="2E5AAC"/>
          <w:sz w:val="26"/>
          <w:szCs w:val="26"/>
        </w:rPr>
        <w:t xml:space="preserve">9. The verifications that mattered most</w:t>
      </w:r>
    </w:p>
    <w:p>
      <w:pPr>
        <w:keepNext/>
        <w:spacing w:after="80" w:before="200"/>
      </w:pPr>
      <w:r>
        <w:rPr>
          <w:rFonts w:ascii="Calibri" w:cs="Calibri" w:eastAsia="Calibri" w:hAnsi="Calibri"/>
          <w:b/>
          <w:bCs/>
          <w:color w:val="1F3864"/>
          <w:sz w:val="22"/>
          <w:szCs w:val="22"/>
        </w:rPr>
        <w:t xml:space="preserve">9.1 The scope of the AI policy - and a divergence inside one document</w:t>
      </w:r>
    </w:p>
    <w:p>
      <w:pPr>
        <w:spacing w:after="110"/>
      </w:pPr>
      <w:r>
        <w:rPr>
          <w:rFonts w:ascii="Calibri" w:cs="Calibri" w:eastAsia="Calibri" w:hAnsi="Calibri"/>
          <w:color w:val="333A45"/>
          <w:sz w:val="21"/>
          <w:szCs w:val="21"/>
        </w:rPr>
        <w:t xml:space="preserve">The </w:t>
      </w:r>
      <w:r>
        <w:rPr>
          <w:rFonts w:ascii="Calibri" w:cs="Calibri" w:eastAsia="Calibri" w:hAnsi="Calibri"/>
          <w:b/>
          <w:bCs/>
          <w:color w:val="333A45"/>
          <w:sz w:val="21"/>
          <w:szCs w:val="21"/>
        </w:rPr>
        <w:t xml:space="preserve">Arabic</w:t>
      </w:r>
      <w:r>
        <w:rPr>
          <w:rFonts w:ascii="Calibri" w:cs="Calibri" w:eastAsia="Calibri" w:hAnsi="Calibri"/>
          <w:color w:val="333A45"/>
          <w:sz w:val="21"/>
          <w:szCs w:val="21"/>
        </w:rPr>
        <w:t xml:space="preserve"> document-control page carries a distribution list reading only </w:t>
      </w:r>
      <w:r>
        <w:rPr>
          <w:rFonts w:ascii="Calibri" w:cs="Calibri" w:eastAsia="Calibri" w:hAnsi="Calibri"/>
          <w:b/>
          <w:bCs/>
          <w:color w:val="333A45"/>
          <w:sz w:val="21"/>
          <w:szCs w:val="21"/>
        </w:rPr>
        <w:t xml:space="preserve">"all units of the State's administrative apparatus"</w:t>
      </w:r>
      <w:r>
        <w:rPr>
          <w:rFonts w:ascii="Calibri" w:cs="Calibri" w:eastAsia="Calibri" w:hAnsi="Calibri"/>
          <w:color w:val="333A45"/>
          <w:sz w:val="21"/>
          <w:szCs w:val="21"/>
        </w:rPr>
        <w:t xml:space="preserve">. Its </w:t>
      </w:r>
      <w:r>
        <w:rPr>
          <w:rFonts w:ascii="Calibri" w:cs="Calibri" w:eastAsia="Calibri" w:hAnsi="Calibri"/>
          <w:b/>
          <w:bCs/>
          <w:color w:val="333A45"/>
          <w:sz w:val="21"/>
          <w:szCs w:val="21"/>
        </w:rPr>
        <w:t xml:space="preserve">scope section</w:t>
      </w:r>
      <w:r>
        <w:rPr>
          <w:rFonts w:ascii="Calibri" w:cs="Calibri" w:eastAsia="Calibri" w:hAnsi="Calibri"/>
          <w:color w:val="333A45"/>
          <w:sz w:val="21"/>
          <w:szCs w:val="21"/>
        </w:rPr>
        <w:t xml:space="preserve"> states that it applies to </w:t>
      </w:r>
      <w:r>
        <w:rPr>
          <w:rFonts w:ascii="Calibri" w:cs="Calibri" w:eastAsia="Calibri" w:hAnsi="Calibri"/>
          <w:b/>
          <w:bCs/>
          <w:color w:val="333A45"/>
          <w:sz w:val="21"/>
          <w:szCs w:val="21"/>
        </w:rPr>
        <w:t xml:space="preserve">"all government units and private-sector institutions subject to regulation by the regulatory authorities"</w:t>
      </w:r>
      <w:r>
        <w:rPr>
          <w:rFonts w:ascii="Calibri" w:cs="Calibri" w:eastAsia="Calibri" w:hAnsi="Calibri"/>
          <w:color w:val="333A45"/>
          <w:sz w:val="21"/>
          <w:szCs w:val="21"/>
        </w:rPr>
        <w:t xml:space="preserve"> which develop or use AI systems, across implementation, data collection, system design, training, operation and continuous evaluation. Its </w:t>
      </w:r>
      <w:r>
        <w:rPr>
          <w:rFonts w:ascii="Calibri" w:cs="Calibri" w:eastAsia="Calibri" w:hAnsi="Calibri"/>
          <w:b/>
          <w:bCs/>
          <w:color w:val="333A45"/>
          <w:sz w:val="21"/>
          <w:szCs w:val="21"/>
        </w:rPr>
        <w:t xml:space="preserve">definitions</w:t>
      </w:r>
      <w:r>
        <w:rPr>
          <w:rFonts w:ascii="Calibri" w:cs="Calibri" w:eastAsia="Calibri" w:hAnsi="Calibri"/>
          <w:color w:val="333A45"/>
          <w:sz w:val="21"/>
          <w:szCs w:val="21"/>
        </w:rPr>
        <w:t xml:space="preserve"> confirm this, defining both the </w:t>
      </w:r>
      <w:r>
        <w:rPr>
          <w:rFonts w:ascii="Calibri" w:cs="Calibri" w:eastAsia="Calibri" w:hAnsi="Calibri"/>
          <w:i/>
          <w:iCs/>
          <w:color w:val="333A45"/>
          <w:sz w:val="21"/>
          <w:szCs w:val="21"/>
        </w:rPr>
        <w:t xml:space="preserve">using entity</w:t>
      </w:r>
      <w:r>
        <w:rPr>
          <w:rFonts w:ascii="Calibri" w:cs="Calibri" w:eastAsia="Calibri" w:hAnsi="Calibri"/>
          <w:color w:val="333A45"/>
          <w:sz w:val="21"/>
          <w:szCs w:val="21"/>
        </w:rPr>
        <w:t xml:space="preserve"> and the </w:t>
      </w:r>
      <w:r>
        <w:rPr>
          <w:rFonts w:ascii="Calibri" w:cs="Calibri" w:eastAsia="Calibri" w:hAnsi="Calibri"/>
          <w:i/>
          <w:iCs/>
          <w:color w:val="333A45"/>
          <w:sz w:val="21"/>
          <w:szCs w:val="21"/>
        </w:rPr>
        <w:t xml:space="preserve">developing entity</w:t>
      </w:r>
      <w:r>
        <w:rPr>
          <w:rFonts w:ascii="Calibri" w:cs="Calibri" w:eastAsia="Calibri" w:hAnsi="Calibri"/>
          <w:color w:val="333A45"/>
          <w:sz w:val="21"/>
          <w:szCs w:val="21"/>
        </w:rPr>
        <w:t xml:space="preserve"> as "any </w:t>
      </w:r>
      <w:r>
        <w:rPr>
          <w:rFonts w:ascii="Calibri" w:cs="Calibri" w:eastAsia="Calibri" w:hAnsi="Calibri"/>
          <w:b/>
          <w:bCs/>
          <w:color w:val="333A45"/>
          <w:sz w:val="21"/>
          <w:szCs w:val="21"/>
        </w:rPr>
        <w:t xml:space="preserve">governmental or private</w:t>
      </w:r>
      <w:r>
        <w:rPr>
          <w:rFonts w:ascii="Calibri" w:cs="Calibri" w:eastAsia="Calibri" w:hAnsi="Calibri"/>
          <w:color w:val="333A45"/>
          <w:sz w:val="21"/>
          <w:szCs w:val="21"/>
        </w:rPr>
        <w:t xml:space="preserve"> institution".</w:t>
      </w:r>
    </w:p>
    <w:p>
      <w:pPr>
        <w:spacing w:after="110"/>
      </w:pPr>
      <w:r>
        <w:rPr>
          <w:rFonts w:ascii="Calibri" w:cs="Calibri" w:eastAsia="Calibri" w:hAnsi="Calibri"/>
          <w:b/>
          <w:bCs/>
          <w:color w:val="333A45"/>
          <w:sz w:val="21"/>
          <w:szCs w:val="21"/>
        </w:rPr>
        <w:t xml:space="preserve">A reader who saw only the Arabic distribution list would conclude this is a government-only policy</w:t>
      </w:r>
      <w:r>
        <w:rPr>
          <w:rFonts w:ascii="Calibri" w:cs="Calibri" w:eastAsia="Calibri" w:hAnsi="Calibri"/>
          <w:color w:val="333A45"/>
          <w:sz w:val="21"/>
          <w:szCs w:val="21"/>
        </w:rPr>
        <w:t xml:space="preserve"> - and would then write no Oman AI policy at all for a private-sector client, or would write one that disclaimed the very instrument it should be built on.</w:t>
      </w:r>
    </w:p>
    <w:p>
      <w:pPr>
        <w:spacing w:after="110"/>
      </w:pPr>
      <w:r>
        <w:rPr>
          <w:rFonts w:ascii="Calibri" w:cs="Calibri" w:eastAsia="Calibri" w:hAnsi="Calibri"/>
          <w:b/>
          <w:bCs/>
          <w:color w:val="333A45"/>
          <w:sz w:val="21"/>
          <w:szCs w:val="21"/>
        </w:rPr>
        <w:t xml:space="preserve">The official English text settles it.</w:t>
      </w:r>
      <w:r>
        <w:rPr>
          <w:rFonts w:ascii="Calibri" w:cs="Calibri" w:eastAsia="Calibri" w:hAnsi="Calibri"/>
          <w:color w:val="333A45"/>
          <w:sz w:val="21"/>
          <w:szCs w:val="21"/>
        </w:rPr>
        <w:t xml:space="preserve"> Its distribution list reads </w:t>
      </w:r>
      <w:r>
        <w:rPr>
          <w:rFonts w:ascii="Calibri" w:cs="Calibri" w:eastAsia="Calibri" w:hAnsi="Calibri"/>
          <w:b/>
          <w:bCs/>
          <w:color w:val="333A45"/>
          <w:sz w:val="21"/>
          <w:szCs w:val="21"/>
        </w:rPr>
        <w:t xml:space="preserve">"All State Administrative Apparatus units and the Private Sector"</w:t>
      </w:r>
      <w:r>
        <w:rPr>
          <w:rFonts w:ascii="Calibri" w:cs="Calibri" w:eastAsia="Calibri" w:hAnsi="Calibri"/>
          <w:color w:val="333A45"/>
          <w:sz w:val="21"/>
          <w:szCs w:val="21"/>
        </w:rPr>
        <w:t xml:space="preserve">, and its scope section reads "This document applies to all government administrative units and private sector organizations regulated by the relevant regulatory authorities that are involved in the development or use of AI systems." In English the distribution list and the scope section agree; the divergence exists only in the Arabic.</w:t>
      </w:r>
    </w:p>
    <w:p>
      <w:pPr>
        <w:spacing w:after="110"/>
      </w:pPr>
      <w:r>
        <w:rPr>
          <w:rFonts w:ascii="Calibri" w:cs="Calibri" w:eastAsia="Calibri" w:hAnsi="Calibri"/>
          <w:color w:val="333A45"/>
          <w:sz w:val="21"/>
          <w:szCs w:val="21"/>
        </w:rPr>
        <w:t xml:space="preserve">The set followed the scope provision before the English was held, records the divergence rather than silently resolving it, and captures the real qualification: the private-sector reach runs </w:t>
      </w:r>
      <w:r>
        <w:rPr>
          <w:rFonts w:ascii="Calibri" w:cs="Calibri" w:eastAsia="Calibri" w:hAnsi="Calibri"/>
          <w:b/>
          <w:bCs/>
          <w:color w:val="333A45"/>
          <w:sz w:val="21"/>
          <w:szCs w:val="21"/>
        </w:rPr>
        <w:t xml:space="preserve">through sector regulation</w:t>
      </w:r>
      <w:r>
        <w:rPr>
          <w:rFonts w:ascii="Calibri" w:cs="Calibri" w:eastAsia="Calibri" w:hAnsi="Calibri"/>
          <w:color w:val="333A45"/>
          <w:sz w:val="21"/>
          <w:szCs w:val="21"/>
        </w:rPr>
        <w:t xml:space="preserve">, which is also why the sector regulator is the enforcement channel.</w:t>
      </w:r>
    </w:p>
    <w:p>
      <w:pPr>
        <w:keepNext/>
        <w:spacing w:after="80" w:before="200"/>
      </w:pPr>
      <w:r>
        <w:rPr>
          <w:rFonts w:ascii="Calibri" w:cs="Calibri" w:eastAsia="Calibri" w:hAnsi="Calibri"/>
          <w:b/>
          <w:bCs/>
          <w:color w:val="1F3864"/>
          <w:sz w:val="22"/>
          <w:szCs w:val="22"/>
        </w:rPr>
        <w:t xml:space="preserve">9.2 Two breach clocks, both 72 hours, with different triggers</w:t>
      </w:r>
    </w:p>
    <w:p>
      <w:pPr>
        <w:spacing w:after="110"/>
      </w:pPr>
      <w:r>
        <w:rPr>
          <w:rFonts w:ascii="Calibri" w:cs="Calibri" w:eastAsia="Calibri" w:hAnsi="Calibri"/>
          <w:color w:val="333A45"/>
          <w:sz w:val="21"/>
          <w:szCs w:val="21"/>
        </w:rPr>
        <w:t xml:space="preserve">Regulations </w:t>
      </w:r>
      <w:r>
        <w:rPr>
          <w:rFonts w:ascii="Calibri" w:cs="Calibri" w:eastAsia="Calibri" w:hAnsi="Calibri"/>
          <w:b/>
          <w:bCs/>
          <w:color w:val="333A45"/>
          <w:sz w:val="21"/>
          <w:szCs w:val="21"/>
        </w:rPr>
        <w:t xml:space="preserve">Art 30</w:t>
      </w:r>
      <w:r>
        <w:rPr>
          <w:rFonts w:ascii="Calibri" w:cs="Calibri" w:eastAsia="Calibri" w:hAnsi="Calibri"/>
          <w:color w:val="333A45"/>
          <w:sz w:val="21"/>
          <w:szCs w:val="21"/>
        </w:rPr>
        <w:t xml:space="preserve"> requires notification to the Competent Department </w:t>
      </w:r>
      <w:r>
        <w:rPr>
          <w:rFonts w:ascii="Calibri" w:cs="Calibri" w:eastAsia="Calibri" w:hAnsi="Calibri"/>
          <w:b/>
          <w:bCs/>
          <w:color w:val="333A45"/>
          <w:sz w:val="21"/>
          <w:szCs w:val="21"/>
        </w:rPr>
        <w:t xml:space="preserve">within 72 hours of the controller's knowledge</w:t>
      </w:r>
      <w:r>
        <w:rPr>
          <w:rFonts w:ascii="Calibri" w:cs="Calibri" w:eastAsia="Calibri" w:hAnsi="Calibri"/>
          <w:color w:val="333A45"/>
          <w:sz w:val="21"/>
          <w:szCs w:val="21"/>
        </w:rPr>
        <w:t xml:space="preserve">, where the breach </w:t>
      </w:r>
      <w:r>
        <w:rPr>
          <w:rFonts w:ascii="Calibri" w:cs="Calibri" w:eastAsia="Calibri" w:hAnsi="Calibri"/>
          <w:b/>
          <w:bCs/>
          <w:color w:val="333A45"/>
          <w:sz w:val="21"/>
          <w:szCs w:val="21"/>
        </w:rPr>
        <w:t xml:space="preserve">would lead to a risk threatening the rights of data subjects</w:t>
      </w:r>
      <w:r>
        <w:rPr>
          <w:rFonts w:ascii="Calibri" w:cs="Calibri" w:eastAsia="Calibri" w:hAnsi="Calibri"/>
          <w:color w:val="333A45"/>
          <w:sz w:val="21"/>
          <w:szCs w:val="21"/>
        </w:rPr>
        <w:t xml:space="preserve">. Regulations </w:t>
      </w:r>
      <w:r>
        <w:rPr>
          <w:rFonts w:ascii="Calibri" w:cs="Calibri" w:eastAsia="Calibri" w:hAnsi="Calibri"/>
          <w:b/>
          <w:bCs/>
          <w:color w:val="333A45"/>
          <w:sz w:val="21"/>
          <w:szCs w:val="21"/>
        </w:rPr>
        <w:t xml:space="preserve">Art 32</w:t>
      </w:r>
      <w:r>
        <w:rPr>
          <w:rFonts w:ascii="Calibri" w:cs="Calibri" w:eastAsia="Calibri" w:hAnsi="Calibri"/>
          <w:color w:val="333A45"/>
          <w:sz w:val="21"/>
          <w:szCs w:val="21"/>
        </w:rPr>
        <w:t xml:space="preserve"> requires notification to the </w:t>
      </w:r>
      <w:r>
        <w:rPr>
          <w:rFonts w:ascii="Calibri" w:cs="Calibri" w:eastAsia="Calibri" w:hAnsi="Calibri"/>
          <w:b/>
          <w:bCs/>
          <w:color w:val="333A45"/>
          <w:sz w:val="21"/>
          <w:szCs w:val="21"/>
        </w:rPr>
        <w:t xml:space="preserve">data subject within 72 hours of the controller's knowledge</w:t>
      </w:r>
      <w:r>
        <w:rPr>
          <w:rFonts w:ascii="Calibri" w:cs="Calibri" w:eastAsia="Calibri" w:hAnsi="Calibri"/>
          <w:color w:val="333A45"/>
          <w:sz w:val="21"/>
          <w:szCs w:val="21"/>
        </w:rPr>
        <w:t xml:space="preserve">, where the breach </w:t>
      </w:r>
      <w:r>
        <w:rPr>
          <w:rFonts w:ascii="Calibri" w:cs="Calibri" w:eastAsia="Calibri" w:hAnsi="Calibri"/>
          <w:b/>
          <w:bCs/>
          <w:color w:val="333A45"/>
          <w:sz w:val="21"/>
          <w:szCs w:val="21"/>
        </w:rPr>
        <w:t xml:space="preserve">would cause serious damage or high risks to that data subject</w:t>
      </w:r>
      <w:r>
        <w:rPr>
          <w:rFonts w:ascii="Calibri" w:cs="Calibri" w:eastAsia="Calibri" w:hAnsi="Calibri"/>
          <w:color w:val="333A45"/>
          <w:sz w:val="21"/>
          <w:szCs w:val="21"/>
        </w:rPr>
        <w:t xml:space="preserve">.</w:t>
      </w:r>
    </w:p>
    <w:p>
      <w:pPr>
        <w:spacing w:after="110"/>
      </w:pPr>
      <w:r>
        <w:rPr>
          <w:rFonts w:ascii="Calibri" w:cs="Calibri" w:eastAsia="Calibri" w:hAnsi="Calibri"/>
          <w:b/>
          <w:bCs/>
          <w:color w:val="333A45"/>
          <w:sz w:val="21"/>
          <w:szCs w:val="21"/>
        </w:rPr>
        <w:t xml:space="preserve">Same period, same starting point, different tests.</w:t>
      </w:r>
      <w:r>
        <w:rPr>
          <w:rFonts w:ascii="Calibri" w:cs="Calibri" w:eastAsia="Calibri" w:hAnsi="Calibri"/>
          <w:color w:val="333A45"/>
          <w:sz w:val="21"/>
          <w:szCs w:val="21"/>
        </w:rPr>
        <w:t xml:space="preserve"> A breach can cross one threshold and not the other.</w:t>
      </w:r>
    </w:p>
    <w:p>
      <w:pPr>
        <w:spacing w:after="110"/>
      </w:pPr>
      <w:r>
        <w:rPr>
          <w:rFonts w:ascii="Calibri" w:cs="Calibri" w:eastAsia="Calibri" w:hAnsi="Calibri"/>
          <w:color w:val="333A45"/>
          <w:sz w:val="21"/>
          <w:szCs w:val="21"/>
        </w:rPr>
        <w:t xml:space="preserve">The obvious drafting error - and the one this set was written to avoid - is a policy that states "notify within 72 hours" once and lets the reader assume a single duty. Policy 15.4 requires a recorded determination for </w:t>
      </w:r>
      <w:r>
        <w:rPr>
          <w:rFonts w:ascii="Calibri" w:cs="Calibri" w:eastAsia="Calibri" w:hAnsi="Calibri"/>
          <w:b/>
          <w:bCs/>
          <w:color w:val="333A45"/>
          <w:sz w:val="21"/>
          <w:szCs w:val="21"/>
        </w:rPr>
        <w:t xml:space="preserve">each</w:t>
      </w:r>
      <w:r>
        <w:rPr>
          <w:rFonts w:ascii="Calibri" w:cs="Calibri" w:eastAsia="Calibri" w:hAnsi="Calibri"/>
          <w:color w:val="333A45"/>
          <w:sz w:val="21"/>
          <w:szCs w:val="21"/>
        </w:rPr>
        <w:t xml:space="preserve"> limb; annex A9.2 makes a simulated breach crossing one but not the other the specific internal audit test; and annex A10.2 requires the two intervals to be reported separately and </w:t>
      </w:r>
      <w:r>
        <w:rPr>
          <w:rFonts w:ascii="Calibri" w:cs="Calibri" w:eastAsia="Calibri" w:hAnsi="Calibri"/>
          <w:b/>
          <w:bCs/>
          <w:color w:val="333A45"/>
          <w:sz w:val="21"/>
          <w:szCs w:val="21"/>
        </w:rPr>
        <w:t xml:space="preserve">never as an average</w:t>
      </w:r>
      <w:r>
        <w:rPr>
          <w:rFonts w:ascii="Calibri" w:cs="Calibri" w:eastAsia="Calibri" w:hAnsi="Calibri"/>
          <w:color w:val="333A45"/>
          <w:sz w:val="21"/>
          <w:szCs w:val="21"/>
        </w:rPr>
        <w:t xml:space="preserve">, because an average conceals exactly that failure.</w:t>
      </w:r>
    </w:p>
    <w:p>
      <w:pPr>
        <w:spacing w:after="110"/>
      </w:pPr>
      <w:r>
        <w:rPr>
          <w:rFonts w:ascii="Calibri" w:cs="Calibri" w:eastAsia="Calibri" w:hAnsi="Calibri"/>
          <w:color w:val="333A45"/>
          <w:sz w:val="21"/>
          <w:szCs w:val="21"/>
        </w:rPr>
        <w:t xml:space="preserve">Regulations </w:t>
      </w:r>
      <w:r>
        <w:rPr>
          <w:rFonts w:ascii="Calibri" w:cs="Calibri" w:eastAsia="Calibri" w:hAnsi="Calibri"/>
          <w:b/>
          <w:bCs/>
          <w:color w:val="333A45"/>
          <w:sz w:val="21"/>
          <w:szCs w:val="21"/>
        </w:rPr>
        <w:t xml:space="preserve">Art 31(2)</w:t>
      </w:r>
      <w:r>
        <w:rPr>
          <w:rFonts w:ascii="Calibri" w:cs="Calibri" w:eastAsia="Calibri" w:hAnsi="Calibri"/>
          <w:color w:val="333A45"/>
          <w:sz w:val="21"/>
          <w:szCs w:val="21"/>
        </w:rPr>
        <w:t xml:space="preserve"> adds a third element the policy plans for: </w:t>
      </w:r>
      <w:r>
        <w:rPr>
          <w:rFonts w:ascii="Calibri" w:cs="Calibri" w:eastAsia="Calibri" w:hAnsi="Calibri"/>
          <w:b/>
          <w:bCs/>
          <w:color w:val="333A45"/>
          <w:sz w:val="21"/>
          <w:szCs w:val="21"/>
        </w:rPr>
        <w:t xml:space="preserve">the regulator may direct that data subjects be notified</w:t>
      </w:r>
      <w:r>
        <w:rPr>
          <w:rFonts w:ascii="Calibri" w:cs="Calibri" w:eastAsia="Calibri" w:hAnsi="Calibri"/>
          <w:color w:val="333A45"/>
          <w:sz w:val="21"/>
          <w:szCs w:val="21"/>
        </w:rPr>
        <w:t xml:space="preserve">, after the organisation has decided not to.</w:t>
      </w:r>
    </w:p>
    <w:p>
      <w:pPr>
        <w:keepNext/>
        <w:spacing w:after="80" w:before="200"/>
      </w:pPr>
      <w:r>
        <w:rPr>
          <w:rFonts w:ascii="Calibri" w:cs="Calibri" w:eastAsia="Calibri" w:hAnsi="Calibri"/>
          <w:b/>
          <w:bCs/>
          <w:color w:val="1F3864"/>
          <w:sz w:val="22"/>
          <w:szCs w:val="22"/>
        </w:rPr>
        <w:t xml:space="preserve">9.3 The penalty structure, and one figure that dominates it</w:t>
      </w:r>
    </w:p>
    <w:p>
      <w:pPr>
        <w:spacing w:after="110"/>
      </w:pPr>
      <w:r>
        <w:rPr>
          <w:rFonts w:ascii="Calibri" w:cs="Calibri" w:eastAsia="Calibri" w:hAnsi="Calibri"/>
          <w:color w:val="333A45"/>
          <w:sz w:val="21"/>
          <w:szCs w:val="21"/>
        </w:rPr>
        <w:t xml:space="preserve">Reading Law Arts 25 to 32 together produces a table that is not ordered as one would expect, and one band that dwarfs the rest.</w:t>
      </w:r>
    </w:p>
    <w:p>
      <w:pPr>
        <w:spacing w:after="110"/>
      </w:pPr>
      <w:r>
        <w:rPr>
          <w:rFonts w:ascii="Calibri" w:cs="Calibri" w:eastAsia="Calibri" w:hAnsi="Calibri"/>
          <w:b/>
          <w:bCs/>
          <w:color w:val="333A45"/>
          <w:sz w:val="21"/>
          <w:szCs w:val="21"/>
        </w:rPr>
        <w:t xml:space="preserve">Contravention of the cross-border transfer provision carries a fine of OMR 100,000 to 500,000. Every other contravention in the statute tops out at OMR 20,000.</w:t>
      </w:r>
    </w:p>
    <w:p>
      <w:pPr>
        <w:spacing w:after="110"/>
      </w:pPr>
      <w:r>
        <w:rPr>
          <w:rFonts w:ascii="Calibri" w:cs="Calibri" w:eastAsia="Calibri" w:hAnsi="Calibri"/>
          <w:color w:val="333A45"/>
          <w:sz w:val="21"/>
          <w:szCs w:val="21"/>
        </w:rPr>
        <w:t xml:space="preserve">Stated precisely: </w:t>
      </w:r>
      <w:r>
        <w:rPr>
          <w:rFonts w:ascii="Calibri" w:cs="Calibri" w:eastAsia="Calibri" w:hAnsi="Calibri"/>
          <w:b/>
          <w:bCs/>
          <w:color w:val="333A45"/>
          <w:sz w:val="21"/>
          <w:szCs w:val="21"/>
        </w:rPr>
        <w:t xml:space="preserve">the minimum fine for a transfer contravention is five times the maximum fine available for anything else in the Law.</w:t>
      </w:r>
    </w:p>
    <w:p>
      <w:pPr>
        <w:spacing w:after="110"/>
      </w:pPr>
      <w:r>
        <w:rPr>
          <w:rFonts w:ascii="Calibri" w:cs="Calibri" w:eastAsia="Calibri" w:hAnsi="Calibri"/>
          <w:color w:val="333A45"/>
          <w:sz w:val="21"/>
          <w:szCs w:val="21"/>
        </w:rPr>
        <w:t xml:space="preserve">That single comparison reorganised the policy. Processing location became a </w:t>
      </w:r>
      <w:r>
        <w:rPr>
          <w:rFonts w:ascii="Calibri" w:cs="Calibri" w:eastAsia="Calibri" w:hAnsi="Calibri"/>
          <w:b/>
          <w:bCs/>
          <w:color w:val="333A45"/>
          <w:sz w:val="21"/>
          <w:szCs w:val="21"/>
        </w:rPr>
        <w:t xml:space="preserve">gating question at tool approval</w:t>
      </w:r>
      <w:r>
        <w:rPr>
          <w:rFonts w:ascii="Calibri" w:cs="Calibri" w:eastAsia="Calibri" w:hAnsi="Calibri"/>
          <w:color w:val="333A45"/>
          <w:sz w:val="21"/>
          <w:szCs w:val="21"/>
        </w:rPr>
        <w:t xml:space="preserve"> rather than a diligence detail (policy 3.2, 17.8); Section 17 is the longest operational section in the document; the annex gives transfers their own register and their own committee discipline (A6); and no exception may be granted against the transfer prohibition (A13.2).</w:t>
      </w:r>
    </w:p>
    <w:p>
      <w:pPr>
        <w:spacing w:after="110"/>
      </w:pPr>
      <w:r>
        <w:rPr>
          <w:rFonts w:ascii="Calibri" w:cs="Calibri" w:eastAsia="Calibri" w:hAnsi="Calibri"/>
          <w:color w:val="333A45"/>
          <w:sz w:val="21"/>
          <w:szCs w:val="21"/>
        </w:rPr>
        <w:t xml:space="preserve">A second observation from the same table, recorded because it is counter-intuitive: </w:t>
      </w:r>
      <w:r>
        <w:rPr>
          <w:rFonts w:ascii="Calibri" w:cs="Calibri" w:eastAsia="Calibri" w:hAnsi="Calibri"/>
          <w:b/>
          <w:bCs/>
          <w:color w:val="333A45"/>
          <w:sz w:val="21"/>
          <w:szCs w:val="21"/>
        </w:rPr>
        <w:t xml:space="preserve">failing to establish the controls and procedures for processing (Art 13) is priced above failing to appoint the data protection officer or to retain processing documents (Art 26)</w:t>
      </w:r>
      <w:r>
        <w:rPr>
          <w:rFonts w:ascii="Calibri" w:cs="Calibri" w:eastAsia="Calibri" w:hAnsi="Calibri"/>
          <w:color w:val="333A45"/>
          <w:sz w:val="21"/>
          <w:szCs w:val="21"/>
        </w:rPr>
        <w:t xml:space="preserve">. The architecture is treated as more serious than the roles.</w:t>
      </w:r>
    </w:p>
    <w:p>
      <w:pPr>
        <w:keepNext/>
        <w:spacing w:after="80" w:before="200"/>
      </w:pPr>
      <w:r>
        <w:rPr>
          <w:rFonts w:ascii="Calibri" w:cs="Calibri" w:eastAsia="Calibri" w:hAnsi="Calibri"/>
          <w:b/>
          <w:bCs/>
          <w:color w:val="1F3864"/>
          <w:sz w:val="22"/>
          <w:szCs w:val="22"/>
        </w:rPr>
        <w:t xml:space="preserve">9.4 The permit is a licence with a lead time, and tooling changes amend it</w:t>
      </w:r>
    </w:p>
    <w:p>
      <w:pPr>
        <w:spacing w:after="110"/>
      </w:pPr>
      <w:r>
        <w:rPr>
          <w:rFonts w:ascii="Calibri" w:cs="Calibri" w:eastAsia="Calibri" w:hAnsi="Calibri"/>
          <w:color w:val="333A45"/>
          <w:sz w:val="21"/>
          <w:szCs w:val="21"/>
        </w:rPr>
        <w:t xml:space="preserve">Law Art 5 prohibits processing the sensitive categories </w:t>
      </w:r>
      <w:r>
        <w:rPr>
          <w:rFonts w:ascii="Calibri" w:cs="Calibri" w:eastAsia="Calibri" w:hAnsi="Calibri"/>
          <w:b/>
          <w:bCs/>
          <w:color w:val="333A45"/>
          <w:sz w:val="21"/>
          <w:szCs w:val="21"/>
        </w:rPr>
        <w:t xml:space="preserve">without a permit from the Ministry</w:t>
      </w:r>
      <w:r>
        <w:rPr>
          <w:rFonts w:ascii="Calibri" w:cs="Calibri" w:eastAsia="Calibri" w:hAnsi="Calibri"/>
          <w:color w:val="333A45"/>
          <w:sz w:val="21"/>
          <w:szCs w:val="21"/>
        </w:rPr>
        <w:t xml:space="preserve">. Regulations Arts 5 to 10 make it a licence rather than a notification: </w:t>
      </w:r>
      <w:r>
        <w:rPr>
          <w:rFonts w:ascii="Calibri" w:cs="Calibri" w:eastAsia="Calibri" w:hAnsi="Calibri"/>
          <w:b/>
          <w:bCs/>
          <w:color w:val="333A45"/>
          <w:sz w:val="21"/>
          <w:szCs w:val="21"/>
        </w:rPr>
        <w:t xml:space="preserve">up to 45 days</w:t>
      </w:r>
      <w:r>
        <w:rPr>
          <w:rFonts w:ascii="Calibri" w:cs="Calibri" w:eastAsia="Calibri" w:hAnsi="Calibri"/>
          <w:color w:val="333A45"/>
          <w:sz w:val="21"/>
          <w:szCs w:val="21"/>
        </w:rPr>
        <w:t xml:space="preserve"> to decide, </w:t>
      </w:r>
      <w:r>
        <w:rPr>
          <w:rFonts w:ascii="Calibri" w:cs="Calibri" w:eastAsia="Calibri" w:hAnsi="Calibri"/>
          <w:b/>
          <w:bCs/>
          <w:color w:val="333A45"/>
          <w:sz w:val="21"/>
          <w:szCs w:val="21"/>
        </w:rPr>
        <w:t xml:space="preserve">a reasoned refusal</w:t>
      </w:r>
      <w:r>
        <w:rPr>
          <w:rFonts w:ascii="Calibri" w:cs="Calibri" w:eastAsia="Calibri" w:hAnsi="Calibri"/>
          <w:color w:val="333A45"/>
          <w:sz w:val="21"/>
          <w:szCs w:val="21"/>
        </w:rPr>
        <w:t xml:space="preserve">, </w:t>
      </w:r>
      <w:r>
        <w:rPr>
          <w:rFonts w:ascii="Calibri" w:cs="Calibri" w:eastAsia="Calibri" w:hAnsi="Calibri"/>
          <w:b/>
          <w:bCs/>
          <w:color w:val="333A45"/>
          <w:sz w:val="21"/>
          <w:szCs w:val="21"/>
        </w:rPr>
        <w:t xml:space="preserve">silence deemed a rejection</w:t>
      </w:r>
      <w:r>
        <w:rPr>
          <w:rFonts w:ascii="Calibri" w:cs="Calibri" w:eastAsia="Calibri" w:hAnsi="Calibri"/>
          <w:color w:val="333A45"/>
          <w:sz w:val="21"/>
          <w:szCs w:val="21"/>
        </w:rPr>
        <w:t xml:space="preserve">, a </w:t>
      </w:r>
      <w:r>
        <w:rPr>
          <w:rFonts w:ascii="Calibri" w:cs="Calibri" w:eastAsia="Calibri" w:hAnsi="Calibri"/>
          <w:b/>
          <w:bCs/>
          <w:color w:val="333A45"/>
          <w:sz w:val="21"/>
          <w:szCs w:val="21"/>
        </w:rPr>
        <w:t xml:space="preserve">60-day</w:t>
      </w:r>
      <w:r>
        <w:rPr>
          <w:rFonts w:ascii="Calibri" w:cs="Calibri" w:eastAsia="Calibri" w:hAnsi="Calibri"/>
          <w:color w:val="333A45"/>
          <w:sz w:val="21"/>
          <w:szCs w:val="21"/>
        </w:rPr>
        <w:t xml:space="preserve"> grievance to the Minister with </w:t>
      </w:r>
      <w:r>
        <w:rPr>
          <w:rFonts w:ascii="Calibri" w:cs="Calibri" w:eastAsia="Calibri" w:hAnsi="Calibri"/>
          <w:b/>
          <w:bCs/>
          <w:color w:val="333A45"/>
          <w:sz w:val="21"/>
          <w:szCs w:val="21"/>
        </w:rPr>
        <w:t xml:space="preserve">30 days</w:t>
      </w:r>
      <w:r>
        <w:rPr>
          <w:rFonts w:ascii="Calibri" w:cs="Calibri" w:eastAsia="Calibri" w:hAnsi="Calibri"/>
          <w:color w:val="333A45"/>
          <w:sz w:val="21"/>
          <w:szCs w:val="21"/>
        </w:rPr>
        <w:t xml:space="preserve"> for an answer before that too is deemed refused, a term of </w:t>
      </w:r>
      <w:r>
        <w:rPr>
          <w:rFonts w:ascii="Calibri" w:cs="Calibri" w:eastAsia="Calibri" w:hAnsi="Calibri"/>
          <w:b/>
          <w:bCs/>
          <w:color w:val="333A45"/>
          <w:sz w:val="21"/>
          <w:szCs w:val="21"/>
        </w:rPr>
        <w:t xml:space="preserve">up to five years</w:t>
      </w:r>
      <w:r>
        <w:rPr>
          <w:rFonts w:ascii="Calibri" w:cs="Calibri" w:eastAsia="Calibri" w:hAnsi="Calibri"/>
          <w:color w:val="333A45"/>
          <w:sz w:val="21"/>
          <w:szCs w:val="21"/>
        </w:rPr>
        <w:t xml:space="preserve">, and </w:t>
      </w:r>
      <w:r>
        <w:rPr>
          <w:rFonts w:ascii="Calibri" w:cs="Calibri" w:eastAsia="Calibri" w:hAnsi="Calibri"/>
          <w:b/>
          <w:bCs/>
          <w:color w:val="333A45"/>
          <w:sz w:val="21"/>
          <w:szCs w:val="21"/>
        </w:rPr>
        <w:t xml:space="preserve">cancellation</w:t>
      </w:r>
      <w:r>
        <w:rPr>
          <w:rFonts w:ascii="Calibri" w:cs="Calibri" w:eastAsia="Calibri" w:hAnsi="Calibri"/>
          <w:color w:val="333A45"/>
          <w:sz w:val="21"/>
          <w:szCs w:val="21"/>
        </w:rPr>
        <w:t xml:space="preserve"> for, among other things, failing to notify amendments.</w:t>
      </w:r>
    </w:p>
    <w:p>
      <w:pPr>
        <w:spacing w:after="110"/>
      </w:pPr>
      <w:r>
        <w:rPr>
          <w:rFonts w:ascii="Calibri" w:cs="Calibri" w:eastAsia="Calibri" w:hAnsi="Calibri"/>
          <w:b/>
          <w:bCs/>
          <w:color w:val="333A45"/>
          <w:sz w:val="21"/>
          <w:szCs w:val="21"/>
        </w:rPr>
        <w:t xml:space="preserve">The finding that changes operational practice</w:t>
      </w:r>
      <w:r>
        <w:rPr>
          <w:rFonts w:ascii="Calibri" w:cs="Calibri" w:eastAsia="Calibri" w:hAnsi="Calibri"/>
          <w:color w:val="333A45"/>
          <w:sz w:val="21"/>
          <w:szCs w:val="21"/>
        </w:rPr>
        <w:t xml:space="preserve"> is that four of the eight application fields are facts about tooling - the processor, the recipients of disclosure, the places of transfer or storage, and the protection systems. So </w:t>
      </w:r>
      <w:r>
        <w:rPr>
          <w:rFonts w:ascii="Calibri" w:cs="Calibri" w:eastAsia="Calibri" w:hAnsi="Calibri"/>
          <w:b/>
          <w:bCs/>
          <w:color w:val="333A45"/>
          <w:sz w:val="21"/>
          <w:szCs w:val="21"/>
        </w:rPr>
        <w:t xml:space="preserve">changing an AI supplier, adding a sub-processor, or moving a workload between regions changes the permit</w:t>
      </w:r>
      <w:r>
        <w:rPr>
          <w:rFonts w:ascii="Calibri" w:cs="Calibri" w:eastAsia="Calibri" w:hAnsi="Calibri"/>
          <w:color w:val="333A45"/>
          <w:sz w:val="21"/>
          <w:szCs w:val="21"/>
        </w:rPr>
        <w:t xml:space="preserve">, engages the </w:t>
      </w:r>
      <w:r>
        <w:rPr>
          <w:rFonts w:ascii="Calibri" w:cs="Calibri" w:eastAsia="Calibri" w:hAnsi="Calibri"/>
          <w:b/>
          <w:bCs/>
          <w:color w:val="333A45"/>
          <w:sz w:val="21"/>
          <w:szCs w:val="21"/>
        </w:rPr>
        <w:t xml:space="preserve">15-day</w:t>
      </w:r>
      <w:r>
        <w:rPr>
          <w:rFonts w:ascii="Calibri" w:cs="Calibri" w:eastAsia="Calibri" w:hAnsi="Calibri"/>
          <w:color w:val="333A45"/>
          <w:sz w:val="21"/>
          <w:szCs w:val="21"/>
        </w:rPr>
        <w:t xml:space="preserve"> amendment duty at Reg Art 9, and failure to notify is a cancellation ground at Reg Art 10(3).</w:t>
      </w:r>
    </w:p>
    <w:p>
      <w:pPr>
        <w:spacing w:after="110"/>
      </w:pPr>
      <w:r>
        <w:rPr>
          <w:rFonts w:ascii="Calibri" w:cs="Calibri" w:eastAsia="Calibri" w:hAnsi="Calibri"/>
          <w:color w:val="333A45"/>
          <w:sz w:val="21"/>
          <w:szCs w:val="21"/>
        </w:rPr>
        <w:t xml:space="preserve">Policy 11.5 and annex A4.4 therefore screen every inventory-reopening event against the Permit Register, and annex A4.3 starts renewal six months before expiry because a lapsed permit stops the processing.</w:t>
      </w:r>
    </w:p>
    <w:p>
      <w:pPr>
        <w:keepNext/>
        <w:spacing w:after="80" w:before="200"/>
      </w:pPr>
      <w:r>
        <w:rPr>
          <w:rFonts w:ascii="Calibri" w:cs="Calibri" w:eastAsia="Calibri" w:hAnsi="Calibri"/>
          <w:b/>
          <w:bCs/>
          <w:color w:val="1F3864"/>
          <w:sz w:val="22"/>
          <w:szCs w:val="22"/>
        </w:rPr>
        <w:t xml:space="preserve">9.5 The shortest deadline in the framework is not one of the 72-hour clocks</w:t>
      </w:r>
    </w:p>
    <w:p>
      <w:pPr>
        <w:spacing w:after="110"/>
      </w:pPr>
      <w:r>
        <w:rPr>
          <w:rFonts w:ascii="Calibri" w:cs="Calibri" w:eastAsia="Calibri" w:hAnsi="Calibri"/>
          <w:color w:val="333A45"/>
          <w:sz w:val="21"/>
          <w:szCs w:val="21"/>
        </w:rPr>
        <w:t xml:space="preserve">Regulations Art 42 gives the controller </w:t>
      </w:r>
      <w:r>
        <w:rPr>
          <w:rFonts w:ascii="Calibri" w:cs="Calibri" w:eastAsia="Calibri" w:hAnsi="Calibri"/>
          <w:b/>
          <w:bCs/>
          <w:color w:val="333A45"/>
          <w:sz w:val="21"/>
          <w:szCs w:val="21"/>
        </w:rPr>
        <w:t xml:space="preserve">14 days from being notified</w:t>
      </w:r>
      <w:r>
        <w:rPr>
          <w:rFonts w:ascii="Calibri" w:cs="Calibri" w:eastAsia="Calibri" w:hAnsi="Calibri"/>
          <w:color w:val="333A45"/>
          <w:sz w:val="21"/>
          <w:szCs w:val="21"/>
        </w:rPr>
        <w:t xml:space="preserve"> to reply to a complaint forwarded by the Competent Department. That is shorter than any other externally imposed period in the framework, and it arrives without warning.</w:t>
      </w:r>
    </w:p>
    <w:p>
      <w:pPr>
        <w:spacing w:after="110"/>
      </w:pPr>
      <w:r>
        <w:rPr>
          <w:rFonts w:ascii="Calibri" w:cs="Calibri" w:eastAsia="Calibri" w:hAnsi="Calibri"/>
          <w:color w:val="333A45"/>
          <w:sz w:val="21"/>
          <w:szCs w:val="21"/>
        </w:rPr>
        <w:t xml:space="preserve">Annex A12.2 therefore requires a standing process and a named owner, so that a complaint arriving during a holiday period does not consume it.</w:t>
      </w:r>
    </w:p>
    <w:p>
      <w:pPr>
        <w:keepNext/>
        <w:pBdr>
          <w:bottom w:val="single" w:color="9DB9E8" w:sz="4" w:space="3"/>
        </w:pBdr>
        <w:spacing w:after="100" w:before="260"/>
      </w:pPr>
      <w:r>
        <w:rPr>
          <w:rFonts w:ascii="Calibri" w:cs="Calibri" w:eastAsia="Calibri" w:hAnsi="Calibri"/>
          <w:b/>
          <w:bCs/>
          <w:color w:val="2E5AAC"/>
          <w:sz w:val="26"/>
          <w:szCs w:val="26"/>
        </w:rPr>
        <w:t xml:space="preserve">10. Standing caveat</w:t>
      </w:r>
    </w:p>
    <w:p>
      <w:pPr>
        <w:spacing w:after="110"/>
      </w:pPr>
      <w:r>
        <w:rPr>
          <w:rFonts w:ascii="Calibri" w:cs="Calibri" w:eastAsia="Calibri" w:hAnsi="Calibri"/>
          <w:color w:val="333A45"/>
          <w:sz w:val="21"/>
          <w:szCs w:val="21"/>
        </w:rPr>
        <w:t xml:space="preserve">No provision cited in this set has been reviewed by qualified counsel. These documents are educational templates and do not constitute legal advice. All English wording is a working translation of the Arabic enacted text.</w:t>
      </w:r>
    </w:p>
    <w:sectPr>
      <w:footerReference w:type="default" r:id="rId7"/>
      <w:pgSz w:w="11906" w:h="16838" w:orient="portrait"/>
      <w:pgMar w:top="1240" w:right="1300" w:bottom="12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9E8" w:sz="4" w:space="4"/>
      </w:pBdr>
      <w:jc w:val="center"/>
    </w:pPr>
    <w:r>
      <w:rPr>
        <w:rFonts w:ascii="Calibri" w:cs="Calibri" w:eastAsia="Calibri" w:hAnsi="Calibri"/>
        <w:color w:val="5A6472"/>
        <w:sz w:val="16"/>
        <w:szCs w:val="16"/>
      </w:rPr>
      <w:t xml:space="preserve">undefined   |   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rPr>
        <w:color w:val="2E5AA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register - Sultanate of Oman AI policy set</dc:title>
  <dc:creator>Narendra Karki</dc:creator>
  <cp:lastModifiedBy>Narendra Karki</cp:lastModifiedBy>
  <cp:revision>1</cp:revision>
  <dcterms:created xsi:type="dcterms:W3CDTF">2026-09-03T08:24:43.997Z</dcterms:created>
  <dcterms:modified xsi:type="dcterms:W3CDTF">2026-09-03T08:24:43.997Z</dcterms:modified>
</cp:coreProperties>
</file>

<file path=docProps/custom.xml><?xml version="1.0" encoding="utf-8"?>
<Properties xmlns="http://schemas.openxmlformats.org/officeDocument/2006/custom-properties" xmlns:vt="http://schemas.openxmlformats.org/officeDocument/2006/docPropsVTypes"/>
</file>