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Artificial Intelligence Acceptable Use Policy - United States</w:t>
      </w:r>
    </w:p>
    <w:p>
      <w:pPr>
        <w:keepNext/>
        <w:spacing w:after="80" w:before="200"/>
      </w:pPr>
      <w:r>
        <w:rPr>
          <w:rFonts w:ascii="Calibri" w:cs="Calibri" w:eastAsia="Calibri" w:hAnsi="Calibri"/>
          <w:b/>
          <w:bCs/>
          <w:color w:val="1F3864"/>
          <w:sz w:val="22"/>
          <w:szCs w:val="22"/>
        </w:rPr>
        <w:t xml:space="preserve">Federal sectoral baseline + California + Colorado, with other states named and not asserted</w:t>
      </w:r>
    </w:p>
    <w:p>
      <w:pPr>
        <w:spacing w:after="110"/>
      </w:pPr>
      <w:r>
        <w:rPr>
          <w:rFonts w:ascii="Calibri" w:cs="Calibri" w:eastAsia="Calibri" w:hAnsi="Calibri"/>
          <w:b/>
          <w:bCs/>
          <w:color w:val="333A45"/>
          <w:sz w:val="21"/>
          <w:szCs w:val="21"/>
        </w:rPr>
        <w:t xml:space="preserve">Organisation:</w:t>
      </w:r>
      <w:r>
        <w:rPr>
          <w:rFonts w:ascii="Calibri" w:cs="Calibri" w:eastAsia="Calibri" w:hAnsi="Calibri"/>
          <w:color w:val="333A45"/>
          <w:sz w:val="21"/>
          <w:szCs w:val="21"/>
        </w:rPr>
        <w:t xml:space="preserve"> [ORGANISATION] </w:t>
      </w:r>
      <w:r>
        <w:rPr>
          <w:rFonts w:ascii="Calibri" w:cs="Calibri" w:eastAsia="Calibri" w:hAnsi="Calibri"/>
          <w:b/>
          <w:bCs/>
          <w:color w:val="333A45"/>
          <w:sz w:val="21"/>
          <w:szCs w:val="21"/>
        </w:rPr>
        <w:t xml:space="preserve">Effective date:</w:t>
      </w:r>
      <w:r>
        <w:rPr>
          <w:rFonts w:ascii="Calibri" w:cs="Calibri" w:eastAsia="Calibri" w:hAnsi="Calibri"/>
          <w:color w:val="333A45"/>
          <w:sz w:val="21"/>
          <w:szCs w:val="21"/>
        </w:rPr>
        <w:t xml:space="preserve"> [DATE]  </w:t>
      </w:r>
      <w:r>
        <w:rPr>
          <w:rFonts w:ascii="Calibri" w:cs="Calibri" w:eastAsia="Calibri" w:hAnsi="Calibri"/>
          <w:b/>
          <w:bCs/>
          <w:color w:val="333A45"/>
          <w:sz w:val="21"/>
          <w:szCs w:val="21"/>
        </w:rPr>
        <w:t xml:space="preserve">Version:</w:t>
      </w:r>
      <w:r>
        <w:rPr>
          <w:rFonts w:ascii="Calibri" w:cs="Calibri" w:eastAsia="Calibri" w:hAnsi="Calibri"/>
          <w:color w:val="333A45"/>
          <w:sz w:val="21"/>
          <w:szCs w:val="21"/>
        </w:rPr>
        <w:t xml:space="preserve"> 1.0 </w:t>
      </w: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[CISO]  </w:t>
      </w:r>
      <w:r>
        <w:rPr>
          <w:rFonts w:ascii="Calibri" w:cs="Calibri" w:eastAsia="Calibri" w:hAnsi="Calibri"/>
          <w:b/>
          <w:bCs/>
          <w:color w:val="333A45"/>
          <w:sz w:val="21"/>
          <w:szCs w:val="21"/>
        </w:rPr>
        <w:t xml:space="preserve">Privacy lead:</w:t>
      </w:r>
      <w:r>
        <w:rPr>
          <w:rFonts w:ascii="Calibri" w:cs="Calibri" w:eastAsia="Calibri" w:hAnsi="Calibri"/>
          <w:color w:val="333A45"/>
          <w:sz w:val="21"/>
          <w:szCs w:val="21"/>
        </w:rPr>
        <w:t xml:space="preserve"> [Chief Privacy Officer / privacy lead] </w:t>
      </w:r>
      <w:r>
        <w:rPr>
          <w:rFonts w:ascii="Calibri" w:cs="Calibri" w:eastAsia="Calibri" w:hAnsi="Calibri"/>
          <w:b/>
          <w:bCs/>
          <w:color w:val="333A45"/>
          <w:sz w:val="21"/>
          <w:szCs w:val="21"/>
        </w:rPr>
        <w:t xml:space="preserve">Classification:</w:t>
      </w:r>
      <w:r>
        <w:rPr>
          <w:rFonts w:ascii="Calibri" w:cs="Calibri" w:eastAsia="Calibri" w:hAnsi="Calibri"/>
          <w:color w:val="333A45"/>
          <w:sz w:val="21"/>
          <w:szCs w:val="21"/>
        </w:rPr>
        <w:t xml:space="preserve"> Internal </w:t>
      </w:r>
      <w:r>
        <w:rPr>
          <w:rFonts w:ascii="Calibri" w:cs="Calibri" w:eastAsia="Calibri" w:hAnsi="Calibri"/>
          <w:b/>
          <w:bCs/>
          <w:color w:val="333A45"/>
          <w:sz w:val="21"/>
          <w:szCs w:val="21"/>
        </w:rPr>
        <w:t xml:space="preserve">Review:</w:t>
      </w:r>
      <w:r>
        <w:rPr>
          <w:rFonts w:ascii="Calibri" w:cs="Calibri" w:eastAsia="Calibri" w:hAnsi="Calibri"/>
          <w:color w:val="333A45"/>
          <w:sz w:val="21"/>
          <w:szCs w:val="21"/>
        </w:rPr>
        <w:t xml:space="preserve"> at least every six months, and on material change in tools or regulation</w:t>
      </w:r>
    </w:p>
    <w:p>
      <w:pPr>
        <w:keepNext/>
        <w:pBdr>
          <w:bottom w:val="single" w:color="9DB9E8" w:sz="4" w:space="3"/>
        </w:pBdr>
        <w:spacing w:after="100" w:before="260"/>
      </w:pPr>
      <w:r>
        <w:rPr>
          <w:rFonts w:ascii="Calibri" w:cs="Calibri" w:eastAsia="Calibri" w:hAnsi="Calibri"/>
          <w:b/>
          <w:bCs/>
          <w:color w:val="2E5AAC"/>
          <w:sz w:val="26"/>
          <w:szCs w:val="26"/>
        </w:rPr>
        <w:t xml:space="preserve">1. Purpose</w:t>
      </w:r>
    </w:p>
    <w:p>
      <w:pPr>
        <w:spacing w:after="110"/>
      </w:pPr>
      <w:r>
        <w:rPr>
          <w:rFonts w:ascii="Calibri" w:cs="Calibri" w:eastAsia="Calibri" w:hAnsi="Calibri"/>
          <w:color w:val="333A45"/>
          <w:sz w:val="21"/>
          <w:szCs w:val="21"/>
        </w:rPr>
        <w:t xml:space="preserve">[ORGANISATION] permits the use of artificial intelligence (AI) tools to improve productivity, provided that use protects the organisation's data, its customers and staff, its intellectual property, and its obligations under United States law. This policy sets the requirements for all such use.</w:t>
      </w:r>
    </w:p>
    <w:p>
      <w:pPr>
        <w:spacing w:after="110"/>
      </w:pPr>
      <w:r>
        <w:rPr>
          <w:rFonts w:ascii="Calibri" w:cs="Calibri" w:eastAsia="Calibri" w:hAnsi="Calibri"/>
          <w:color w:val="333A45"/>
          <w:sz w:val="21"/>
          <w:szCs w:val="21"/>
        </w:rPr>
        <w:t xml:space="preserve">Three features of the US framework shape this document.</w:t>
      </w:r>
    </w:p>
    <w:p>
      <w:pPr>
        <w:keepNext/>
        <w:spacing w:after="80" w:before="200"/>
      </w:pPr>
      <w:r>
        <w:rPr>
          <w:rFonts w:ascii="Calibri" w:cs="Calibri" w:eastAsia="Calibri" w:hAnsi="Calibri"/>
          <w:b/>
          <w:bCs/>
          <w:color w:val="1F3864"/>
          <w:sz w:val="22"/>
          <w:szCs w:val="22"/>
        </w:rPr>
        <w:t xml:space="preserve">1.1 There is no single US AI or privacy statute</w:t>
      </w:r>
    </w:p>
    <w:p>
      <w:pPr>
        <w:spacing w:after="110"/>
      </w:pPr>
      <w:r>
        <w:rPr>
          <w:rFonts w:ascii="Calibri" w:cs="Calibri" w:eastAsia="Calibri" w:hAnsi="Calibri"/>
          <w:color w:val="333A45"/>
          <w:sz w:val="21"/>
          <w:szCs w:val="21"/>
        </w:rPr>
        <w:t xml:space="preserve">The United States regulates AI through a patchwork: a federal baseline that is sectoral (credit, health, children's data, financial institutions) plus a general unfair-and-deceptive-practices power, and state laws that differ by state. </w:t>
      </w:r>
      <w:r>
        <w:rPr>
          <w:rFonts w:ascii="Calibri" w:cs="Calibri" w:eastAsia="Calibri" w:hAnsi="Calibri"/>
          <w:b/>
          <w:bCs/>
          <w:color w:val="333A45"/>
          <w:sz w:val="21"/>
          <w:szCs w:val="21"/>
        </w:rPr>
        <w:t xml:space="preserve">This policy states the federal baseline, California, and Colorado - and nothing else.</w:t>
      </w:r>
      <w:r>
        <w:rPr>
          <w:rFonts w:ascii="Calibri" w:cs="Calibri" w:eastAsia="Calibri" w:hAnsi="Calibri"/>
          <w:color w:val="333A45"/>
          <w:sz w:val="21"/>
          <w:szCs w:val="21"/>
        </w:rPr>
        <w:t xml:space="preserve"> Section 3 routes each obligation to its source, and Section 22 states what the set does not cover. An organisation reaching consumers in other states must overlay those states' laws; assuming California and Colorado cover the country is the error this edition exists to prevent.</w:t>
      </w:r>
    </w:p>
    <w:p>
      <w:pPr>
        <w:keepNext/>
        <w:spacing w:after="80" w:before="200"/>
      </w:pPr>
      <w:r>
        <w:rPr>
          <w:rFonts w:ascii="Calibri" w:cs="Calibri" w:eastAsia="Calibri" w:hAnsi="Calibri"/>
          <w:b/>
          <w:bCs/>
          <w:color w:val="1F3864"/>
          <w:sz w:val="22"/>
          <w:szCs w:val="22"/>
        </w:rPr>
        <w:t xml:space="preserve">1.2 Two different AI tests apply to overlapping ground</w:t>
      </w:r>
    </w:p>
    <w:p>
      <w:pPr>
        <w:spacing w:after="110"/>
      </w:pPr>
      <w:r>
        <w:rPr>
          <w:rFonts w:ascii="Calibri" w:cs="Calibri" w:eastAsia="Calibri" w:hAnsi="Calibri"/>
          <w:color w:val="333A45"/>
          <w:sz w:val="21"/>
          <w:szCs w:val="21"/>
        </w:rPr>
        <w:t xml:space="preserve">Colorado regulates a </w:t>
      </w:r>
      <w:r>
        <w:rPr>
          <w:rFonts w:ascii="Calibri" w:cs="Calibri" w:eastAsia="Calibri" w:hAnsi="Calibri"/>
          <w:b/>
          <w:bCs/>
          <w:color w:val="333A45"/>
          <w:sz w:val="21"/>
          <w:szCs w:val="21"/>
        </w:rPr>
        <w:t xml:space="preserve">high-risk artificial intelligence system</w:t>
      </w:r>
      <w:r>
        <w:rPr>
          <w:rFonts w:ascii="Calibri" w:cs="Calibri" w:eastAsia="Calibri" w:hAnsi="Calibri"/>
          <w:color w:val="333A45"/>
          <w:sz w:val="21"/>
          <w:szCs w:val="21"/>
        </w:rPr>
        <w:t xml:space="preserve"> - one that makes, or is a </w:t>
      </w:r>
      <w:r>
        <w:rPr>
          <w:rFonts w:ascii="Calibri" w:cs="Calibri" w:eastAsia="Calibri" w:hAnsi="Calibri"/>
          <w:b/>
          <w:bCs/>
          <w:color w:val="333A45"/>
          <w:sz w:val="21"/>
          <w:szCs w:val="21"/>
        </w:rPr>
        <w:t xml:space="preserve">substantial factor</w:t>
      </w:r>
      <w:r>
        <w:rPr>
          <w:rFonts w:ascii="Calibri" w:cs="Calibri" w:eastAsia="Calibri" w:hAnsi="Calibri"/>
          <w:color w:val="333A45"/>
          <w:sz w:val="21"/>
          <w:szCs w:val="21"/>
        </w:rPr>
        <w:t xml:space="preserve"> in making, a consequential decision. A system that merely assists a decision and is capable of altering its outcome is in.</w:t>
      </w:r>
    </w:p>
    <w:p>
      <w:pPr>
        <w:spacing w:after="110"/>
      </w:pPr>
      <w:r>
        <w:rPr>
          <w:rFonts w:ascii="Calibri" w:cs="Calibri" w:eastAsia="Calibri" w:hAnsi="Calibri"/>
          <w:color w:val="333A45"/>
          <w:sz w:val="21"/>
          <w:szCs w:val="21"/>
        </w:rPr>
        <w:t xml:space="preserve">California's regulations regulate </w:t>
      </w:r>
      <w:r>
        <w:rPr>
          <w:rFonts w:ascii="Calibri" w:cs="Calibri" w:eastAsia="Calibri" w:hAnsi="Calibri"/>
          <w:b/>
          <w:bCs/>
          <w:color w:val="333A45"/>
          <w:sz w:val="21"/>
          <w:szCs w:val="21"/>
        </w:rPr>
        <w:t xml:space="preserve">automated decisionmaking technology (ADMT)</w:t>
      </w:r>
      <w:r>
        <w:rPr>
          <w:rFonts w:ascii="Calibri" w:cs="Calibri" w:eastAsia="Calibri" w:hAnsi="Calibri"/>
          <w:color w:val="333A45"/>
          <w:sz w:val="21"/>
          <w:szCs w:val="21"/>
        </w:rPr>
        <w:t xml:space="preserve"> - technology that </w:t>
      </w:r>
      <w:r>
        <w:rPr>
          <w:rFonts w:ascii="Calibri" w:cs="Calibri" w:eastAsia="Calibri" w:hAnsi="Calibri"/>
          <w:b/>
          <w:bCs/>
          <w:color w:val="333A45"/>
          <w:sz w:val="21"/>
          <w:szCs w:val="21"/>
        </w:rPr>
        <w:t xml:space="preserve">replaces or substantially replaces human decisionmaking</w:t>
      </w:r>
      <w:r>
        <w:rPr>
          <w:rFonts w:ascii="Calibri" w:cs="Calibri" w:eastAsia="Calibri" w:hAnsi="Calibri"/>
          <w:color w:val="333A45"/>
          <w:sz w:val="21"/>
          <w:szCs w:val="21"/>
        </w:rPr>
        <w:t xml:space="preserve"> in a significant decision. A system whose output a human meaningfully reviews is out.</w:t>
      </w:r>
    </w:p>
    <w:p>
      <w:pPr>
        <w:spacing w:after="110"/>
      </w:pPr>
      <w:r>
        <w:rPr>
          <w:rFonts w:ascii="Calibri" w:cs="Calibri" w:eastAsia="Calibri" w:hAnsi="Calibri"/>
          <w:b/>
          <w:bCs/>
          <w:color w:val="333A45"/>
          <w:sz w:val="21"/>
          <w:szCs w:val="21"/>
        </w:rPr>
        <w:t xml:space="preserve">The same tool can be inside Colorado's regime and outside California's at the same time.</w:t>
      </w:r>
      <w:r>
        <w:rPr>
          <w:rFonts w:ascii="Calibri" w:cs="Calibri" w:eastAsia="Calibri" w:hAnsi="Calibri"/>
          <w:color w:val="333A45"/>
          <w:sz w:val="21"/>
          <w:szCs w:val="21"/>
        </w:rPr>
        <w:t xml:space="preserve"> Section 4 turns both tests into one worked determination, because applying only the test you met first is the most likely failure here.</w:t>
      </w:r>
    </w:p>
    <w:p>
      <w:pPr>
        <w:keepNext/>
        <w:spacing w:after="80" w:before="200"/>
      </w:pPr>
      <w:r>
        <w:rPr>
          <w:rFonts w:ascii="Calibri" w:cs="Calibri" w:eastAsia="Calibri" w:hAnsi="Calibri"/>
          <w:b/>
          <w:bCs/>
          <w:color w:val="1F3864"/>
          <w:sz w:val="22"/>
          <w:szCs w:val="22"/>
        </w:rPr>
        <w:t xml:space="preserve">1.3 A governance framework has legal effect in Colorado</w:t>
      </w:r>
    </w:p>
    <w:p>
      <w:pPr>
        <w:spacing w:after="110"/>
      </w:pPr>
      <w:r>
        <w:rPr>
          <w:rFonts w:ascii="Calibri" w:cs="Calibri" w:eastAsia="Calibri" w:hAnsi="Calibri"/>
          <w:color w:val="333A45"/>
          <w:sz w:val="21"/>
          <w:szCs w:val="21"/>
        </w:rPr>
        <w:t xml:space="preserve">Colorado's statute names the NIST Artificial Intelligence Risk Management Framework and ISO/IEC 42001 in its own text: a risk management program must be reasonable considering those frameworks, compliance supports a </w:t>
      </w:r>
      <w:r>
        <w:rPr>
          <w:rFonts w:ascii="Calibri" w:cs="Calibri" w:eastAsia="Calibri" w:hAnsi="Calibri"/>
          <w:b/>
          <w:bCs/>
          <w:color w:val="333A45"/>
          <w:sz w:val="21"/>
          <w:szCs w:val="21"/>
        </w:rPr>
        <w:t xml:space="preserve">rebuttable presumption of reasonable care</w:t>
      </w:r>
      <w:r>
        <w:rPr>
          <w:rFonts w:ascii="Calibri" w:cs="Calibri" w:eastAsia="Calibri" w:hAnsi="Calibri"/>
          <w:color w:val="333A45"/>
          <w:sz w:val="21"/>
          <w:szCs w:val="21"/>
        </w:rPr>
        <w:t xml:space="preserve">, and framework compliance plus a cure is an </w:t>
      </w:r>
      <w:r>
        <w:rPr>
          <w:rFonts w:ascii="Calibri" w:cs="Calibri" w:eastAsia="Calibri" w:hAnsi="Calibri"/>
          <w:b/>
          <w:bCs/>
          <w:color w:val="333A45"/>
          <w:sz w:val="21"/>
          <w:szCs w:val="21"/>
        </w:rPr>
        <w:t xml:space="preserve">affirmative defense</w:t>
      </w:r>
      <w:r>
        <w:rPr>
          <w:rFonts w:ascii="Calibri" w:cs="Calibri" w:eastAsia="Calibri" w:hAnsi="Calibri"/>
          <w:color w:val="333A45"/>
          <w:sz w:val="21"/>
          <w:szCs w:val="21"/>
        </w:rPr>
        <w:t xml:space="preserve"> in an enforcement action. Section 9 builds the risk program on the NIST framework for that reason - in this jurisdiction, governance structure is not just good practice; it is the statutory safe harbour.</w:t>
      </w:r>
    </w:p>
    <w:p>
      <w:pPr>
        <w:keepNext/>
        <w:pBdr>
          <w:bottom w:val="single" w:color="9DB9E8" w:sz="4" w:space="3"/>
        </w:pBdr>
        <w:spacing w:after="100" w:before="260"/>
      </w:pPr>
      <w:r>
        <w:rPr>
          <w:rFonts w:ascii="Calibri" w:cs="Calibri" w:eastAsia="Calibri" w:hAnsi="Calibri"/>
          <w:b/>
          <w:bCs/>
          <w:color w:val="2E5AAC"/>
          <w:sz w:val="26"/>
          <w:szCs w:val="26"/>
        </w:rPr>
        <w:t xml:space="preserve">2. Scope</w:t>
      </w:r>
    </w:p>
    <w:p>
      <w:pPr>
        <w:spacing w:after="110"/>
      </w:pPr>
      <w:r>
        <w:rPr>
          <w:rFonts w:ascii="Calibri" w:cs="Calibri" w:eastAsia="Calibri" w:hAnsi="Calibri"/>
          <w:color w:val="333A45"/>
          <w:sz w:val="21"/>
          <w:szCs w:val="21"/>
        </w:rPr>
        <w:t xml:space="preserve">This policy applies to all employees, contractors, temporary staff, and third parties who use [ORGANISATION] systems, data, or accounts. It covers all AI tools, including public and generative AI services, AI features embedded in other software, coding assistants, meeting and note-taking assistants, media generators, AI agents, and internal AI systems. It applies on company devices and accounts, and on personal devices or accounts whenever used for [ORGANISATION] work or data.</w:t>
      </w:r>
    </w:p>
    <w:p>
      <w:pPr>
        <w:spacing w:after="110"/>
      </w:pPr>
      <w:r>
        <w:rPr>
          <w:rFonts w:ascii="Calibri" w:cs="Calibri" w:eastAsia="Calibri" w:hAnsi="Calibri"/>
          <w:color w:val="333A45"/>
          <w:sz w:val="21"/>
          <w:szCs w:val="21"/>
        </w:rPr>
        <w:t xml:space="preserve">Compliance is mandatory. Breaches may result in disciplinary action up to and including termination.</w:t>
      </w:r>
    </w:p>
    <w:p>
      <w:pPr>
        <w:keepNext/>
        <w:pBdr>
          <w:bottom w:val="single" w:color="9DB9E8" w:sz="4" w:space="3"/>
        </w:pBdr>
        <w:spacing w:after="100" w:before="260"/>
      </w:pPr>
      <w:r>
        <w:rPr>
          <w:rFonts w:ascii="Calibri" w:cs="Calibri" w:eastAsia="Calibri" w:hAnsi="Calibri"/>
          <w:b/>
          <w:bCs/>
          <w:color w:val="2E5AAC"/>
          <w:sz w:val="26"/>
          <w:szCs w:val="26"/>
        </w:rPr>
        <w:t xml:space="preserve">3. Which law reaches which use</w:t>
      </w:r>
    </w:p>
    <w:p>
      <w:pPr>
        <w:spacing w:after="110"/>
      </w:pPr>
      <w:r>
        <w:rPr>
          <w:rFonts w:ascii="Calibri" w:cs="Calibri" w:eastAsia="Calibri" w:hAnsi="Calibri"/>
          <w:color w:val="333A45"/>
          <w:sz w:val="21"/>
          <w:szCs w:val="21"/>
        </w:rPr>
        <w:t xml:space="preserve">3.1 </w:t>
      </w:r>
      <w:r>
        <w:rPr>
          <w:rFonts w:ascii="Calibri" w:cs="Calibri" w:eastAsia="Calibri" w:hAnsi="Calibri"/>
          <w:b/>
          <w:bCs/>
          <w:color w:val="333A45"/>
          <w:sz w:val="21"/>
          <w:szCs w:val="21"/>
        </w:rPr>
        <w:t xml:space="preserve">The federal baseline reaches everyone.</w:t>
      </w:r>
      <w:r>
        <w:rPr>
          <w:rFonts w:ascii="Calibri" w:cs="Calibri" w:eastAsia="Calibri" w:hAnsi="Calibri"/>
          <w:color w:val="333A45"/>
          <w:sz w:val="21"/>
          <w:szCs w:val="21"/>
        </w:rPr>
        <w:t xml:space="preserve"> Unfair or deceptive acts or practices are unlawful whatever the technology - overstating what an AI product does, or using it in a way that injures consumers unfairly, is actionable without any AI-specific statute. Sectoral rules attach by data and activity: consumer-report data and AI-driven eligibility decisions engage the credit-reporting regime and its adverse action machinery; health information held by covered entities engages the health privacy and security rules; children's online data engages the children's privacy rule; customer information at financial institutions engages the safeguards rule.</w:t>
      </w:r>
    </w:p>
    <w:p>
      <w:pPr>
        <w:spacing w:after="110"/>
      </w:pPr>
      <w:r>
        <w:rPr>
          <w:rFonts w:ascii="Calibri" w:cs="Calibri" w:eastAsia="Calibri" w:hAnsi="Calibri"/>
          <w:color w:val="333A45"/>
          <w:sz w:val="21"/>
          <w:szCs w:val="21"/>
        </w:rPr>
        <w:t xml:space="preserve">3.2 </w:t>
      </w:r>
      <w:r>
        <w:rPr>
          <w:rFonts w:ascii="Calibri" w:cs="Calibri" w:eastAsia="Calibri" w:hAnsi="Calibri"/>
          <w:b/>
          <w:bCs/>
          <w:color w:val="333A45"/>
          <w:sz w:val="21"/>
          <w:szCs w:val="21"/>
        </w:rPr>
        <w:t xml:space="preserve">California attaches by the consumer.</w:t>
      </w:r>
      <w:r>
        <w:rPr>
          <w:rFonts w:ascii="Calibri" w:cs="Calibri" w:eastAsia="Calibri" w:hAnsi="Calibri"/>
          <w:color w:val="333A45"/>
          <w:sz w:val="21"/>
          <w:szCs w:val="21"/>
        </w:rPr>
        <w:t xml:space="preserve"> Where [ORGANISATION] is a covered business processing California consumers' personal information, the CCPA and its regulations apply - including, for AI, the ADMT article, the risk-assessment article, and the cybersecurity audit article at their own thresholds.</w:t>
      </w:r>
    </w:p>
    <w:p>
      <w:pPr>
        <w:spacing w:after="110"/>
      </w:pPr>
      <w:r>
        <w:rPr>
          <w:rFonts w:ascii="Calibri" w:cs="Calibri" w:eastAsia="Calibri" w:hAnsi="Calibri"/>
          <w:color w:val="333A45"/>
          <w:sz w:val="21"/>
          <w:szCs w:val="21"/>
        </w:rPr>
        <w:t xml:space="preserve">3.3 </w:t>
      </w:r>
      <w:r>
        <w:rPr>
          <w:rFonts w:ascii="Calibri" w:cs="Calibri" w:eastAsia="Calibri" w:hAnsi="Calibri"/>
          <w:b/>
          <w:bCs/>
          <w:color w:val="333A45"/>
          <w:sz w:val="21"/>
          <w:szCs w:val="21"/>
        </w:rPr>
        <w:t xml:space="preserve">Colorado attaches by the consumer too.</w:t>
      </w:r>
      <w:r>
        <w:rPr>
          <w:rFonts w:ascii="Calibri" w:cs="Calibri" w:eastAsia="Calibri" w:hAnsi="Calibri"/>
          <w:color w:val="333A45"/>
          <w:sz w:val="21"/>
          <w:szCs w:val="21"/>
        </w:rPr>
        <w:t xml:space="preserve"> Where a high-risk AI system makes or substantially factors into a consequential decision concerning a Colorado resident, the Colorado AI Act's developer or deployer duties apply. </w:t>
      </w:r>
      <w:r>
        <w:rPr>
          <w:rFonts w:ascii="Calibri" w:cs="Calibri" w:eastAsia="Calibri" w:hAnsi="Calibri"/>
          <w:b/>
          <w:bCs/>
          <w:color w:val="333A45"/>
          <w:sz w:val="21"/>
          <w:szCs w:val="21"/>
        </w:rPr>
        <w:t xml:space="preserve">They are in force now</w:t>
      </w:r>
      <w:r>
        <w:rPr>
          <w:rFonts w:ascii="Calibri" w:cs="Calibri" w:eastAsia="Calibri" w:hAnsi="Calibri"/>
          <w:color w:val="333A45"/>
          <w:sz w:val="21"/>
          <w:szCs w:val="21"/>
        </w:rPr>
        <w:t xml:space="preserve"> - the commencement was moved once, and the moved date has passed.</w:t>
      </w:r>
    </w:p>
    <w:p>
      <w:pPr>
        <w:spacing w:after="110"/>
      </w:pPr>
      <w:r>
        <w:rPr>
          <w:rFonts w:ascii="Calibri" w:cs="Calibri" w:eastAsia="Calibri" w:hAnsi="Calibri"/>
          <w:color w:val="333A45"/>
          <w:sz w:val="21"/>
          <w:szCs w:val="21"/>
        </w:rPr>
        <w:t xml:space="preserve">3.4 </w:t>
      </w:r>
      <w:r>
        <w:rPr>
          <w:rFonts w:ascii="Calibri" w:cs="Calibri" w:eastAsia="Calibri" w:hAnsi="Calibri"/>
          <w:b/>
          <w:bCs/>
          <w:color w:val="333A45"/>
          <w:sz w:val="21"/>
          <w:szCs w:val="21"/>
        </w:rPr>
        <w:t xml:space="preserve">Sector carve-outs exist on both sides</w:t>
      </w:r>
      <w:r>
        <w:rPr>
          <w:rFonts w:ascii="Calibri" w:cs="Calibri" w:eastAsia="Calibri" w:hAnsi="Calibri"/>
          <w:color w:val="333A45"/>
          <w:sz w:val="21"/>
          <w:szCs w:val="21"/>
        </w:rPr>
        <w:t xml:space="preserve"> - Colorado's Act and California's regime each defer in defined ways to entities and processing already governed by sectoral law (insurers, banks, HIPAA-covered activity, among others). Whether a carve-out applies is determined by the privacy lead in writing per system, never assumed.</w:t>
      </w:r>
    </w:p>
    <w:p>
      <w:pPr>
        <w:spacing w:after="110"/>
      </w:pPr>
      <w:r>
        <w:rPr>
          <w:rFonts w:ascii="Calibri" w:cs="Calibri" w:eastAsia="Calibri" w:hAnsi="Calibri"/>
          <w:color w:val="333A45"/>
          <w:sz w:val="21"/>
          <w:szCs w:val="21"/>
        </w:rPr>
        <w:t xml:space="preserve">3.5 The privacy lead determines, for each AI use, which of the above apply, and the determination is recorded in the AI system inventory.</w:t>
      </w:r>
    </w:p>
    <w:p>
      <w:pPr>
        <w:keepNext/>
        <w:pBdr>
          <w:bottom w:val="single" w:color="9DB9E8" w:sz="4" w:space="3"/>
        </w:pBdr>
        <w:spacing w:after="100" w:before="260"/>
      </w:pPr>
      <w:r>
        <w:rPr>
          <w:rFonts w:ascii="Calibri" w:cs="Calibri" w:eastAsia="Calibri" w:hAnsi="Calibri"/>
          <w:b/>
          <w:bCs/>
          <w:color w:val="2E5AAC"/>
          <w:sz w:val="26"/>
          <w:szCs w:val="26"/>
        </w:rPr>
        <w:t xml:space="preserve">4. The two determinations</w:t>
      </w:r>
    </w:p>
    <w:p>
      <w:pPr>
        <w:spacing w:after="110"/>
      </w:pPr>
      <w:r>
        <w:rPr>
          <w:rFonts w:ascii="Calibri" w:cs="Calibri" w:eastAsia="Calibri" w:hAnsi="Calibri"/>
          <w:b/>
          <w:bCs/>
          <w:color w:val="333A45"/>
          <w:sz w:val="21"/>
          <w:szCs w:val="21"/>
        </w:rPr>
        <w:t xml:space="preserve">Every AI tool that touches decisions about people passes through both tests, and the answers are recorded separately.</w:t>
      </w:r>
    </w:p>
    <w:p>
      <w:pPr>
        <w:spacing w:after="110"/>
      </w:pPr>
      <w:r>
        <w:rPr>
          <w:rFonts w:ascii="Calibri" w:cs="Calibri" w:eastAsia="Calibri" w:hAnsi="Calibri"/>
          <w:color w:val="333A45"/>
          <w:sz w:val="21"/>
          <w:szCs w:val="21"/>
        </w:rPr>
        <w:t xml:space="preserve">4.1 </w:t>
      </w:r>
      <w:r>
        <w:rPr>
          <w:rFonts w:ascii="Calibri" w:cs="Calibri" w:eastAsia="Calibri" w:hAnsi="Calibri"/>
          <w:b/>
          <w:bCs/>
          <w:color w:val="333A45"/>
          <w:sz w:val="21"/>
          <w:szCs w:val="21"/>
        </w:rPr>
        <w:t xml:space="preserve">Colorado test - is it a high-risk AI system?</w:t>
      </w:r>
      <w:r>
        <w:rPr>
          <w:rFonts w:ascii="Calibri" w:cs="Calibri" w:eastAsia="Calibri" w:hAnsi="Calibri"/>
          <w:color w:val="333A45"/>
          <w:sz w:val="21"/>
          <w:szCs w:val="21"/>
        </w:rPr>
        <w:t xml:space="preserve"> Does the tool make, or is it a substantial factor in making - it assists the decision, and is capable of altering the outcome - a consequential decision: one with a material legal or similarly significant effect on education, employment, financial or lending services, essential government services, health-care services, housing, insurance, or legal services, concerning a Colorado resident?</w:t>
      </w:r>
    </w:p>
    <w:p>
      <w:pPr>
        <w:spacing w:after="110"/>
      </w:pPr>
      <w:r>
        <w:rPr>
          <w:rFonts w:ascii="Calibri" w:cs="Calibri" w:eastAsia="Calibri" w:hAnsi="Calibri"/>
          <w:color w:val="333A45"/>
          <w:sz w:val="21"/>
          <w:szCs w:val="21"/>
        </w:rPr>
        <w:t xml:space="preserve">4.2 The statute excludes systems intended for a narrow procedural task, or for detecting decision-making patterns without replacing human assessment, and a list of ordinary technologies - unless they in fact make or substantially factor into a consequential decision. </w:t>
      </w:r>
      <w:r>
        <w:rPr>
          <w:rFonts w:ascii="Calibri" w:cs="Calibri" w:eastAsia="Calibri" w:hAnsi="Calibri"/>
          <w:b/>
          <w:bCs/>
          <w:color w:val="333A45"/>
          <w:sz w:val="21"/>
          <w:szCs w:val="21"/>
        </w:rPr>
        <w:t xml:space="preserve">One exclusion deserves its own sentence: a natural-language technology that provides information, referrals, or answers is excluded only if it is subject to an accepted use policy that prohibits generating discriminatory or harmful content.</w:t>
      </w:r>
      <w:r>
        <w:rPr>
          <w:rFonts w:ascii="Calibri" w:cs="Calibri" w:eastAsia="Calibri" w:hAnsi="Calibri"/>
          <w:color w:val="333A45"/>
          <w:sz w:val="21"/>
          <w:szCs w:val="21"/>
        </w:rPr>
        <w:t xml:space="preserve"> This document is, among other things, that policy - which means keeping it enforced is part of what keeps ordinary chatbots outside the high-risk regime.</w:t>
      </w:r>
    </w:p>
    <w:p>
      <w:pPr>
        <w:spacing w:after="110"/>
      </w:pPr>
      <w:r>
        <w:rPr>
          <w:rFonts w:ascii="Calibri" w:cs="Calibri" w:eastAsia="Calibri" w:hAnsi="Calibri"/>
          <w:color w:val="333A45"/>
          <w:sz w:val="21"/>
          <w:szCs w:val="21"/>
        </w:rPr>
        <w:t xml:space="preserve">4.3 </w:t>
      </w:r>
      <w:r>
        <w:rPr>
          <w:rFonts w:ascii="Calibri" w:cs="Calibri" w:eastAsia="Calibri" w:hAnsi="Calibri"/>
          <w:b/>
          <w:bCs/>
          <w:color w:val="333A45"/>
          <w:sz w:val="21"/>
          <w:szCs w:val="21"/>
        </w:rPr>
        <w:t xml:space="preserve">California test - is it ADMT used for a significant decision?</w:t>
      </w:r>
      <w:r>
        <w:rPr>
          <w:rFonts w:ascii="Calibri" w:cs="Calibri" w:eastAsia="Calibri" w:hAnsi="Calibri"/>
          <w:color w:val="333A45"/>
          <w:sz w:val="21"/>
          <w:szCs w:val="21"/>
        </w:rPr>
        <w:t xml:space="preserve"> Does the technology process personal information and replace, or substantially replace, human decisionmaking - the output is used without meaningful human involvement - in a decision resulting in the provision or denial of financial or lending services, housing, education, employment or compensation, or healthcare services, concerning a California consumer?</w:t>
      </w:r>
    </w:p>
    <w:p>
      <w:pPr>
        <w:spacing w:after="110"/>
      </w:pPr>
      <w:r>
        <w:rPr>
          <w:rFonts w:ascii="Calibri" w:cs="Calibri" w:eastAsia="Calibri" w:hAnsi="Calibri"/>
          <w:color w:val="333A45"/>
          <w:sz w:val="21"/>
          <w:szCs w:val="21"/>
        </w:rPr>
        <w:t xml:space="preserve">4.4 </w:t>
      </w:r>
      <w:r>
        <w:rPr>
          <w:rFonts w:ascii="Calibri" w:cs="Calibri" w:eastAsia="Calibri" w:hAnsi="Calibri"/>
          <w:b/>
          <w:bCs/>
          <w:color w:val="333A45"/>
          <w:sz w:val="21"/>
          <w:szCs w:val="21"/>
        </w:rPr>
        <w:t xml:space="preserve">The tests diverge by design, not by accident.</w:t>
      </w:r>
      <w:r>
        <w:rPr>
          <w:rFonts w:ascii="Calibri" w:cs="Calibri" w:eastAsia="Calibri" w:hAnsi="Calibri"/>
          <w:color w:val="333A45"/>
          <w:sz w:val="21"/>
          <w:szCs w:val="21"/>
        </w:rPr>
        <w:t xml:space="preserve"> A resume-screening model whose scores a recruiter genuinely reviews may be outside California's ADMT article (a human decides) and still inside Colorado's Act (the score is a substantial factor). Both determinations are made by the privacy lead, in writing, per system, and both reopen when a vendor adds capability, the use changes, or the human review around the tool weakens.</w:t>
      </w:r>
    </w:p>
    <w:p>
      <w:pPr>
        <w:spacing w:after="110"/>
      </w:pPr>
      <w:r>
        <w:rPr>
          <w:rFonts w:ascii="Calibri" w:cs="Calibri" w:eastAsia="Calibri" w:hAnsi="Calibri"/>
          <w:color w:val="333A45"/>
          <w:sz w:val="21"/>
          <w:szCs w:val="21"/>
        </w:rPr>
        <w:t xml:space="preserve">4.5 </w:t>
      </w:r>
      <w:r>
        <w:rPr>
          <w:rFonts w:ascii="Calibri" w:cs="Calibri" w:eastAsia="Calibri" w:hAnsi="Calibri"/>
          <w:b/>
          <w:bCs/>
          <w:color w:val="333A45"/>
          <w:sz w:val="21"/>
          <w:szCs w:val="21"/>
        </w:rPr>
        <w:t xml:space="preserve">Human involvement that does not involve a human does not count.</w:t>
      </w:r>
      <w:r>
        <w:rPr>
          <w:rFonts w:ascii="Calibri" w:cs="Calibri" w:eastAsia="Calibri" w:hAnsi="Calibri"/>
          <w:color w:val="333A45"/>
          <w:sz w:val="21"/>
          <w:szCs w:val="21"/>
        </w:rPr>
        <w:t xml:space="preserve"> A reviewer must have the authority, information, and time to reach a different conclusion. A review that only ratifies the output leaves the tool substantially replacing human decisionmaking - and pulls it inside the California article it was thought to be outside.</w:t>
      </w:r>
    </w:p>
    <w:p>
      <w:pPr>
        <w:keepNext/>
        <w:pBdr>
          <w:bottom w:val="single" w:color="9DB9E8" w:sz="4" w:space="3"/>
        </w:pBdr>
        <w:spacing w:after="100" w:before="260"/>
      </w:pPr>
      <w:r>
        <w:rPr>
          <w:rFonts w:ascii="Calibri" w:cs="Calibri" w:eastAsia="Calibri" w:hAnsi="Calibri"/>
          <w:b/>
          <w:bCs/>
          <w:color w:val="2E5AAC"/>
          <w:sz w:val="26"/>
          <w:szCs w:val="26"/>
        </w:rPr>
        <w:t xml:space="preserve">5. Approved tools</w:t>
      </w:r>
    </w:p>
    <w:p>
      <w:pPr>
        <w:spacing w:after="110"/>
      </w:pPr>
      <w:r>
        <w:rPr>
          <w:rFonts w:ascii="Calibri" w:cs="Calibri" w:eastAsia="Calibri" w:hAnsi="Calibri"/>
          <w:color w:val="333A45"/>
          <w:sz w:val="21"/>
          <w:szCs w:val="21"/>
        </w:rPr>
        <w:t xml:space="preserve">5.1 Only AI tools on the [ORGANISATION] Approved AI Tools list may be used with [ORGANISATION] or personal information.</w:t>
      </w:r>
    </w:p>
    <w:p>
      <w:pPr>
        <w:spacing w:after="110"/>
      </w:pPr>
      <w:r>
        <w:rPr>
          <w:rFonts w:ascii="Calibri" w:cs="Calibri" w:eastAsia="Calibri" w:hAnsi="Calibri"/>
          <w:color w:val="333A45"/>
          <w:sz w:val="21"/>
          <w:szCs w:val="21"/>
        </w:rPr>
        <w:t xml:space="preserve">5.2 A tool is added to the list only after: the two determinations at Section 4; security and privacy review; a written contract meeting Section 13; and, where a risk assessment is required under Section 9, that assessment.</w:t>
      </w:r>
    </w:p>
    <w:p>
      <w:pPr>
        <w:spacing w:after="110"/>
      </w:pPr>
      <w:r>
        <w:rPr>
          <w:rFonts w:ascii="Calibri" w:cs="Calibri" w:eastAsia="Calibri" w:hAnsi="Calibri"/>
          <w:color w:val="333A45"/>
          <w:sz w:val="21"/>
          <w:szCs w:val="21"/>
        </w:rPr>
        <w:t xml:space="preserve">5.3 Use of any tool not on the list - including free or personal-account versions of listed tools - is not permitted for [ORGANISATION] work or data.</w:t>
      </w:r>
    </w:p>
    <w:p>
      <w:pPr>
        <w:spacing w:after="110"/>
      </w:pPr>
      <w:r>
        <w:rPr>
          <w:rFonts w:ascii="Calibri" w:cs="Calibri" w:eastAsia="Calibri" w:hAnsi="Calibri"/>
          <w:color w:val="333A45"/>
          <w:sz w:val="21"/>
          <w:szCs w:val="21"/>
        </w:rPr>
        <w:t xml:space="preserve">5.4 Staff who need a tool that is not listed must request it through [FORM / CHANNEL]; requests are assessed within [N] business days.</w:t>
      </w:r>
    </w:p>
    <w:p>
      <w:pPr>
        <w:spacing w:after="110"/>
      </w:pPr>
      <w:r>
        <w:rPr>
          <w:rFonts w:ascii="Calibri" w:cs="Calibri" w:eastAsia="Calibri" w:hAnsi="Calibri"/>
          <w:color w:val="333A45"/>
          <w:sz w:val="21"/>
          <w:szCs w:val="21"/>
        </w:rPr>
        <w:t xml:space="preserve">5.5 Staff already using an unapproved tool must disclose this to the policy owner. Good-faith disclosure will not of itself be treated as a disciplinary matter.</w:t>
      </w:r>
    </w:p>
    <w:p>
      <w:pPr>
        <w:keepNext/>
        <w:pBdr>
          <w:bottom w:val="single" w:color="9DB9E8" w:sz="4" w:space="3"/>
        </w:pBdr>
        <w:spacing w:after="100" w:before="260"/>
      </w:pPr>
      <w:r>
        <w:rPr>
          <w:rFonts w:ascii="Calibri" w:cs="Calibri" w:eastAsia="Calibri" w:hAnsi="Calibri"/>
          <w:b/>
          <w:bCs/>
          <w:color w:val="2E5AAC"/>
          <w:sz w:val="26"/>
          <w:szCs w:val="26"/>
        </w:rPr>
        <w:t xml:space="preserve">6. Levels of use</w:t>
      </w:r>
    </w:p>
    <w:p>
      <w:pPr>
        <w:spacing w:after="110"/>
      </w:pPr>
      <w:r>
        <w:rPr>
          <w:rFonts w:ascii="Calibri" w:cs="Calibri" w:eastAsia="Calibri" w:hAnsi="Calibri"/>
          <w:b/>
          <w:bCs/>
          <w:color w:val="333A45"/>
          <w:sz w:val="21"/>
          <w:szCs w:val="21"/>
        </w:rPr>
        <w:t xml:space="preserve">Level 1 - Open.</w:t>
      </w:r>
      <w:r>
        <w:rPr>
          <w:rFonts w:ascii="Calibri" w:cs="Calibri" w:eastAsia="Calibri" w:hAnsi="Calibri"/>
          <w:color w:val="333A45"/>
          <w:sz w:val="21"/>
          <w:szCs w:val="21"/>
        </w:rPr>
        <w:t xml:space="preserve"> No confidential information and no personal information. Approved tools.</w:t>
      </w:r>
    </w:p>
    <w:p>
      <w:pPr>
        <w:spacing w:after="110"/>
      </w:pPr>
      <w:r>
        <w:rPr>
          <w:rFonts w:ascii="Calibri" w:cs="Calibri" w:eastAsia="Calibri" w:hAnsi="Calibri"/>
          <w:b/>
          <w:bCs/>
          <w:color w:val="333A45"/>
          <w:sz w:val="21"/>
          <w:szCs w:val="21"/>
        </w:rPr>
        <w:t xml:space="preserve">Level 2 - Internal.</w:t>
      </w:r>
      <w:r>
        <w:rPr>
          <w:rFonts w:ascii="Calibri" w:cs="Calibri" w:eastAsia="Calibri" w:hAnsi="Calibri"/>
          <w:color w:val="333A45"/>
          <w:sz w:val="21"/>
          <w:szCs w:val="21"/>
        </w:rPr>
        <w:t xml:space="preserve"> Internal non-personal information. Approved tools with a written contract.</w:t>
      </w:r>
    </w:p>
    <w:p>
      <w:pPr>
        <w:spacing w:after="110"/>
      </w:pPr>
      <w:r>
        <w:rPr>
          <w:rFonts w:ascii="Calibri" w:cs="Calibri" w:eastAsia="Calibri" w:hAnsi="Calibri"/>
          <w:b/>
          <w:bCs/>
          <w:color w:val="333A45"/>
          <w:sz w:val="21"/>
          <w:szCs w:val="21"/>
        </w:rPr>
        <w:t xml:space="preserve">Level 3 - Personal information.</w:t>
      </w:r>
      <w:r>
        <w:rPr>
          <w:rFonts w:ascii="Calibri" w:cs="Calibri" w:eastAsia="Calibri" w:hAnsi="Calibri"/>
          <w:color w:val="333A45"/>
          <w:sz w:val="21"/>
          <w:szCs w:val="21"/>
        </w:rPr>
        <w:t xml:space="preserve"> Any personal information. Approved tools, written contract, the notices at Section 8, and registration in the AI system inventory.</w:t>
      </w:r>
    </w:p>
    <w:p>
      <w:pPr>
        <w:spacing w:after="110"/>
      </w:pPr>
      <w:r>
        <w:rPr>
          <w:rFonts w:ascii="Calibri" w:cs="Calibri" w:eastAsia="Calibri" w:hAnsi="Calibri"/>
          <w:b/>
          <w:bCs/>
          <w:color w:val="333A45"/>
          <w:sz w:val="21"/>
          <w:szCs w:val="21"/>
        </w:rPr>
        <w:t xml:space="preserve">Level 4 - Consequential.</w:t>
      </w:r>
      <w:r>
        <w:rPr>
          <w:rFonts w:ascii="Calibri" w:cs="Calibri" w:eastAsia="Calibri" w:hAnsi="Calibri"/>
          <w:color w:val="333A45"/>
          <w:sz w:val="21"/>
          <w:szCs w:val="21"/>
        </w:rPr>
        <w:t xml:space="preserve"> AI output that makes, or is a substantial factor in, a consequential or significant decision about a person - hiring, compensation, credit, lending, housing, education, healthcare, insurance, essential services. Everything at Level 3, plus Sections 9 to 12, and approval by the AI Governance Committee.</w:t>
      </w:r>
    </w:p>
    <w:p>
      <w:pPr>
        <w:spacing w:after="110"/>
      </w:pPr>
      <w:r>
        <w:rPr>
          <w:rFonts w:ascii="Calibri" w:cs="Calibri" w:eastAsia="Calibri" w:hAnsi="Calibri"/>
          <w:color w:val="333A45"/>
          <w:sz w:val="21"/>
          <w:szCs w:val="21"/>
        </w:rPr>
        <w:t xml:space="preserve">Where a use sits between two levels, the higher applies. The levels are [ORGANISATION]'s own classification, not categories defined in law - but the Level 4 boundary is placed where the Colorado and California statutory triggers fire, so classifying a use also identifies the obligations that attach to it.</w:t>
      </w:r>
    </w:p>
    <w:p>
      <w:pPr>
        <w:keepNext/>
        <w:pBdr>
          <w:bottom w:val="single" w:color="9DB9E8" w:sz="4" w:space="3"/>
        </w:pBdr>
        <w:spacing w:after="100" w:before="260"/>
      </w:pPr>
      <w:r>
        <w:rPr>
          <w:rFonts w:ascii="Calibri" w:cs="Calibri" w:eastAsia="Calibri" w:hAnsi="Calibri"/>
          <w:b/>
          <w:bCs/>
          <w:color w:val="2E5AAC"/>
          <w:sz w:val="26"/>
          <w:szCs w:val="26"/>
        </w:rPr>
        <w:t xml:space="preserve">7. Prohibited by [ORGANISATION]</w:t>
      </w:r>
    </w:p>
    <w:p>
      <w:pPr>
        <w:spacing w:after="110"/>
      </w:pPr>
      <w:r>
        <w:rPr>
          <w:rFonts w:ascii="Calibri" w:cs="Calibri" w:eastAsia="Calibri" w:hAnsi="Calibri"/>
          <w:color w:val="333A45"/>
          <w:sz w:val="21"/>
          <w:szCs w:val="21"/>
        </w:rPr>
        <w:t xml:space="preserve">These are policy prohibitions; where one also tracks a legal duty, that is noted.</w:t>
      </w:r>
    </w:p>
    <w:p>
      <w:pPr>
        <w:spacing w:after="110"/>
      </w:pPr>
      <w:r>
        <w:rPr>
          <w:rFonts w:ascii="Calibri" w:cs="Calibri" w:eastAsia="Calibri" w:hAnsi="Calibri"/>
          <w:color w:val="333A45"/>
          <w:sz w:val="21"/>
          <w:szCs w:val="21"/>
        </w:rPr>
        <w:t xml:space="preserve">7.1 Entering customer, employee, or candidate personal information into any tool not on the approved list.</w:t>
      </w:r>
    </w:p>
    <w:p>
      <w:pPr>
        <w:spacing w:after="110"/>
      </w:pPr>
      <w:r>
        <w:rPr>
          <w:rFonts w:ascii="Calibri" w:cs="Calibri" w:eastAsia="Calibri" w:hAnsi="Calibri"/>
          <w:color w:val="333A45"/>
          <w:sz w:val="21"/>
          <w:szCs w:val="21"/>
        </w:rPr>
        <w:t xml:space="preserve">7.2 Entering credentials, keys, secrets, or security configuration into any AI tool.</w:t>
      </w:r>
    </w:p>
    <w:p>
      <w:pPr>
        <w:spacing w:after="110"/>
      </w:pPr>
      <w:r>
        <w:rPr>
          <w:rFonts w:ascii="Calibri" w:cs="Calibri" w:eastAsia="Calibri" w:hAnsi="Calibri"/>
          <w:color w:val="333A45"/>
          <w:sz w:val="21"/>
          <w:szCs w:val="21"/>
        </w:rPr>
        <w:t xml:space="preserve">7.3 Using AI output as the sole basis for a Level 4 decision without the human determination at Section 11 - which, for California consumers, is also what keeps a tool outside the ADMT article's opt-out and access machinery.</w:t>
      </w:r>
    </w:p>
    <w:p>
      <w:pPr>
        <w:spacing w:after="110"/>
      </w:pPr>
      <w:r>
        <w:rPr>
          <w:rFonts w:ascii="Calibri" w:cs="Calibri" w:eastAsia="Calibri" w:hAnsi="Calibri"/>
          <w:color w:val="333A45"/>
          <w:sz w:val="21"/>
          <w:szCs w:val="21"/>
        </w:rPr>
        <w:t xml:space="preserve">7.4 Deploying a high-risk AI system for Colorado consumers without the risk program, impact assessment, and notices at Sections 9 and 10.</w:t>
      </w:r>
    </w:p>
    <w:p>
      <w:pPr>
        <w:spacing w:after="110"/>
      </w:pPr>
      <w:r>
        <w:rPr>
          <w:rFonts w:ascii="Calibri" w:cs="Calibri" w:eastAsia="Calibri" w:hAnsi="Calibri"/>
          <w:color w:val="333A45"/>
          <w:sz w:val="21"/>
          <w:szCs w:val="21"/>
        </w:rPr>
        <w:t xml:space="preserve">7.5 Using AI to generate content presented as the work of a named individual without that person's agreement, or to imitate a real person's voice, likeness or signature.</w:t>
      </w:r>
    </w:p>
    <w:p>
      <w:pPr>
        <w:spacing w:after="110"/>
      </w:pPr>
      <w:r>
        <w:rPr>
          <w:rFonts w:ascii="Calibri" w:cs="Calibri" w:eastAsia="Calibri" w:hAnsi="Calibri"/>
          <w:color w:val="333A45"/>
          <w:sz w:val="21"/>
          <w:szCs w:val="21"/>
        </w:rPr>
        <w:t xml:space="preserve">7.6 Using AI to covertly monitor, profile or score employees. Automated inference about employees' or applicants' performance, health, or reliability from systematic observation is separately a risk-assessment trigger in California - it is not a quiet zone.</w:t>
      </w:r>
    </w:p>
    <w:p>
      <w:pPr>
        <w:spacing w:after="110"/>
      </w:pPr>
      <w:r>
        <w:rPr>
          <w:rFonts w:ascii="Calibri" w:cs="Calibri" w:eastAsia="Calibri" w:hAnsi="Calibri"/>
          <w:color w:val="333A45"/>
          <w:sz w:val="21"/>
          <w:szCs w:val="21"/>
        </w:rPr>
        <w:t xml:space="preserve">7.7 Removing, weakening, or failing to enforce the content rules in this policy for any natural-language system relied on as excluded under Section 4.2 - the exclusion exists only while the policy is enforced.</w:t>
      </w:r>
    </w:p>
    <w:p>
      <w:pPr>
        <w:spacing w:after="110"/>
      </w:pPr>
      <w:r>
        <w:rPr>
          <w:rFonts w:ascii="Calibri" w:cs="Calibri" w:eastAsia="Calibri" w:hAnsi="Calibri"/>
          <w:color w:val="333A45"/>
          <w:sz w:val="21"/>
          <w:szCs w:val="21"/>
        </w:rPr>
        <w:t xml:space="preserve">7.8 Using AI to produce material that is unlawful, defamatory, harassing, or discriminatory.</w:t>
      </w:r>
    </w:p>
    <w:p>
      <w:pPr>
        <w:spacing w:after="110"/>
      </w:pPr>
      <w:r>
        <w:rPr>
          <w:rFonts w:ascii="Calibri" w:cs="Calibri" w:eastAsia="Calibri" w:hAnsi="Calibri"/>
          <w:color w:val="333A45"/>
          <w:sz w:val="21"/>
          <w:szCs w:val="21"/>
        </w:rPr>
        <w:t xml:space="preserve">No exception may be granted against 7.4 or 7.7.</w:t>
      </w:r>
    </w:p>
    <w:p>
      <w:pPr>
        <w:keepNext/>
        <w:pBdr>
          <w:bottom w:val="single" w:color="9DB9E8" w:sz="4" w:space="3"/>
        </w:pBdr>
        <w:spacing w:after="100" w:before="260"/>
      </w:pPr>
      <w:r>
        <w:rPr>
          <w:rFonts w:ascii="Calibri" w:cs="Calibri" w:eastAsia="Calibri" w:hAnsi="Calibri"/>
          <w:b/>
          <w:bCs/>
          <w:color w:val="2E5AAC"/>
          <w:sz w:val="26"/>
          <w:szCs w:val="26"/>
        </w:rPr>
        <w:t xml:space="preserve">8. Personal information</w:t>
      </w:r>
    </w:p>
    <w:p>
      <w:pPr>
        <w:spacing w:after="110"/>
      </w:pPr>
      <w:r>
        <w:rPr>
          <w:rFonts w:ascii="Calibri" w:cs="Calibri" w:eastAsia="Calibri" w:hAnsi="Calibri"/>
          <w:color w:val="333A45"/>
          <w:sz w:val="21"/>
          <w:szCs w:val="21"/>
        </w:rPr>
        <w:t xml:space="preserve">8.1 Personal information may be put into an AI tool only at Level 3 or 4, only with an approved tool, and only consistent with the notices given at collection. Feeding information collected for one purpose into an AI system serving an incompatible purpose fails the reasonable-expectations restriction in the California regulations and is not permitted anywhere.</w:t>
      </w:r>
    </w:p>
    <w:p>
      <w:pPr>
        <w:spacing w:after="110"/>
      </w:pPr>
      <w:r>
        <w:rPr>
          <w:rFonts w:ascii="Calibri" w:cs="Calibri" w:eastAsia="Calibri" w:hAnsi="Calibri"/>
          <w:color w:val="333A45"/>
          <w:sz w:val="21"/>
          <w:szCs w:val="21"/>
        </w:rPr>
        <w:t xml:space="preserve">8.2 </w:t>
      </w:r>
      <w:r>
        <w:rPr>
          <w:rFonts w:ascii="Calibri" w:cs="Calibri" w:eastAsia="Calibri" w:hAnsi="Calibri"/>
          <w:b/>
          <w:bCs/>
          <w:color w:val="333A45"/>
          <w:sz w:val="21"/>
          <w:szCs w:val="21"/>
        </w:rPr>
        <w:t xml:space="preserve">Notice comes first.</w:t>
      </w:r>
      <w:r>
        <w:rPr>
          <w:rFonts w:ascii="Calibri" w:cs="Calibri" w:eastAsia="Calibri" w:hAnsi="Calibri"/>
          <w:color w:val="333A45"/>
          <w:sz w:val="21"/>
          <w:szCs w:val="21"/>
        </w:rPr>
        <w:t xml:space="preserve"> Where personal information will be processed by ADMT for a significant decision, California requires a pre-use notice - prominently, before the processing, covering the use and the consumer's rights to opt out and to access. Where information already collected will be newly processed by ADMT, notice precedes the new processing.</w:t>
      </w:r>
    </w:p>
    <w:p>
      <w:pPr>
        <w:spacing w:after="110"/>
      </w:pPr>
      <w:r>
        <w:rPr>
          <w:rFonts w:ascii="Calibri" w:cs="Calibri" w:eastAsia="Calibri" w:hAnsi="Calibri"/>
          <w:color w:val="333A45"/>
          <w:sz w:val="21"/>
          <w:szCs w:val="21"/>
        </w:rPr>
        <w:t xml:space="preserve">8.3 The following are treated as high-sensitivity and must not be placed in any AI tool without the privacy lead's written approval: financial account and payment information; government identifiers; health information; information about children; biometric information; precise geolocation; and any category [ORGANISATION] classifies as sensitive. Sensitive personal information is separately a risk-assessment trigger in California.</w:t>
      </w:r>
    </w:p>
    <w:p>
      <w:pPr>
        <w:spacing w:after="110"/>
      </w:pPr>
      <w:r>
        <w:rPr>
          <w:rFonts w:ascii="Calibri" w:cs="Calibri" w:eastAsia="Calibri" w:hAnsi="Calibri"/>
          <w:color w:val="333A45"/>
          <w:sz w:val="21"/>
          <w:szCs w:val="21"/>
        </w:rPr>
        <w:t xml:space="preserve">8.4 Minimisation applies at Level 3 and 4: the smallest amount of personal information that serves the purpose, de-identified where the purpose survives de-identification.</w:t>
      </w:r>
    </w:p>
    <w:p>
      <w:pPr>
        <w:spacing w:after="110"/>
      </w:pPr>
      <w:r>
        <w:rPr>
          <w:rFonts w:ascii="Calibri" w:cs="Calibri" w:eastAsia="Calibri" w:hAnsi="Calibri"/>
          <w:color w:val="333A45"/>
          <w:sz w:val="21"/>
          <w:szCs w:val="21"/>
        </w:rPr>
        <w:t xml:space="preserve">8.5 </w:t>
      </w:r>
      <w:r>
        <w:rPr>
          <w:rFonts w:ascii="Calibri" w:cs="Calibri" w:eastAsia="Calibri" w:hAnsi="Calibri"/>
          <w:b/>
          <w:bCs/>
          <w:color w:val="333A45"/>
          <w:sz w:val="21"/>
          <w:szCs w:val="21"/>
        </w:rPr>
        <w:t xml:space="preserve">Training is its own decision.</w:t>
      </w:r>
      <w:r>
        <w:rPr>
          <w:rFonts w:ascii="Calibri" w:cs="Calibri" w:eastAsia="Calibri" w:hAnsi="Calibri"/>
          <w:color w:val="333A45"/>
          <w:sz w:val="21"/>
          <w:szCs w:val="21"/>
        </w:rPr>
        <w:t xml:space="preserve"> Personal information may not be used to train an AI system - [ORGANISATION]'s or a supplier's - without the privacy lead's written approval. In California, intending to train ADMT for significant decisions, or identity-verifying or biometric-profiling technology, on personal information is a risk-assessment trigger in itself. Suppliers that train on input do not receive personal information.</w:t>
      </w:r>
    </w:p>
    <w:p>
      <w:pPr>
        <w:keepNext/>
        <w:pBdr>
          <w:bottom w:val="single" w:color="9DB9E8" w:sz="4" w:space="3"/>
        </w:pBdr>
        <w:spacing w:after="100" w:before="260"/>
      </w:pPr>
      <w:r>
        <w:rPr>
          <w:rFonts w:ascii="Calibri" w:cs="Calibri" w:eastAsia="Calibri" w:hAnsi="Calibri"/>
          <w:b/>
          <w:bCs/>
          <w:color w:val="2E5AAC"/>
          <w:sz w:val="26"/>
          <w:szCs w:val="26"/>
        </w:rPr>
        <w:t xml:space="preserve">9. Risk assessments and impact assessments</w:t>
      </w:r>
    </w:p>
    <w:p>
      <w:pPr>
        <w:spacing w:after="110"/>
      </w:pPr>
      <w:r>
        <w:rPr>
          <w:rFonts w:ascii="Calibri" w:cs="Calibri" w:eastAsia="Calibri" w:hAnsi="Calibri"/>
          <w:b/>
          <w:bCs/>
          <w:color w:val="333A45"/>
          <w:sz w:val="21"/>
          <w:szCs w:val="21"/>
        </w:rPr>
        <w:t xml:space="preserve">The two regimes each require an assessment, and one document can serve both - Colorado accepts an assessment prepared for another law if reasonably similar in scope and effect. [ORGANISATION] therefore maintains a single assessment format that satisfies the stricter content list, recorded per system in the assessment register.</w:t>
      </w:r>
    </w:p>
    <w:p>
      <w:pPr>
        <w:spacing w:after="110"/>
      </w:pPr>
      <w:r>
        <w:rPr>
          <w:rFonts w:ascii="Calibri" w:cs="Calibri" w:eastAsia="Calibri" w:hAnsi="Calibri"/>
          <w:color w:val="333A45"/>
          <w:sz w:val="21"/>
          <w:szCs w:val="21"/>
        </w:rPr>
        <w:t xml:space="preserve">9.1 </w:t>
      </w:r>
      <w:r>
        <w:rPr>
          <w:rFonts w:ascii="Calibri" w:cs="Calibri" w:eastAsia="Calibri" w:hAnsi="Calibri"/>
          <w:b/>
          <w:bCs/>
          <w:color w:val="333A45"/>
          <w:sz w:val="21"/>
          <w:szCs w:val="21"/>
        </w:rPr>
        <w:t xml:space="preserve">When.</w:t>
      </w:r>
      <w:r>
        <w:rPr>
          <w:rFonts w:ascii="Calibri" w:cs="Calibri" w:eastAsia="Calibri" w:hAnsi="Calibri"/>
          <w:color w:val="333A45"/>
          <w:sz w:val="21"/>
          <w:szCs w:val="21"/>
        </w:rPr>
        <w:t xml:space="preserve"> Before initiating: any use of ADMT for a significant decision; any deployment of a Colorado high-risk AI system; processing of sensitive personal information; selling or sharing personal information; automated workplace or educational inference from systematic observation; and training uses at 8.5. The assessment precedes the processing - a record created afterwards is remediation.</w:t>
      </w:r>
    </w:p>
    <w:p>
      <w:pPr>
        <w:spacing w:after="110"/>
      </w:pPr>
      <w:r>
        <w:rPr>
          <w:rFonts w:ascii="Calibri" w:cs="Calibri" w:eastAsia="Calibri" w:hAnsi="Calibri"/>
          <w:color w:val="333A45"/>
          <w:sz w:val="21"/>
          <w:szCs w:val="21"/>
        </w:rPr>
        <w:t xml:space="preserve">9.2 </w:t>
      </w:r>
      <w:r>
        <w:rPr>
          <w:rFonts w:ascii="Calibri" w:cs="Calibri" w:eastAsia="Calibri" w:hAnsi="Calibri"/>
          <w:b/>
          <w:bCs/>
          <w:color w:val="333A45"/>
          <w:sz w:val="21"/>
          <w:szCs w:val="21"/>
        </w:rPr>
        <w:t xml:space="preserve">What.</w:t>
      </w:r>
      <w:r>
        <w:rPr>
          <w:rFonts w:ascii="Calibri" w:cs="Calibri" w:eastAsia="Calibri" w:hAnsi="Calibri"/>
          <w:color w:val="333A45"/>
          <w:sz w:val="21"/>
          <w:szCs w:val="21"/>
        </w:rPr>
        <w:t xml:space="preserve"> The assessment covers, at minimum: purpose, intended use cases and deployment context; the categories of data in and outputs out; known or reasonably foreseeable risks of algorithmic discrimination and the steps taken to mitigate them; customisation data; performance metrics and known limitations; transparency measures; and post-deployment monitoring and safeguards.</w:t>
      </w:r>
    </w:p>
    <w:p>
      <w:pPr>
        <w:spacing w:after="110"/>
      </w:pPr>
      <w:r>
        <w:rPr>
          <w:rFonts w:ascii="Calibri" w:cs="Calibri" w:eastAsia="Calibri" w:hAnsi="Calibri"/>
          <w:color w:val="333A45"/>
          <w:sz w:val="21"/>
          <w:szCs w:val="21"/>
        </w:rPr>
        <w:t xml:space="preserve">9.3 </w:t>
      </w:r>
      <w:r>
        <w:rPr>
          <w:rFonts w:ascii="Calibri" w:cs="Calibri" w:eastAsia="Calibri" w:hAnsi="Calibri"/>
          <w:b/>
          <w:bCs/>
          <w:color w:val="333A45"/>
          <w:sz w:val="21"/>
          <w:szCs w:val="21"/>
        </w:rPr>
        <w:t xml:space="preserve">Cadence.</w:t>
      </w:r>
      <w:r>
        <w:rPr>
          <w:rFonts w:ascii="Calibri" w:cs="Calibri" w:eastAsia="Calibri" w:hAnsi="Calibri"/>
          <w:color w:val="333A45"/>
          <w:sz w:val="21"/>
          <w:szCs w:val="21"/>
        </w:rPr>
        <w:t xml:space="preserve"> Reviewed at least annually for deployed high-risk systems, within ninety days after any intentional and substantial modification, and at least every three years for California risk assessments. Records are retained at least three years after final deployment.</w:t>
      </w:r>
    </w:p>
    <w:p>
      <w:pPr>
        <w:spacing w:after="110"/>
      </w:pPr>
      <w:r>
        <w:rPr>
          <w:rFonts w:ascii="Calibri" w:cs="Calibri" w:eastAsia="Calibri" w:hAnsi="Calibri"/>
          <w:color w:val="333A45"/>
          <w:sz w:val="21"/>
          <w:szCs w:val="21"/>
        </w:rPr>
        <w:t xml:space="preserve">9.4 </w:t>
      </w:r>
      <w:r>
        <w:rPr>
          <w:rFonts w:ascii="Calibri" w:cs="Calibri" w:eastAsia="Calibri" w:hAnsi="Calibri"/>
          <w:b/>
          <w:bCs/>
          <w:color w:val="333A45"/>
          <w:sz w:val="21"/>
          <w:szCs w:val="21"/>
        </w:rPr>
        <w:t xml:space="preserve">Submission is real.</w:t>
      </w:r>
      <w:r>
        <w:rPr>
          <w:rFonts w:ascii="Calibri" w:cs="Calibri" w:eastAsia="Calibri" w:hAnsi="Calibri"/>
          <w:color w:val="333A45"/>
          <w:sz w:val="21"/>
          <w:szCs w:val="21"/>
        </w:rPr>
        <w:t xml:space="preserve"> California risk-assessment information is submitted to the regulator on the prescribed schedule, and Colorado's attorney general may demand the risk program, impact assessment, and records on ninety days' notice - with trade-secret designation and privilege protection available. Assessments are written knowing a regulator may read them.</w:t>
      </w:r>
    </w:p>
    <w:p>
      <w:pPr>
        <w:spacing w:after="110"/>
      </w:pPr>
      <w:r>
        <w:rPr>
          <w:rFonts w:ascii="Calibri" w:cs="Calibri" w:eastAsia="Calibri" w:hAnsi="Calibri"/>
          <w:color w:val="333A45"/>
          <w:sz w:val="21"/>
          <w:szCs w:val="21"/>
        </w:rPr>
        <w:t xml:space="preserve">9.5 The risk management program that frames these assessments follows the NIST AI Risk Management Framework's four functions - govern, map, measure, manage - proportionate to [ORGANISATION]'s size, the systems' scope, and the data's sensitivity, per Section 1.3.</w:t>
      </w:r>
    </w:p>
    <w:p>
      <w:pPr>
        <w:keepNext/>
        <w:pBdr>
          <w:bottom w:val="single" w:color="9DB9E8" w:sz="4" w:space="3"/>
        </w:pBdr>
        <w:spacing w:after="100" w:before="260"/>
      </w:pPr>
      <w:r>
        <w:rPr>
          <w:rFonts w:ascii="Calibri" w:cs="Calibri" w:eastAsia="Calibri" w:hAnsi="Calibri"/>
          <w:b/>
          <w:bCs/>
          <w:color w:val="2E5AAC"/>
          <w:sz w:val="26"/>
          <w:szCs w:val="26"/>
        </w:rPr>
        <w:t xml:space="preserve">10. Consumer notices and adverse decisions</w:t>
      </w:r>
    </w:p>
    <w:p>
      <w:pPr>
        <w:spacing w:after="110"/>
      </w:pPr>
      <w:r>
        <w:rPr>
          <w:rFonts w:ascii="Calibri" w:cs="Calibri" w:eastAsia="Calibri" w:hAnsi="Calibri"/>
          <w:color w:val="333A45"/>
          <w:sz w:val="21"/>
          <w:szCs w:val="21"/>
        </w:rPr>
        <w:t xml:space="preserve">10.1 </w:t>
      </w:r>
      <w:r>
        <w:rPr>
          <w:rFonts w:ascii="Calibri" w:cs="Calibri" w:eastAsia="Calibri" w:hAnsi="Calibri"/>
          <w:b/>
          <w:bCs/>
          <w:color w:val="333A45"/>
          <w:sz w:val="21"/>
          <w:szCs w:val="21"/>
        </w:rPr>
        <w:t xml:space="preserve">Before the decision:</w:t>
      </w:r>
      <w:r>
        <w:rPr>
          <w:rFonts w:ascii="Calibri" w:cs="Calibri" w:eastAsia="Calibri" w:hAnsi="Calibri"/>
          <w:color w:val="333A45"/>
          <w:sz w:val="21"/>
          <w:szCs w:val="21"/>
        </w:rPr>
        <w:t xml:space="preserve"> where a high-risk AI system makes or substantially factors into a consequential decision about a Colorado consumer, the consumer is notified before the decision, given a plain-language description of the system and its purpose, and told how to access the public statement at 10.4.</w:t>
      </w:r>
    </w:p>
    <w:p>
      <w:pPr>
        <w:spacing w:after="110"/>
      </w:pPr>
      <w:r>
        <w:rPr>
          <w:rFonts w:ascii="Calibri" w:cs="Calibri" w:eastAsia="Calibri" w:hAnsi="Calibri"/>
          <w:color w:val="333A45"/>
          <w:sz w:val="21"/>
          <w:szCs w:val="21"/>
        </w:rPr>
        <w:t xml:space="preserve">10.2 </w:t>
      </w:r>
      <w:r>
        <w:rPr>
          <w:rFonts w:ascii="Calibri" w:cs="Calibri" w:eastAsia="Calibri" w:hAnsi="Calibri"/>
          <w:b/>
          <w:bCs/>
          <w:color w:val="333A45"/>
          <w:sz w:val="21"/>
          <w:szCs w:val="21"/>
        </w:rPr>
        <w:t xml:space="preserve">After an adverse decision:</w:t>
      </w:r>
      <w:r>
        <w:rPr>
          <w:rFonts w:ascii="Calibri" w:cs="Calibri" w:eastAsia="Calibri" w:hAnsi="Calibri"/>
          <w:color w:val="333A45"/>
          <w:sz w:val="21"/>
          <w:szCs w:val="21"/>
        </w:rPr>
        <w:t xml:space="preserve"> the consumer receives the principal reasons - including the degree and manner of the AI system's contribution, the type of data processed, and its sources - an opportunity to correct incorrect personal data the system processed, and an opportunity to appeal with human review where technically feasible. Where the decision uses consumer-report information, the federal adverse action duties apply in parallel.</w:t>
      </w:r>
    </w:p>
    <w:p>
      <w:pPr>
        <w:spacing w:after="110"/>
      </w:pPr>
      <w:r>
        <w:rPr>
          <w:rFonts w:ascii="Calibri" w:cs="Calibri" w:eastAsia="Calibri" w:hAnsi="Calibri"/>
          <w:color w:val="333A45"/>
          <w:sz w:val="21"/>
          <w:szCs w:val="21"/>
        </w:rPr>
        <w:t xml:space="preserve">10.3 </w:t>
      </w:r>
      <w:r>
        <w:rPr>
          <w:rFonts w:ascii="Calibri" w:cs="Calibri" w:eastAsia="Calibri" w:hAnsi="Calibri"/>
          <w:b/>
          <w:bCs/>
          <w:color w:val="333A45"/>
          <w:sz w:val="21"/>
          <w:szCs w:val="21"/>
        </w:rPr>
        <w:t xml:space="preserve">Opt-outs:</w:t>
      </w:r>
      <w:r>
        <w:rPr>
          <w:rFonts w:ascii="Calibri" w:cs="Calibri" w:eastAsia="Calibri" w:hAnsi="Calibri"/>
          <w:color w:val="333A45"/>
          <w:sz w:val="21"/>
          <w:szCs w:val="21"/>
        </w:rPr>
        <w:t xml:space="preserve"> where required, consumers are informed of the right to opt out of profiling in furtherance of significant decisions; California consumers receive the ADMT opt-out and access rights in the regulations, operated through the methods in Section 12.</w:t>
      </w:r>
    </w:p>
    <w:p>
      <w:pPr>
        <w:spacing w:after="110"/>
      </w:pPr>
      <w:r>
        <w:rPr>
          <w:rFonts w:ascii="Calibri" w:cs="Calibri" w:eastAsia="Calibri" w:hAnsi="Calibri"/>
          <w:color w:val="333A45"/>
          <w:sz w:val="21"/>
          <w:szCs w:val="21"/>
        </w:rPr>
        <w:t xml:space="preserve">10.4 </w:t>
      </w:r>
      <w:r>
        <w:rPr>
          <w:rFonts w:ascii="Calibri" w:cs="Calibri" w:eastAsia="Calibri" w:hAnsi="Calibri"/>
          <w:b/>
          <w:bCs/>
          <w:color w:val="333A45"/>
          <w:sz w:val="21"/>
          <w:szCs w:val="21"/>
        </w:rPr>
        <w:t xml:space="preserve">The public statement:</w:t>
      </w:r>
      <w:r>
        <w:rPr>
          <w:rFonts w:ascii="Calibri" w:cs="Calibri" w:eastAsia="Calibri" w:hAnsi="Calibri"/>
          <w:color w:val="333A45"/>
          <w:sz w:val="21"/>
          <w:szCs w:val="21"/>
        </w:rPr>
        <w:t xml:space="preserve"> [ORGANISATION] publishes and periodically updates a website statement summarising the types of high-risk AI systems it deploys, how it manages the discrimination risks, and the nature, source, and extent of the information used. Where [ORGANISATION] develops such systems for others, the developer statement and documentation duties apply too.</w:t>
      </w:r>
    </w:p>
    <w:p>
      <w:pPr>
        <w:spacing w:after="110"/>
      </w:pPr>
      <w:r>
        <w:rPr>
          <w:rFonts w:ascii="Calibri" w:cs="Calibri" w:eastAsia="Calibri" w:hAnsi="Calibri"/>
          <w:color w:val="333A45"/>
          <w:sz w:val="21"/>
          <w:szCs w:val="21"/>
        </w:rPr>
        <w:t xml:space="preserve">10.5 All notices are direct, in plain language, in the languages [ORGANISATION] ordinarily uses with its consumers, and accessible to consumers with disabilities.</w:t>
      </w:r>
    </w:p>
    <w:p>
      <w:pPr>
        <w:keepNext/>
        <w:pBdr>
          <w:bottom w:val="single" w:color="9DB9E8" w:sz="4" w:space="3"/>
        </w:pBdr>
        <w:spacing w:after="100" w:before="260"/>
      </w:pPr>
      <w:r>
        <w:rPr>
          <w:rFonts w:ascii="Calibri" w:cs="Calibri" w:eastAsia="Calibri" w:hAnsi="Calibri"/>
          <w:b/>
          <w:bCs/>
          <w:color w:val="2E5AAC"/>
          <w:sz w:val="26"/>
          <w:szCs w:val="26"/>
        </w:rPr>
        <w:t xml:space="preserve">11. Human determination</w:t>
      </w:r>
    </w:p>
    <w:p>
      <w:pPr>
        <w:spacing w:after="110"/>
      </w:pPr>
      <w:r>
        <w:rPr>
          <w:rFonts w:ascii="Calibri" w:cs="Calibri" w:eastAsia="Calibri" w:hAnsi="Calibri"/>
          <w:color w:val="333A45"/>
          <w:sz w:val="21"/>
          <w:szCs w:val="21"/>
        </w:rPr>
        <w:t xml:space="preserve">11.1 No Level 4 decision is made solely by an AI system. A named person reviews the output, has the authority, information, and time to reach a different conclusion, and records the determination as their own.</w:t>
      </w:r>
    </w:p>
    <w:p>
      <w:pPr>
        <w:spacing w:after="110"/>
      </w:pPr>
      <w:r>
        <w:rPr>
          <w:rFonts w:ascii="Calibri" w:cs="Calibri" w:eastAsia="Calibri" w:hAnsi="Calibri"/>
          <w:color w:val="333A45"/>
          <w:sz w:val="21"/>
          <w:szCs w:val="21"/>
        </w:rPr>
        <w:t xml:space="preserve">11.2 A review that only ratifies the output is not a review - and under the California definition it is not human involvement at all (Section 4.5).</w:t>
      </w:r>
    </w:p>
    <w:p>
      <w:pPr>
        <w:spacing w:after="110"/>
      </w:pPr>
      <w:r>
        <w:rPr>
          <w:rFonts w:ascii="Calibri" w:cs="Calibri" w:eastAsia="Calibri" w:hAnsi="Calibri"/>
          <w:color w:val="333A45"/>
          <w:sz w:val="21"/>
          <w:szCs w:val="21"/>
        </w:rPr>
        <w:t xml:space="preserve">11.3 For each Level 4 use, [ORGANISATION] records before deployment: the decision the system informs; the data it uses; tested performance and known limitations; the groups on which performance was checked; the point of human determination; and the appeal route.</w:t>
      </w:r>
    </w:p>
    <w:p>
      <w:pPr>
        <w:keepNext/>
        <w:pBdr>
          <w:bottom w:val="single" w:color="9DB9E8" w:sz="4" w:space="3"/>
        </w:pBdr>
        <w:spacing w:after="100" w:before="260"/>
      </w:pPr>
      <w:r>
        <w:rPr>
          <w:rFonts w:ascii="Calibri" w:cs="Calibri" w:eastAsia="Calibri" w:hAnsi="Calibri"/>
          <w:b/>
          <w:bCs/>
          <w:color w:val="2E5AAC"/>
          <w:sz w:val="26"/>
          <w:szCs w:val="26"/>
        </w:rPr>
        <w:t xml:space="preserve">12. Individuals' requests</w:t>
      </w:r>
    </w:p>
    <w:p>
      <w:pPr>
        <w:spacing w:after="110"/>
      </w:pPr>
      <w:r>
        <w:rPr>
          <w:rFonts w:ascii="Calibri" w:cs="Calibri" w:eastAsia="Calibri" w:hAnsi="Calibri"/>
          <w:color w:val="333A45"/>
          <w:sz w:val="21"/>
          <w:szCs w:val="21"/>
        </w:rPr>
        <w:t xml:space="preserve">12.1 [ORGANISATION] maintains a documented route by which access, deletion, correction, and opt-out requests reach every AI tool in the inventory, including prompts, uploads, transcripts, embeddings, caches, and logs. A tool from which personal information cannot be retrieved on request is not approved for personal information.</w:t>
      </w:r>
    </w:p>
    <w:p>
      <w:pPr>
        <w:spacing w:after="110"/>
      </w:pPr>
      <w:r>
        <w:rPr>
          <w:rFonts w:ascii="Calibri" w:cs="Calibri" w:eastAsia="Calibri" w:hAnsi="Calibri"/>
          <w:color w:val="333A45"/>
          <w:sz w:val="21"/>
          <w:szCs w:val="21"/>
        </w:rPr>
        <w:t xml:space="preserve">12.2 California consumers' requests to access ADMT, to opt out of ADMT, and the CCPA's access, deletion, and correction rights are executed through the methods and timelines in the regulations, owned by the privacy lead.</w:t>
      </w:r>
    </w:p>
    <w:p>
      <w:pPr>
        <w:spacing w:after="110"/>
      </w:pPr>
      <w:r>
        <w:rPr>
          <w:rFonts w:ascii="Calibri" w:cs="Calibri" w:eastAsia="Calibri" w:hAnsi="Calibri"/>
          <w:color w:val="333A45"/>
          <w:sz w:val="21"/>
          <w:szCs w:val="21"/>
        </w:rPr>
        <w:t xml:space="preserve">12.3 Corrections propagate: corrected data goes to the AI suppliers holding it, and where an adverse Colorado decision rested on incorrect data, the correction opportunity at 10.2 is honoured through the same route.</w:t>
      </w:r>
    </w:p>
    <w:p>
      <w:pPr>
        <w:keepNext/>
        <w:pBdr>
          <w:bottom w:val="single" w:color="9DB9E8" w:sz="4" w:space="3"/>
        </w:pBdr>
        <w:spacing w:after="100" w:before="260"/>
      </w:pPr>
      <w:r>
        <w:rPr>
          <w:rFonts w:ascii="Calibri" w:cs="Calibri" w:eastAsia="Calibri" w:hAnsi="Calibri"/>
          <w:b/>
          <w:bCs/>
          <w:color w:val="2E5AAC"/>
          <w:sz w:val="26"/>
          <w:szCs w:val="26"/>
        </w:rPr>
        <w:t xml:space="preserve">13. Suppliers</w:t>
      </w:r>
    </w:p>
    <w:p>
      <w:pPr>
        <w:spacing w:after="110"/>
      </w:pPr>
      <w:r>
        <w:rPr>
          <w:rFonts w:ascii="Calibri" w:cs="Calibri" w:eastAsia="Calibri" w:hAnsi="Calibri"/>
          <w:color w:val="333A45"/>
          <w:sz w:val="21"/>
          <w:szCs w:val="21"/>
        </w:rPr>
        <w:t xml:space="preserve">13.1 No AI service is procured or renewed without security and privacy review and a written contract. Service-provider and contractor contracts satisfy the California contract requirements; supplier flow-down covers sub-processors.</w:t>
      </w:r>
    </w:p>
    <w:p>
      <w:pPr>
        <w:spacing w:after="110"/>
      </w:pPr>
      <w:r>
        <w:rPr>
          <w:rFonts w:ascii="Calibri" w:cs="Calibri" w:eastAsia="Calibri" w:hAnsi="Calibri"/>
          <w:color w:val="333A45"/>
          <w:sz w:val="21"/>
          <w:szCs w:val="21"/>
        </w:rPr>
        <w:t xml:space="preserve">13.2 AI-specific terms: no use of [ORGANISATION] data to train supplier models without express approval; disclosure of material model and capability changes - which reopen the Section 4 determinations; disclosure of processing and storage locations; developer documentation sufficient to complete the impact assessment at Section 9 (model cards, dataset cards, known limitations, discrimination testing); breach notification without undue delay; assistance with individuals' requests; and exit arrangements.</w:t>
      </w:r>
    </w:p>
    <w:p>
      <w:pPr>
        <w:spacing w:after="110"/>
      </w:pPr>
      <w:r>
        <w:rPr>
          <w:rFonts w:ascii="Calibri" w:cs="Calibri" w:eastAsia="Calibri" w:hAnsi="Calibri"/>
          <w:color w:val="333A45"/>
          <w:sz w:val="21"/>
          <w:szCs w:val="21"/>
        </w:rPr>
        <w:t xml:space="preserve">13.3 Where [ORGANISATION] procures a high-risk system, it obtains and retains the Colorado developer documentation; where the developer withholds it, the deployment is not approved.</w:t>
      </w:r>
    </w:p>
    <w:p>
      <w:pPr>
        <w:spacing w:after="110"/>
      </w:pPr>
      <w:r>
        <w:rPr>
          <w:rFonts w:ascii="Calibri" w:cs="Calibri" w:eastAsia="Calibri" w:hAnsi="Calibri"/>
          <w:color w:val="333A45"/>
          <w:sz w:val="21"/>
          <w:szCs w:val="21"/>
        </w:rPr>
        <w:t xml:space="preserve">13.4 Where [ORGANISATION] develops or intentionally and substantially modifies an AI system made available to others, it holds the developer duties - documentation, website statement, and the ninety-day discrimination notice - and the committee records the role per system.</w:t>
      </w:r>
    </w:p>
    <w:p>
      <w:pPr>
        <w:keepNext/>
        <w:pBdr>
          <w:bottom w:val="single" w:color="9DB9E8" w:sz="4" w:space="3"/>
        </w:pBdr>
        <w:spacing w:after="100" w:before="260"/>
      </w:pPr>
      <w:r>
        <w:rPr>
          <w:rFonts w:ascii="Calibri" w:cs="Calibri" w:eastAsia="Calibri" w:hAnsi="Calibri"/>
          <w:b/>
          <w:bCs/>
          <w:color w:val="2E5AAC"/>
          <w:sz w:val="26"/>
          <w:szCs w:val="26"/>
        </w:rPr>
        <w:t xml:space="preserve">14. Discrimination monitoring and the ninety-day clock</w:t>
      </w:r>
    </w:p>
    <w:p>
      <w:pPr>
        <w:spacing w:after="110"/>
      </w:pPr>
      <w:r>
        <w:rPr>
          <w:rFonts w:ascii="Calibri" w:cs="Calibri" w:eastAsia="Calibri" w:hAnsi="Calibri"/>
          <w:color w:val="333A45"/>
          <w:sz w:val="21"/>
          <w:szCs w:val="21"/>
        </w:rPr>
        <w:t xml:space="preserve">14.1 Deployed high-risk systems are reviewed at least annually to ensure they are not causing algorithmic discrimination, and Level 4 systems are tested before deployment and at least annually for disparate outcomes across the groups relevant to the decision.</w:t>
      </w:r>
    </w:p>
    <w:p>
      <w:pPr>
        <w:spacing w:after="110"/>
      </w:pPr>
      <w:r>
        <w:rPr>
          <w:rFonts w:ascii="Calibri" w:cs="Calibri" w:eastAsia="Calibri" w:hAnsi="Calibri"/>
          <w:color w:val="333A45"/>
          <w:sz w:val="21"/>
          <w:szCs w:val="21"/>
        </w:rPr>
        <w:t xml:space="preserve">14.2 </w:t>
      </w:r>
      <w:r>
        <w:rPr>
          <w:rFonts w:ascii="Calibri" w:cs="Calibri" w:eastAsia="Calibri" w:hAnsi="Calibri"/>
          <w:b/>
          <w:bCs/>
          <w:color w:val="333A45"/>
          <w:sz w:val="21"/>
          <w:szCs w:val="21"/>
        </w:rPr>
        <w:t xml:space="preserve">Discovery starts a statutory clock.</w:t>
      </w:r>
      <w:r>
        <w:rPr>
          <w:rFonts w:ascii="Calibri" w:cs="Calibri" w:eastAsia="Calibri" w:hAnsi="Calibri"/>
          <w:color w:val="333A45"/>
          <w:sz w:val="21"/>
          <w:szCs w:val="21"/>
        </w:rPr>
        <w:t xml:space="preserve"> If [ORGANISATION] discovers that a deployed high-risk system has caused algorithmic discrimination, it must notify the Colorado attorney general within ninety days, in the prescribed form. Suspected discrimination is therefore escalated to the privacy lead and committee immediately on suspicion - the clock is too short to absorb internal delay.</w:t>
      </w:r>
    </w:p>
    <w:p>
      <w:pPr>
        <w:spacing w:after="110"/>
      </w:pPr>
      <w:r>
        <w:rPr>
          <w:rFonts w:ascii="Calibri" w:cs="Calibri" w:eastAsia="Calibri" w:hAnsi="Calibri"/>
          <w:color w:val="333A45"/>
          <w:sz w:val="21"/>
          <w:szCs w:val="21"/>
        </w:rPr>
        <w:t xml:space="preserve">14.3 Where a difference in outcomes is found and cannot be justified, the system is not deployed, or is withdrawn.</w:t>
      </w:r>
    </w:p>
    <w:p>
      <w:pPr>
        <w:spacing w:after="110"/>
      </w:pPr>
      <w:r>
        <w:rPr>
          <w:rFonts w:ascii="Calibri" w:cs="Calibri" w:eastAsia="Calibri" w:hAnsi="Calibri"/>
          <w:color w:val="333A45"/>
          <w:sz w:val="21"/>
          <w:szCs w:val="21"/>
        </w:rPr>
        <w:t xml:space="preserve">14.4 The affirmative-defense architecture at Section 1.3 rewards exactly this: discovering and curing violations through feedback, red-teaming, or internal review, while complying with the named frameworks. The monitoring in this section is that mechanism, operated deliberately.</w:t>
      </w:r>
    </w:p>
    <w:p>
      <w:pPr>
        <w:keepNext/>
        <w:pBdr>
          <w:bottom w:val="single" w:color="9DB9E8" w:sz="4" w:space="3"/>
        </w:pBdr>
        <w:spacing w:after="100" w:before="260"/>
      </w:pPr>
      <w:r>
        <w:rPr>
          <w:rFonts w:ascii="Calibri" w:cs="Calibri" w:eastAsia="Calibri" w:hAnsi="Calibri"/>
          <w:b/>
          <w:bCs/>
          <w:color w:val="2E5AAC"/>
          <w:sz w:val="26"/>
          <w:szCs w:val="26"/>
        </w:rPr>
        <w:t xml:space="preserve">15. AI interaction disclosure</w:t>
      </w:r>
    </w:p>
    <w:p>
      <w:pPr>
        <w:spacing w:after="110"/>
      </w:pPr>
      <w:r>
        <w:rPr>
          <w:rFonts w:ascii="Calibri" w:cs="Calibri" w:eastAsia="Calibri" w:hAnsi="Calibri"/>
          <w:color w:val="333A45"/>
          <w:sz w:val="21"/>
          <w:szCs w:val="21"/>
        </w:rPr>
        <w:t xml:space="preserve">15.1 Any AI system intended to interact with consumers discloses that the consumer is interacting with an AI system, unless that would be obvious to a reasonable person. The obviousness exception is applied by the privacy lead per system, not assumed by the deploying team.</w:t>
      </w:r>
    </w:p>
    <w:p>
      <w:pPr>
        <w:spacing w:after="110"/>
      </w:pPr>
      <w:r>
        <w:rPr>
          <w:rFonts w:ascii="Calibri" w:cs="Calibri" w:eastAsia="Calibri" w:hAnsi="Calibri"/>
          <w:color w:val="333A45"/>
          <w:sz w:val="21"/>
          <w:szCs w:val="21"/>
        </w:rPr>
        <w:t xml:space="preserve">15.2 A route to a human is available and is not made deliberately difficult to find.</w:t>
      </w:r>
    </w:p>
    <w:p>
      <w:pPr>
        <w:spacing w:after="110"/>
      </w:pPr>
      <w:r>
        <w:rPr>
          <w:rFonts w:ascii="Calibri" w:cs="Calibri" w:eastAsia="Calibri" w:hAnsi="Calibri"/>
          <w:color w:val="333A45"/>
          <w:sz w:val="21"/>
          <w:szCs w:val="21"/>
        </w:rPr>
        <w:t xml:space="preserve">15.3 What a customer-facing system may commit [ORGANISATION] to is bounded and documented.</w:t>
      </w:r>
    </w:p>
    <w:p>
      <w:pPr>
        <w:keepNext/>
        <w:pBdr>
          <w:bottom w:val="single" w:color="9DB9E8" w:sz="4" w:space="3"/>
        </w:pBdr>
        <w:spacing w:after="100" w:before="260"/>
      </w:pPr>
      <w:r>
        <w:rPr>
          <w:rFonts w:ascii="Calibri" w:cs="Calibri" w:eastAsia="Calibri" w:hAnsi="Calibri"/>
          <w:b/>
          <w:bCs/>
          <w:color w:val="2E5AAC"/>
          <w:sz w:val="26"/>
          <w:szCs w:val="26"/>
        </w:rPr>
        <w:t xml:space="preserve">16. Security</w:t>
      </w:r>
    </w:p>
    <w:p>
      <w:pPr>
        <w:spacing w:after="110"/>
      </w:pPr>
      <w:r>
        <w:rPr>
          <w:rFonts w:ascii="Calibri" w:cs="Calibri" w:eastAsia="Calibri" w:hAnsi="Calibri"/>
          <w:color w:val="333A45"/>
          <w:sz w:val="21"/>
          <w:szCs w:val="21"/>
        </w:rPr>
        <w:t xml:space="preserve">16.1 AI tools are accessed through [ORGANISATION] accounts with single sign-on and multi-factor authentication. Personal accounts must not be used for [ORGANISATION] work.</w:t>
      </w:r>
    </w:p>
    <w:p>
      <w:pPr>
        <w:spacing w:after="110"/>
      </w:pPr>
      <w:r>
        <w:rPr>
          <w:rFonts w:ascii="Calibri" w:cs="Calibri" w:eastAsia="Calibri" w:hAnsi="Calibri"/>
          <w:color w:val="333A45"/>
          <w:sz w:val="21"/>
          <w:szCs w:val="21"/>
        </w:rPr>
        <w:t xml:space="preserve">16.2 Access to AI tools handling personal information is granted on least privilege and reviewed [quarterly]. Leavers are removed on the day of departure.</w:t>
      </w:r>
    </w:p>
    <w:p>
      <w:pPr>
        <w:spacing w:after="110"/>
      </w:pPr>
      <w:r>
        <w:rPr>
          <w:rFonts w:ascii="Calibri" w:cs="Calibri" w:eastAsia="Calibri" w:hAnsi="Calibri"/>
          <w:color w:val="333A45"/>
          <w:sz w:val="21"/>
          <w:szCs w:val="21"/>
        </w:rPr>
        <w:t xml:space="preserve">16.3 Content received from outside the organisation is treated as untrusted input when placed in front of an AI system, including any instruction embedded within it.</w:t>
      </w:r>
    </w:p>
    <w:p>
      <w:pPr>
        <w:spacing w:after="110"/>
      </w:pPr>
      <w:r>
        <w:rPr>
          <w:rFonts w:ascii="Calibri" w:cs="Calibri" w:eastAsia="Calibri" w:hAnsi="Calibri"/>
          <w:color w:val="333A45"/>
          <w:sz w:val="21"/>
          <w:szCs w:val="21"/>
        </w:rPr>
        <w:t xml:space="preserve">16.4 Where [ORGANISATION] is a financial institution under the safeguards rule, its information security program covers AI tools handling customer information; where California's cybersecurity audit thresholds are met, AI systems are within the audit scope. Security obligations for other organisations are [ORGANISATION] house standards informed by the same controls.</w:t>
      </w:r>
    </w:p>
    <w:p>
      <w:pPr>
        <w:keepNext/>
        <w:pBdr>
          <w:bottom w:val="single" w:color="9DB9E8" w:sz="4" w:space="3"/>
        </w:pBdr>
        <w:spacing w:after="100" w:before="260"/>
      </w:pPr>
      <w:r>
        <w:rPr>
          <w:rFonts w:ascii="Calibri" w:cs="Calibri" w:eastAsia="Calibri" w:hAnsi="Calibri"/>
          <w:b/>
          <w:bCs/>
          <w:color w:val="2E5AAC"/>
          <w:sz w:val="26"/>
          <w:szCs w:val="26"/>
        </w:rPr>
        <w:t xml:space="preserve">17. Breach and incidents</w:t>
      </w:r>
    </w:p>
    <w:p>
      <w:pPr>
        <w:spacing w:after="110"/>
      </w:pPr>
      <w:r>
        <w:rPr>
          <w:rFonts w:ascii="Calibri" w:cs="Calibri" w:eastAsia="Calibri" w:hAnsi="Calibri"/>
          <w:color w:val="333A45"/>
          <w:sz w:val="21"/>
          <w:szCs w:val="21"/>
        </w:rPr>
        <w:t xml:space="preserve">17.1 Any suspected breach involving an AI tool - a wrong recipient, an unapproved tool, an exposed prompt log, a misconfigured index, a supplier notification - is reported to [SECURITY CONTACT] and the privacy lead immediately on suspicion.</w:t>
      </w:r>
    </w:p>
    <w:p>
      <w:pPr>
        <w:spacing w:after="110"/>
      </w:pPr>
      <w:r>
        <w:rPr>
          <w:rFonts w:ascii="Calibri" w:cs="Calibri" w:eastAsia="Calibri" w:hAnsi="Calibri"/>
          <w:color w:val="333A45"/>
          <w:sz w:val="21"/>
          <w:szCs w:val="21"/>
        </w:rPr>
        <w:t xml:space="preserve">17.2 </w:t>
      </w:r>
      <w:r>
        <w:rPr>
          <w:rFonts w:ascii="Calibri" w:cs="Calibri" w:eastAsia="Calibri" w:hAnsi="Calibri"/>
          <w:b/>
          <w:bCs/>
          <w:color w:val="333A45"/>
          <w:sz w:val="21"/>
          <w:szCs w:val="21"/>
        </w:rPr>
        <w:t xml:space="preserve">This set does not state breach-notification deadlines.</w:t>
      </w:r>
      <w:r>
        <w:rPr>
          <w:rFonts w:ascii="Calibri" w:cs="Calibri" w:eastAsia="Calibri" w:hAnsi="Calibri"/>
          <w:color w:val="333A45"/>
          <w:sz w:val="21"/>
          <w:szCs w:val="21"/>
        </w:rPr>
        <w:t xml:space="preserve"> The state breach notification statutes are not held in this corpus, and the sectoral rules carry their own duties. The privacy lead maintains the current statement of the notification obligations for each state and sector [ORGANISATION] operates in, and the incident process names, for every incident, which obligations were assessed.</w:t>
      </w:r>
    </w:p>
    <w:p>
      <w:pPr>
        <w:spacing w:after="110"/>
      </w:pPr>
      <w:r>
        <w:rPr>
          <w:rFonts w:ascii="Calibri" w:cs="Calibri" w:eastAsia="Calibri" w:hAnsi="Calibri"/>
          <w:color w:val="333A45"/>
          <w:sz w:val="21"/>
          <w:szCs w:val="21"/>
        </w:rPr>
        <w:t xml:space="preserve">17.3 Staff who report in good faith will not face disciplinary action for reporting.</w:t>
      </w:r>
    </w:p>
    <w:p>
      <w:pPr>
        <w:keepNext/>
        <w:pBdr>
          <w:bottom w:val="single" w:color="9DB9E8" w:sz="4" w:space="3"/>
        </w:pBdr>
        <w:spacing w:after="100" w:before="260"/>
      </w:pPr>
      <w:r>
        <w:rPr>
          <w:rFonts w:ascii="Calibri" w:cs="Calibri" w:eastAsia="Calibri" w:hAnsi="Calibri"/>
          <w:b/>
          <w:bCs/>
          <w:color w:val="2E5AAC"/>
          <w:sz w:val="26"/>
          <w:szCs w:val="26"/>
        </w:rPr>
        <w:t xml:space="preserve">18. Verification of output</w:t>
      </w:r>
    </w:p>
    <w:p>
      <w:pPr>
        <w:spacing w:after="110"/>
      </w:pPr>
      <w:r>
        <w:rPr>
          <w:rFonts w:ascii="Calibri" w:cs="Calibri" w:eastAsia="Calibri" w:hAnsi="Calibri"/>
          <w:color w:val="333A45"/>
          <w:sz w:val="21"/>
          <w:szCs w:val="21"/>
        </w:rPr>
        <w:t xml:space="preserve">18.1 AI output is a draft. The person who uses it is accountable for it.</w:t>
      </w:r>
    </w:p>
    <w:p>
      <w:pPr>
        <w:spacing w:after="110"/>
      </w:pPr>
      <w:r>
        <w:rPr>
          <w:rFonts w:ascii="Calibri" w:cs="Calibri" w:eastAsia="Calibri" w:hAnsi="Calibri"/>
          <w:color w:val="333A45"/>
          <w:sz w:val="21"/>
          <w:szCs w:val="21"/>
        </w:rPr>
        <w:t xml:space="preserve">18.2 Any factual claim, figure, calculation, date, quotation, citation, or legal reference taken from AI output and relied on externally, or in a decision, must be verified against a primary source before use.</w:t>
      </w:r>
    </w:p>
    <w:p>
      <w:pPr>
        <w:spacing w:after="110"/>
      </w:pPr>
      <w:r>
        <w:rPr>
          <w:rFonts w:ascii="Calibri" w:cs="Calibri" w:eastAsia="Calibri" w:hAnsi="Calibri"/>
          <w:color w:val="333A45"/>
          <w:sz w:val="21"/>
          <w:szCs w:val="21"/>
        </w:rPr>
        <w:t xml:space="preserve">18.3 Code generated by AI is reviewed before merge, with attention to secrets, licence terms, and dependencies the model has introduced.</w:t>
      </w:r>
    </w:p>
    <w:p>
      <w:pPr>
        <w:spacing w:after="110"/>
      </w:pPr>
      <w:r>
        <w:rPr>
          <w:rFonts w:ascii="Calibri" w:cs="Calibri" w:eastAsia="Calibri" w:hAnsi="Calibri"/>
          <w:color w:val="333A45"/>
          <w:sz w:val="21"/>
          <w:szCs w:val="21"/>
        </w:rPr>
        <w:t xml:space="preserve">18.4 AI-generated citations are verified to exist and to say what they are said to say.</w:t>
      </w:r>
    </w:p>
    <w:p>
      <w:pPr>
        <w:spacing w:after="110"/>
      </w:pPr>
      <w:r>
        <w:rPr>
          <w:rFonts w:ascii="Calibri" w:cs="Calibri" w:eastAsia="Calibri" w:hAnsi="Calibri"/>
          <w:color w:val="333A45"/>
          <w:sz w:val="21"/>
          <w:szCs w:val="21"/>
        </w:rPr>
        <w:t xml:space="preserve">18.5 Public statements about what an AI product or feature can do are reviewed before publication - overstating AI capability is the classic deception theory, and it requires no AI-specific statute.</w:t>
      </w:r>
    </w:p>
    <w:p>
      <w:pPr>
        <w:keepNext/>
        <w:pBdr>
          <w:bottom w:val="single" w:color="9DB9E8" w:sz="4" w:space="3"/>
        </w:pBdr>
        <w:spacing w:after="100" w:before="260"/>
      </w:pPr>
      <w:r>
        <w:rPr>
          <w:rFonts w:ascii="Calibri" w:cs="Calibri" w:eastAsia="Calibri" w:hAnsi="Calibri"/>
          <w:b/>
          <w:bCs/>
          <w:color w:val="2E5AAC"/>
          <w:sz w:val="26"/>
          <w:szCs w:val="26"/>
        </w:rPr>
        <w:t xml:space="preserve">19. Intellectual property and records</w:t>
      </w:r>
    </w:p>
    <w:p>
      <w:pPr>
        <w:spacing w:after="110"/>
      </w:pPr>
      <w:r>
        <w:rPr>
          <w:rFonts w:ascii="Calibri" w:cs="Calibri" w:eastAsia="Calibri" w:hAnsi="Calibri"/>
          <w:color w:val="333A45"/>
          <w:sz w:val="21"/>
          <w:szCs w:val="21"/>
        </w:rPr>
        <w:t xml:space="preserve">19.1 AI-generated material used externally is reviewed for third-party rights before publication.</w:t>
      </w:r>
    </w:p>
    <w:p>
      <w:pPr>
        <w:spacing w:after="110"/>
      </w:pPr>
      <w:r>
        <w:rPr>
          <w:rFonts w:ascii="Calibri" w:cs="Calibri" w:eastAsia="Calibri" w:hAnsi="Calibri"/>
          <w:color w:val="333A45"/>
          <w:sz w:val="21"/>
          <w:szCs w:val="21"/>
        </w:rPr>
        <w:t xml:space="preserve">19.2 [ORGANISATION] material must not be placed in tools whose terms grant the supplier rights over input or output beyond what the approval accepted.</w:t>
      </w:r>
    </w:p>
    <w:p>
      <w:pPr>
        <w:spacing w:after="110"/>
      </w:pPr>
      <w:r>
        <w:rPr>
          <w:rFonts w:ascii="Calibri" w:cs="Calibri" w:eastAsia="Calibri" w:hAnsi="Calibri"/>
          <w:color w:val="333A45"/>
          <w:sz w:val="21"/>
          <w:szCs w:val="21"/>
        </w:rPr>
        <w:t xml:space="preserve">19.3 Records supporting compliance - the two determinations, risk assessments and impact assessments, notices, verification records, supplier documentation, and the public statement's versions - are retained for [PERIOD], and at least three years for impact assessments after final deployment, and are producible on request, including to a regulator.</w:t>
      </w:r>
    </w:p>
    <w:p>
      <w:pPr>
        <w:keepNext/>
        <w:pBdr>
          <w:bottom w:val="single" w:color="9DB9E8" w:sz="4" w:space="3"/>
        </w:pBdr>
        <w:spacing w:after="100" w:before="260"/>
      </w:pPr>
      <w:r>
        <w:rPr>
          <w:rFonts w:ascii="Calibri" w:cs="Calibri" w:eastAsia="Calibri" w:hAnsi="Calibri"/>
          <w:b/>
          <w:bCs/>
          <w:color w:val="2E5AAC"/>
          <w:sz w:val="26"/>
          <w:szCs w:val="26"/>
        </w:rPr>
        <w:t xml:space="preserve">20. Employment uses</w:t>
      </w:r>
    </w:p>
    <w:p>
      <w:pPr>
        <w:spacing w:after="110"/>
      </w:pPr>
      <w:r>
        <w:rPr>
          <w:rFonts w:ascii="Calibri" w:cs="Calibri" w:eastAsia="Calibri" w:hAnsi="Calibri"/>
          <w:color w:val="333A45"/>
          <w:sz w:val="21"/>
          <w:szCs w:val="21"/>
        </w:rPr>
        <w:t xml:space="preserve">20.1 AI used in recruitment, performance management, workforce analytics, compensation, or termination decisions is Level 4. For Colorado employees and candidates it engages the consequential-decision machinery in full; for California, employment decisions are significant decisions under the ADMT article, and systematic-observation inference about workers is a risk-assessment trigger.</w:t>
      </w:r>
    </w:p>
    <w:p>
      <w:pPr>
        <w:spacing w:after="110"/>
      </w:pPr>
      <w:r>
        <w:rPr>
          <w:rFonts w:ascii="Calibri" w:cs="Calibri" w:eastAsia="Calibri" w:hAnsi="Calibri"/>
          <w:color w:val="333A45"/>
          <w:sz w:val="21"/>
          <w:szCs w:val="21"/>
        </w:rPr>
        <w:t xml:space="preserve">20.2 Jurisdictions not held in this corpus impose further duties on AI in hiring - they are named in the README as not held, and an organisation hiring in them must obtain those instruments before relying on this section.</w:t>
      </w:r>
    </w:p>
    <w:p>
      <w:pPr>
        <w:keepNext/>
        <w:pBdr>
          <w:bottom w:val="single" w:color="9DB9E8" w:sz="4" w:space="3"/>
        </w:pBdr>
        <w:spacing w:after="100" w:before="260"/>
      </w:pPr>
      <w:r>
        <w:rPr>
          <w:rFonts w:ascii="Calibri" w:cs="Calibri" w:eastAsia="Calibri" w:hAnsi="Calibri"/>
          <w:b/>
          <w:bCs/>
          <w:color w:val="2E5AAC"/>
          <w:sz w:val="26"/>
          <w:szCs w:val="26"/>
        </w:rPr>
        <w:t xml:space="preserve">21. Responsibilities</w:t>
      </w:r>
    </w:p>
    <w:p>
      <w:pPr>
        <w:spacing w:after="110"/>
      </w:pPr>
      <w:r>
        <w:rPr>
          <w:rFonts w:ascii="Calibri" w:cs="Calibri" w:eastAsia="Calibri" w:hAnsi="Calibri"/>
          <w:b/>
          <w:bCs/>
          <w:color w:val="333A45"/>
          <w:sz w:val="21"/>
          <w:szCs w:val="21"/>
        </w:rPr>
        <w:t xml:space="preserve">All staff</w:t>
      </w:r>
      <w:r>
        <w:rPr>
          <w:rFonts w:ascii="Calibri" w:cs="Calibri" w:eastAsia="Calibri" w:hAnsi="Calibri"/>
          <w:color w:val="333A45"/>
          <w:sz w:val="21"/>
          <w:szCs w:val="21"/>
        </w:rPr>
        <w:t xml:space="preserve"> - use approved tools only; apply the correct level; verify output; report suspected incidents immediately.</w:t>
      </w:r>
    </w:p>
    <w:p>
      <w:pPr>
        <w:spacing w:after="110"/>
      </w:pPr>
      <w:r>
        <w:rPr>
          <w:rFonts w:ascii="Calibri" w:cs="Calibri" w:eastAsia="Calibri" w:hAnsi="Calibri"/>
          <w:b/>
          <w:bCs/>
          <w:color w:val="333A45"/>
          <w:sz w:val="21"/>
          <w:szCs w:val="21"/>
        </w:rPr>
        <w:t xml:space="preserve">Managers</w:t>
      </w:r>
      <w:r>
        <w:rPr>
          <w:rFonts w:ascii="Calibri" w:cs="Calibri" w:eastAsia="Calibri" w:hAnsi="Calibri"/>
          <w:color w:val="333A45"/>
          <w:sz w:val="21"/>
          <w:szCs w:val="21"/>
        </w:rPr>
        <w:t xml:space="preserve"> - ensure their teams know this policy; escalate Level 4 uses.</w:t>
      </w:r>
    </w:p>
    <w:p>
      <w:pPr>
        <w:spacing w:after="110"/>
      </w:pPr>
      <w:r>
        <w:rPr>
          <w:rFonts w:ascii="Calibri" w:cs="Calibri" w:eastAsia="Calibri" w:hAnsi="Calibri"/>
          <w:b/>
          <w:bCs/>
          <w:color w:val="333A45"/>
          <w:sz w:val="21"/>
          <w:szCs w:val="21"/>
        </w:rPr>
        <w:t xml:space="preserve">Business owners of AI systems</w:t>
      </w:r>
      <w:r>
        <w:rPr>
          <w:rFonts w:ascii="Calibri" w:cs="Calibri" w:eastAsia="Calibri" w:hAnsi="Calibri"/>
          <w:color w:val="333A45"/>
          <w:sz w:val="21"/>
          <w:szCs w:val="21"/>
        </w:rPr>
        <w:t xml:space="preserve"> - the inventory record, the two determinations' inputs, the assessments, the supplier relationship, the notices in operation.</w:t>
      </w:r>
    </w:p>
    <w:p>
      <w:pPr>
        <w:spacing w:after="110"/>
      </w:pPr>
      <w:r>
        <w:rPr>
          <w:rFonts w:ascii="Calibri" w:cs="Calibri" w:eastAsia="Calibri" w:hAnsi="Calibri"/>
          <w:b/>
          <w:bCs/>
          <w:color w:val="333A45"/>
          <w:sz w:val="21"/>
          <w:szCs w:val="21"/>
        </w:rPr>
        <w:t xml:space="preserve">Privacy lead</w:t>
      </w:r>
      <w:r>
        <w:rPr>
          <w:rFonts w:ascii="Calibri" w:cs="Calibri" w:eastAsia="Calibri" w:hAnsi="Calibri"/>
          <w:color w:val="333A45"/>
          <w:sz w:val="21"/>
          <w:szCs w:val="21"/>
        </w:rPr>
        <w:t xml:space="preserve"> - the determinations at Sections 3 and 4, assessments, notices, individuals' requests, regulator submissions, the ninety-day clock, and the current statement of breach obligations.</w:t>
      </w:r>
    </w:p>
    <w:p>
      <w:pPr>
        <w:spacing w:after="110"/>
      </w:pPr>
      <w:r>
        <w:rPr>
          <w:rFonts w:ascii="Calibri" w:cs="Calibri" w:eastAsia="Calibri" w:hAnsi="Calibri"/>
          <w:b/>
          <w:bCs/>
          <w:color w:val="333A45"/>
          <w:sz w:val="21"/>
          <w:szCs w:val="21"/>
        </w:rPr>
        <w:t xml:space="preserve">Policy owner</w:t>
      </w:r>
      <w:r>
        <w:rPr>
          <w:rFonts w:ascii="Calibri" w:cs="Calibri" w:eastAsia="Calibri" w:hAnsi="Calibri"/>
          <w:color w:val="333A45"/>
          <w:sz w:val="21"/>
          <w:szCs w:val="21"/>
        </w:rPr>
        <w:t xml:space="preserve"> - the approved tools list, security review, exceptions, and this policy.</w:t>
      </w:r>
    </w:p>
    <w:p>
      <w:pPr>
        <w:spacing w:after="110"/>
      </w:pPr>
      <w:r>
        <w:rPr>
          <w:rFonts w:ascii="Calibri" w:cs="Calibri" w:eastAsia="Calibri" w:hAnsi="Calibri"/>
          <w:b/>
          <w:bCs/>
          <w:color w:val="333A45"/>
          <w:sz w:val="21"/>
          <w:szCs w:val="21"/>
        </w:rPr>
        <w:t xml:space="preserve">AI Governance Committee</w:t>
      </w:r>
      <w:r>
        <w:rPr>
          <w:rFonts w:ascii="Calibri" w:cs="Calibri" w:eastAsia="Calibri" w:hAnsi="Calibri"/>
          <w:color w:val="333A45"/>
          <w:sz w:val="21"/>
          <w:szCs w:val="21"/>
        </w:rPr>
        <w:t xml:space="preserve"> - Level 4 approvals, the risk program, exceptions, metrics, and regulatory change.</w:t>
      </w:r>
    </w:p>
    <w:p>
      <w:pPr>
        <w:keepNext/>
        <w:pBdr>
          <w:bottom w:val="single" w:color="9DB9E8" w:sz="4" w:space="3"/>
        </w:pBdr>
        <w:spacing w:after="100" w:before="260"/>
      </w:pPr>
      <w:r>
        <w:rPr>
          <w:rFonts w:ascii="Calibri" w:cs="Calibri" w:eastAsia="Calibri" w:hAnsi="Calibri"/>
          <w:b/>
          <w:bCs/>
          <w:color w:val="2E5AAC"/>
          <w:sz w:val="26"/>
          <w:szCs w:val="26"/>
        </w:rPr>
        <w:t xml:space="preserve">22. What this policy does not state, and why</w:t>
      </w:r>
    </w:p>
    <w:p>
      <w:pPr>
        <w:spacing w:after="110"/>
      </w:pPr>
      <w:r>
        <w:rPr>
          <w:rFonts w:ascii="Calibri" w:cs="Calibri" w:eastAsia="Calibri" w:hAnsi="Calibri"/>
          <w:color w:val="333A45"/>
          <w:sz w:val="21"/>
          <w:szCs w:val="21"/>
        </w:rPr>
        <w:t xml:space="preserve">22.1 It does not state the law of any state other than California and Colorado. The state AI and privacy statutes multiplying elsewhere - including in employment and biometrics - are not held, and nothing here reflects them.</w:t>
      </w:r>
    </w:p>
    <w:p>
      <w:pPr>
        <w:spacing w:after="110"/>
      </w:pPr>
      <w:r>
        <w:rPr>
          <w:rFonts w:ascii="Calibri" w:cs="Calibri" w:eastAsia="Calibri" w:hAnsi="Calibri"/>
          <w:color w:val="333A45"/>
          <w:sz w:val="21"/>
          <w:szCs w:val="21"/>
        </w:rPr>
        <w:t xml:space="preserve">22.2 It does not state breach-notification deadlines (Section 17.2).</w:t>
      </w:r>
    </w:p>
    <w:p>
      <w:pPr>
        <w:spacing w:after="110"/>
      </w:pPr>
      <w:r>
        <w:rPr>
          <w:rFonts w:ascii="Calibri" w:cs="Calibri" w:eastAsia="Calibri" w:hAnsi="Calibri"/>
          <w:color w:val="333A45"/>
          <w:sz w:val="21"/>
          <w:szCs w:val="21"/>
        </w:rPr>
        <w:t xml:space="preserve">22.3 It does not state the health, children's, credit, or financial-institution rules beyond the points cited in the research note - those regimes govern [ORGANISATION]'s sector directly and their own compliance programs apply.</w:t>
      </w:r>
    </w:p>
    <w:p>
      <w:pPr>
        <w:spacing w:after="110"/>
      </w:pPr>
      <w:r>
        <w:rPr>
          <w:rFonts w:ascii="Calibri" w:cs="Calibri" w:eastAsia="Calibri" w:hAnsi="Calibri"/>
          <w:color w:val="333A45"/>
          <w:sz w:val="21"/>
          <w:szCs w:val="21"/>
        </w:rPr>
        <w:t xml:space="preserve">22.4 It does not state any federal AI statute, because none is held and none is asserted. Executive branch AI policy shifts with administrations and is not law of general application; nothing here rests on it.</w:t>
      </w:r>
    </w:p>
    <w:p>
      <w:pPr>
        <w:spacing w:after="110"/>
      </w:pPr>
      <w:r>
        <w:rPr>
          <w:rFonts w:ascii="Calibri" w:cs="Calibri" w:eastAsia="Calibri" w:hAnsi="Calibri"/>
          <w:color w:val="333A45"/>
          <w:sz w:val="21"/>
          <w:szCs w:val="21"/>
        </w:rPr>
        <w:t xml:space="preserve">22.5 Every obligation stated here resolves to a provision in the research note, verified against the held texts, with the verification dates recorded.</w:t>
      </w:r>
    </w:p>
    <w:p>
      <w:pPr>
        <w:keepNext/>
        <w:pBdr>
          <w:bottom w:val="single" w:color="9DB9E8" w:sz="4" w:space="3"/>
        </w:pBdr>
        <w:spacing w:after="100" w:before="260"/>
      </w:pPr>
      <w:r>
        <w:rPr>
          <w:rFonts w:ascii="Calibri" w:cs="Calibri" w:eastAsia="Calibri" w:hAnsi="Calibri"/>
          <w:b/>
          <w:bCs/>
          <w:color w:val="2E5AAC"/>
          <w:sz w:val="26"/>
          <w:szCs w:val="26"/>
        </w:rPr>
        <w:t xml:space="preserve">23. Knowledge, skills and acknowledgement</w:t>
      </w:r>
    </w:p>
    <w:p>
      <w:pPr>
        <w:spacing w:after="110"/>
      </w:pPr>
      <w:r>
        <w:rPr>
          <w:rFonts w:ascii="Calibri" w:cs="Calibri" w:eastAsia="Calibri" w:hAnsi="Calibri"/>
          <w:color w:val="333A45"/>
          <w:sz w:val="21"/>
          <w:szCs w:val="21"/>
        </w:rPr>
        <w:t xml:space="preserve">23.1 Staff who use AI tools with personal information complete training covering this policy, the two determinations (Section 4), and the notice duties (Sections 8 and 10), before access is granted and at least [annually] thereafter.</w:t>
      </w:r>
    </w:p>
    <w:p>
      <w:pPr>
        <w:spacing w:after="110"/>
      </w:pPr>
      <w:r>
        <w:rPr>
          <w:rFonts w:ascii="Calibri" w:cs="Calibri" w:eastAsia="Calibri" w:hAnsi="Calibri"/>
          <w:color w:val="333A45"/>
          <w:sz w:val="21"/>
          <w:szCs w:val="21"/>
        </w:rPr>
        <w:t xml:space="preserve">23.2 Staff who make or inform Level 4 decisions complete additional training on the limits of AI output and the human determination at Section 11.</w:t>
      </w:r>
    </w:p>
    <w:p>
      <w:pPr>
        <w:spacing w:after="110"/>
      </w:pPr>
      <w:r>
        <w:rPr>
          <w:rFonts w:ascii="Calibri" w:cs="Calibri" w:eastAsia="Calibri" w:hAnsi="Calibri"/>
          <w:color w:val="333A45"/>
          <w:sz w:val="21"/>
          <w:szCs w:val="21"/>
        </w:rPr>
        <w:t xml:space="preserve">23.3 Staff acknowledge this policy on joining, on material revision, and at least annually.</w:t>
      </w:r>
    </w:p>
    <w:p>
      <w:pPr>
        <w:spacing w:after="110"/>
      </w:pPr>
      <w:r>
        <w:rPr>
          <w:rFonts w:ascii="Calibri" w:cs="Calibri" w:eastAsia="Calibri" w:hAnsi="Calibri"/>
          <w:color w:val="333A45"/>
          <w:sz w:val="21"/>
          <w:szCs w:val="21"/>
        </w:rPr>
        <w:t xml:space="preserve">23.4 Questions go to [CONTACT]. Asking before acting is always acceptable.</w:t>
      </w:r>
    </w:p>
    <w:p>
      <w:pPr>
        <w:spacing w:after="110"/>
      </w:pPr>
      <w:r>
        <w:rPr>
          <w:rFonts w:ascii="Calibri" w:cs="Calibri" w:eastAsia="Calibri" w:hAnsi="Calibri"/>
          <w:b/>
          <w:bCs/>
          <w:color w:val="333A45"/>
          <w:sz w:val="21"/>
          <w:szCs w:val="21"/>
        </w:rPr>
        <w:t xml:space="preserve">Version history:</w:t>
      </w:r>
      <w:r>
        <w:rPr>
          <w:rFonts w:ascii="Calibri" w:cs="Calibri" w:eastAsia="Calibri" w:hAnsi="Calibri"/>
          <w:color w:val="333A45"/>
          <w:sz w:val="21"/>
          <w:szCs w:val="21"/>
        </w:rPr>
        <w:t xml:space="preserve"> 1.0 - initial policy, published 3 September 2026; verified within its stated scope (federal sectoral baseline + California + Colorado) per the research note and source register.</w:t>
      </w:r>
    </w:p>
    <w:p>
      <w:pPr>
        <w:spacing w:after="110"/>
      </w:pPr>
      <w:r>
        <w:rPr>
          <w:rFonts w:ascii="Calibri" w:cs="Calibri" w:eastAsia="Calibri" w:hAnsi="Calibri"/>
          <w:i/>
          <w:iCs/>
          <w:color w:val="5A6472"/>
          <w:sz w:val="19"/>
          <w:szCs w:val="19"/>
        </w:rPr>
        <w:t xml:space="preserve">This document is an educational policy template and does not constitute legal advice. It reflects obligations under the United States instruments set out in the accompanying research note, applies only within the scope stated in Section 1.1, and must be reviewed by the privacy lead or qualified legal counsel before adoption.</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AI Acceptable Use Policy - v1.0 - Internal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Acceptable Use Policy (United States)</dc:title>
  <dc:creator>Narendra Karki</dc:creator>
  <cp:lastModifiedBy>Narendra Karki</cp:lastModifiedBy>
  <cp:revision>1</cp:revision>
  <dcterms:created xsi:type="dcterms:W3CDTF">2026-09-02T07:52:11.057Z</dcterms:created>
  <dcterms:modified xsi:type="dcterms:W3CDTF">2026-09-02T07:52:11.076Z</dcterms:modified>
</cp:coreProperties>
</file>

<file path=docProps/custom.xml><?xml version="1.0" encoding="utf-8"?>
<Properties xmlns="http://schemas.openxmlformats.org/officeDocument/2006/custom-properties" xmlns:vt="http://schemas.openxmlformats.org/officeDocument/2006/docPropsVTypes"/>
</file>