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AI Governance - Enterprise Annex - United States</w:t>
      </w:r>
    </w:p>
    <w:p>
      <w:pPr>
        <w:keepNext/>
        <w:spacing w:after="80" w:before="200"/>
      </w:pPr>
      <w:r>
        <w:rPr>
          <w:rFonts w:ascii="Calibri" w:cs="Calibri" w:eastAsia="Calibri" w:hAnsi="Calibri"/>
          <w:b/>
          <w:bCs/>
          <w:color w:val="1F3864"/>
          <w:sz w:val="22"/>
          <w:szCs w:val="22"/>
        </w:rPr>
        <w:t xml:space="preserve">Federal sectoral baseline + California + Colorado</w:t>
      </w:r>
    </w:p>
    <w:p>
      <w:pPr>
        <w:spacing w:after="110"/>
      </w:pPr>
      <w:r>
        <w:rPr>
          <w:rFonts w:ascii="Calibri" w:cs="Calibri" w:eastAsia="Calibri" w:hAnsi="Calibri"/>
          <w:b/>
          <w:bCs/>
          <w:color w:val="333A45"/>
          <w:sz w:val="21"/>
          <w:szCs w:val="21"/>
        </w:rPr>
        <w:t xml:space="preserve">Organisation:</w:t>
      </w:r>
      <w:r>
        <w:rPr>
          <w:rFonts w:ascii="Calibri" w:cs="Calibri" w:eastAsia="Calibri" w:hAnsi="Calibri"/>
          <w:color w:val="333A45"/>
          <w:sz w:val="21"/>
          <w:szCs w:val="21"/>
        </w:rPr>
        <w:t xml:space="preserve"> [ORGANISATION] </w:t>
      </w:r>
      <w:r>
        <w:rPr>
          <w:rFonts w:ascii="Calibri" w:cs="Calibri" w:eastAsia="Calibri" w:hAnsi="Calibri"/>
          <w:b/>
          <w:bCs/>
          <w:color w:val="333A45"/>
          <w:sz w:val="21"/>
          <w:szCs w:val="21"/>
        </w:rPr>
        <w:t xml:space="preserve">Effective date:</w:t>
      </w:r>
      <w:r>
        <w:rPr>
          <w:rFonts w:ascii="Calibri" w:cs="Calibri" w:eastAsia="Calibri" w:hAnsi="Calibri"/>
          <w:color w:val="333A45"/>
          <w:sz w:val="21"/>
          <w:szCs w:val="21"/>
        </w:rPr>
        <w:t xml:space="preserve"> [DATE]  </w:t>
      </w:r>
      <w:r>
        <w:rPr>
          <w:rFonts w:ascii="Calibri" w:cs="Calibri" w:eastAsia="Calibri" w:hAnsi="Calibri"/>
          <w:b/>
          <w:bCs/>
          <w:color w:val="333A45"/>
          <w:sz w:val="21"/>
          <w:szCs w:val="21"/>
        </w:rPr>
        <w:t xml:space="preserve">Version:</w:t>
      </w:r>
      <w:r>
        <w:rPr>
          <w:rFonts w:ascii="Calibri" w:cs="Calibri" w:eastAsia="Calibri" w:hAnsi="Calibri"/>
          <w:color w:val="333A45"/>
          <w:sz w:val="21"/>
          <w:szCs w:val="21"/>
        </w:rPr>
        <w:t xml:space="preserve"> 1.0 </w:t>
      </w:r>
      <w:r>
        <w:rPr>
          <w:rFonts w:ascii="Calibri" w:cs="Calibri" w:eastAsia="Calibri" w:hAnsi="Calibri"/>
          <w:b/>
          <w:bCs/>
          <w:color w:val="333A45"/>
          <w:sz w:val="21"/>
          <w:szCs w:val="21"/>
        </w:rPr>
        <w:t xml:space="preserve">Annex owner:</w:t>
      </w:r>
      <w:r>
        <w:rPr>
          <w:rFonts w:ascii="Calibri" w:cs="Calibri" w:eastAsia="Calibri" w:hAnsi="Calibri"/>
          <w:color w:val="333A45"/>
          <w:sz w:val="21"/>
          <w:szCs w:val="21"/>
        </w:rPr>
        <w:t xml:space="preserve"> [CISO / Head of AI Governance]  </w:t>
      </w:r>
      <w:r>
        <w:rPr>
          <w:rFonts w:ascii="Calibri" w:cs="Calibri" w:eastAsia="Calibri" w:hAnsi="Calibri"/>
          <w:b/>
          <w:bCs/>
          <w:color w:val="333A45"/>
          <w:sz w:val="21"/>
          <w:szCs w:val="21"/>
        </w:rPr>
        <w:t xml:space="preserve">Privacy lead:</w:t>
      </w:r>
      <w:r>
        <w:rPr>
          <w:rFonts w:ascii="Calibri" w:cs="Calibri" w:eastAsia="Calibri" w:hAnsi="Calibri"/>
          <w:color w:val="333A45"/>
          <w:sz w:val="21"/>
          <w:szCs w:val="21"/>
        </w:rPr>
        <w:t xml:space="preserve"> [Chief Privacy Officer] </w:t>
      </w:r>
      <w:r>
        <w:rPr>
          <w:rFonts w:ascii="Calibri" w:cs="Calibri" w:eastAsia="Calibri" w:hAnsi="Calibri"/>
          <w:b/>
          <w:bCs/>
          <w:color w:val="333A45"/>
          <w:sz w:val="21"/>
          <w:szCs w:val="21"/>
        </w:rPr>
        <w:t xml:space="preserve">Classification:</w:t>
      </w:r>
      <w:r>
        <w:rPr>
          <w:rFonts w:ascii="Calibri" w:cs="Calibri" w:eastAsia="Calibri" w:hAnsi="Calibri"/>
          <w:color w:val="333A45"/>
          <w:sz w:val="21"/>
          <w:szCs w:val="21"/>
        </w:rPr>
        <w:t xml:space="preserve"> Internal </w:t>
      </w:r>
      <w:r>
        <w:rPr>
          <w:rFonts w:ascii="Calibri" w:cs="Calibri" w:eastAsia="Calibri" w:hAnsi="Calibri"/>
          <w:b/>
          <w:bCs/>
          <w:color w:val="333A45"/>
          <w:sz w:val="21"/>
          <w:szCs w:val="21"/>
        </w:rPr>
        <w:t xml:space="preserve">Review:</w:t>
      </w:r>
      <w:r>
        <w:rPr>
          <w:rFonts w:ascii="Calibri" w:cs="Calibri" w:eastAsia="Calibri" w:hAnsi="Calibri"/>
          <w:color w:val="333A45"/>
          <w:sz w:val="21"/>
          <w:szCs w:val="21"/>
        </w:rPr>
        <w:t xml:space="preserve"> at least every six months, and on material change in tools or regulation</w:t>
      </w:r>
    </w:p>
    <w:p>
      <w:pPr>
        <w:spacing w:after="110"/>
      </w:pPr>
      <w:r>
        <w:rPr>
          <w:rFonts w:ascii="Calibri" w:cs="Calibri" w:eastAsia="Calibri" w:hAnsi="Calibri"/>
          <w:color w:val="333A45"/>
          <w:sz w:val="21"/>
          <w:szCs w:val="21"/>
        </w:rPr>
        <w:t xml:space="preserve">This annex extends the [ORGANISATION] Artificial Intelligence Acceptable Use Policy (United States) for large organisations. The policy governs how individuals use AI; this annex governs how the organisation manages AI as a portfolio - oversight, the two determinations, inventory, assessments, suppliers, monitoring, and assurance. Where this annex and the policy overlap, the stricter requirement applies.</w:t>
      </w:r>
    </w:p>
    <w:p>
      <w:pPr>
        <w:keepNext/>
        <w:pBdr>
          <w:bottom w:val="single" w:color="9DB9E8" w:sz="4" w:space="3"/>
        </w:pBdr>
        <w:spacing w:after="100" w:before="260"/>
      </w:pPr>
      <w:r>
        <w:rPr>
          <w:rFonts w:ascii="Calibri" w:cs="Calibri" w:eastAsia="Calibri" w:hAnsi="Calibri"/>
          <w:b/>
          <w:bCs/>
          <w:color w:val="2E5AAC"/>
          <w:sz w:val="26"/>
          <w:szCs w:val="26"/>
        </w:rPr>
        <w:t xml:space="preserve">A1. Governance structure and accountability</w:t>
      </w:r>
    </w:p>
    <w:p>
      <w:pPr>
        <w:spacing w:after="110"/>
      </w:pPr>
      <w:r>
        <w:rPr>
          <w:rFonts w:ascii="Calibri" w:cs="Calibri" w:eastAsia="Calibri" w:hAnsi="Calibri"/>
          <w:color w:val="333A45"/>
          <w:sz w:val="21"/>
          <w:szCs w:val="21"/>
        </w:rPr>
        <w:t xml:space="preserve">A1.1 [ORGANISATION] maintains an AI Governance Committee with a defined remit: approving this annex and the Acceptable Use Policy, approving Level 3 and Level 4 uses, approving exceptions, reviewing incidents and metrics, owning the assessment register at A4 and the framework-compliance position at A5, and monitoring regulatory change across the states [ORGANISATION] reaches. Membership includes [security, privacy, legal, risk, HR, and business representation]. It meets at least quarterly.</w:t>
      </w:r>
    </w:p>
    <w:p>
      <w:pPr>
        <w:spacing w:after="110"/>
      </w:pPr>
      <w:r>
        <w:rPr>
          <w:rFonts w:ascii="Calibri" w:cs="Calibri" w:eastAsia="Calibri" w:hAnsi="Calibri"/>
          <w:color w:val="333A45"/>
          <w:sz w:val="21"/>
          <w:szCs w:val="21"/>
        </w:rPr>
        <w:t xml:space="preserve">A1.2 A named senior executive is accountable for AI governance across the organisation and reports to the board at least [twice yearly], including the framework-compliance position - because in Colorado that position is the statutory safe harbour, not a slide.</w:t>
      </w:r>
    </w:p>
    <w:p>
      <w:pPr>
        <w:spacing w:after="110"/>
      </w:pPr>
      <w:r>
        <w:rPr>
          <w:rFonts w:ascii="Calibri" w:cs="Calibri" w:eastAsia="Calibri" w:hAnsi="Calibri"/>
          <w:color w:val="333A45"/>
          <w:sz w:val="21"/>
          <w:szCs w:val="21"/>
        </w:rPr>
        <w:t xml:space="preserve">A1.3 Responsibility follows three lines: business functions own the risks of the AI they use; privacy, risk and compliance set standards and challenge; internal audit provides independent assurance (A10).</w:t>
      </w:r>
    </w:p>
    <w:p>
      <w:pPr>
        <w:keepNext/>
        <w:pBdr>
          <w:bottom w:val="single" w:color="9DB9E8" w:sz="4" w:space="3"/>
        </w:pBdr>
        <w:spacing w:after="100" w:before="260"/>
      </w:pPr>
      <w:r>
        <w:rPr>
          <w:rFonts w:ascii="Calibri" w:cs="Calibri" w:eastAsia="Calibri" w:hAnsi="Calibri"/>
          <w:b/>
          <w:bCs/>
          <w:color w:val="2E5AAC"/>
          <w:sz w:val="26"/>
          <w:szCs w:val="26"/>
        </w:rPr>
        <w:t xml:space="preserve">A2. The two determinations</w:t>
      </w:r>
    </w:p>
    <w:p>
      <w:pPr>
        <w:spacing w:after="110"/>
      </w:pPr>
      <w:r>
        <w:rPr>
          <w:rFonts w:ascii="Calibri" w:cs="Calibri" w:eastAsia="Calibri" w:hAnsi="Calibri"/>
          <w:color w:val="333A45"/>
          <w:sz w:val="21"/>
          <w:szCs w:val="21"/>
        </w:rPr>
        <w:t xml:space="preserve">A2.1 Every AI tool that touches decisions about people carries both determinations (policy Section 4), recorded separately, each with a date, a named decision-maker, and the basis:</w:t>
      </w:r>
    </w:p>
    <w:p>
      <w:pPr>
        <w:pStyle w:val="ListParagraph"/>
        <w:numPr>
          <w:ilvl w:val="0"/>
          <w:numId w:val="2"/>
        </w:numPr>
        <w:spacing w:after="70"/>
      </w:pPr>
      <w:r>
        <w:rPr>
          <w:rFonts w:ascii="Calibri" w:cs="Calibri" w:eastAsia="Calibri" w:hAnsi="Calibri"/>
          <w:b/>
          <w:bCs/>
          <w:color w:val="333A45"/>
          <w:sz w:val="21"/>
          <w:szCs w:val="21"/>
        </w:rPr>
        <w:t xml:space="preserve">Colorado:</w:t>
      </w:r>
      <w:r>
        <w:rPr>
          <w:rFonts w:ascii="Calibri" w:cs="Calibri" w:eastAsia="Calibri" w:hAnsi="Calibri"/>
          <w:color w:val="333A45"/>
          <w:sz w:val="21"/>
          <w:szCs w:val="21"/>
        </w:rPr>
        <w:t xml:space="preserve"> high-risk AI system or not - the substantial-factor test against the eight consequential-decision areas, and the exclusions read honestly.</w:t>
      </w:r>
    </w:p>
    <w:p>
      <w:pPr>
        <w:pStyle w:val="ListParagraph"/>
        <w:numPr>
          <w:ilvl w:val="0"/>
          <w:numId w:val="2"/>
        </w:numPr>
        <w:spacing w:after="70"/>
      </w:pPr>
      <w:r>
        <w:rPr>
          <w:rFonts w:ascii="Calibri" w:cs="Calibri" w:eastAsia="Calibri" w:hAnsi="Calibri"/>
          <w:b/>
          <w:bCs/>
          <w:color w:val="333A45"/>
          <w:sz w:val="21"/>
          <w:szCs w:val="21"/>
        </w:rPr>
        <w:t xml:space="preserve">California:</w:t>
      </w:r>
      <w:r>
        <w:rPr>
          <w:rFonts w:ascii="Calibri" w:cs="Calibri" w:eastAsia="Calibri" w:hAnsi="Calibri"/>
          <w:color w:val="333A45"/>
          <w:sz w:val="21"/>
          <w:szCs w:val="21"/>
        </w:rPr>
        <w:t xml:space="preserve"> ADMT for a significant decision or not - the substantially-replaces-human-decisionmaking test against the five significant-decision areas.</w:t>
      </w:r>
    </w:p>
    <w:p>
      <w:pPr>
        <w:spacing w:after="110"/>
      </w:pPr>
      <w:r>
        <w:rPr>
          <w:rFonts w:ascii="Calibri" w:cs="Calibri" w:eastAsia="Calibri" w:hAnsi="Calibri"/>
          <w:color w:val="333A45"/>
          <w:sz w:val="21"/>
          <w:szCs w:val="21"/>
        </w:rPr>
        <w:t xml:space="preserve">A2.2 </w:t>
      </w:r>
      <w:r>
        <w:rPr>
          <w:rFonts w:ascii="Calibri" w:cs="Calibri" w:eastAsia="Calibri" w:hAnsi="Calibri"/>
          <w:b/>
          <w:bCs/>
          <w:color w:val="333A45"/>
          <w:sz w:val="21"/>
          <w:szCs w:val="21"/>
        </w:rPr>
        <w:t xml:space="preserve">The determinations compound differently.</w:t>
      </w:r>
      <w:r>
        <w:rPr>
          <w:rFonts w:ascii="Calibri" w:cs="Calibri" w:eastAsia="Calibri" w:hAnsi="Calibri"/>
          <w:color w:val="333A45"/>
          <w:sz w:val="21"/>
          <w:szCs w:val="21"/>
        </w:rPr>
        <w:t xml:space="preserve"> A tool inside both regimes carries the union of duties; inside one, that regime's duties; inside neither, this policy still governs it. The committee treats "outside both" as a conclusion requiring the same evidence as "inside".</w:t>
      </w:r>
    </w:p>
    <w:p>
      <w:pPr>
        <w:spacing w:after="110"/>
      </w:pPr>
      <w:r>
        <w:rPr>
          <w:rFonts w:ascii="Calibri" w:cs="Calibri" w:eastAsia="Calibri" w:hAnsi="Calibri"/>
          <w:color w:val="333A45"/>
          <w:sz w:val="21"/>
          <w:szCs w:val="21"/>
        </w:rPr>
        <w:t xml:space="preserve">A2.3 Both determinations reopen on: a vendor enabling agentic, retrieval, memory, or planning capability; a change of model or purpose; a material change in the data; or a weakening of the human review around the tool - the change most likely to go unflagged, because nothing in the software changes when a reviewer stops genuinely reviewing.</w:t>
      </w:r>
    </w:p>
    <w:p>
      <w:pPr>
        <w:spacing w:after="110"/>
      </w:pPr>
      <w:r>
        <w:rPr>
          <w:rFonts w:ascii="Calibri" w:cs="Calibri" w:eastAsia="Calibri" w:hAnsi="Calibri"/>
          <w:color w:val="333A45"/>
          <w:sz w:val="21"/>
          <w:szCs w:val="21"/>
        </w:rPr>
        <w:t xml:space="preserve">A2.4 </w:t>
      </w:r>
      <w:r>
        <w:rPr>
          <w:rFonts w:ascii="Calibri" w:cs="Calibri" w:eastAsia="Calibri" w:hAnsi="Calibri"/>
          <w:b/>
          <w:bCs/>
          <w:color w:val="333A45"/>
          <w:sz w:val="21"/>
          <w:szCs w:val="21"/>
        </w:rPr>
        <w:t xml:space="preserve">The chatbot exclusion is a standing condition, not a one-time gate.</w:t>
      </w:r>
      <w:r>
        <w:rPr>
          <w:rFonts w:ascii="Calibri" w:cs="Calibri" w:eastAsia="Calibri" w:hAnsi="Calibri"/>
          <w:color w:val="333A45"/>
          <w:sz w:val="21"/>
          <w:szCs w:val="21"/>
        </w:rPr>
        <w:t xml:space="preserve"> Any natural-language system relied on as excluded from the Colorado regime is listed, and the enforcement of this policy's content rules against it is evidenced at each review - the exclusion holds only while the accepted use policy is real.</w:t>
      </w:r>
    </w:p>
    <w:p>
      <w:pPr>
        <w:keepNext/>
        <w:pBdr>
          <w:bottom w:val="single" w:color="9DB9E8" w:sz="4" w:space="3"/>
        </w:pBdr>
        <w:spacing w:after="100" w:before="260"/>
      </w:pPr>
      <w:r>
        <w:rPr>
          <w:rFonts w:ascii="Calibri" w:cs="Calibri" w:eastAsia="Calibri" w:hAnsi="Calibri"/>
          <w:b/>
          <w:bCs/>
          <w:color w:val="2E5AAC"/>
          <w:sz w:val="26"/>
          <w:szCs w:val="26"/>
        </w:rPr>
        <w:t xml:space="preserve">A3. AI system inventory</w:t>
      </w:r>
    </w:p>
    <w:p>
      <w:pPr>
        <w:spacing w:after="110"/>
      </w:pPr>
      <w:r>
        <w:rPr>
          <w:rFonts w:ascii="Calibri" w:cs="Calibri" w:eastAsia="Calibri" w:hAnsi="Calibri"/>
          <w:color w:val="333A45"/>
          <w:sz w:val="21"/>
          <w:szCs w:val="21"/>
        </w:rPr>
        <w:t xml:space="preserve">A3.1 Every AI system used or deployed - bought, built, or embedded - is recorded before use. The record states: business owner; purpose; </w:t>
      </w:r>
      <w:r>
        <w:rPr>
          <w:rFonts w:ascii="Calibri" w:cs="Calibri" w:eastAsia="Calibri" w:hAnsi="Calibri"/>
          <w:b/>
          <w:bCs/>
          <w:color w:val="333A45"/>
          <w:sz w:val="21"/>
          <w:szCs w:val="21"/>
        </w:rPr>
        <w:t xml:space="preserve">both A2 determinations with dates and decision-makers</w:t>
      </w:r>
      <w:r>
        <w:rPr>
          <w:rFonts w:ascii="Calibri" w:cs="Calibri" w:eastAsia="Calibri" w:hAnsi="Calibri"/>
          <w:color w:val="333A45"/>
          <w:sz w:val="21"/>
          <w:szCs w:val="21"/>
        </w:rPr>
        <w:t xml:space="preserve">; the role held for Colorado purposes (developer, deployer, or both); risk level; categories of personal information; the assessment reference where one is required; supplier, sub-processors, and underlying model; processing and storage locations; the retention position across prompts, logs, embeddings, and caches; the point of human determination; the notice position ( pre-use, adverse-decision, interaction disclosure); and the next review date.</w:t>
      </w:r>
    </w:p>
    <w:p>
      <w:pPr>
        <w:spacing w:after="110"/>
      </w:pPr>
      <w:r>
        <w:rPr>
          <w:rFonts w:ascii="Calibri" w:cs="Calibri" w:eastAsia="Calibri" w:hAnsi="Calibri"/>
          <w:color w:val="333A45"/>
          <w:sz w:val="21"/>
          <w:szCs w:val="21"/>
        </w:rPr>
        <w:t xml:space="preserve">A3.2 A tool not in the inventory is unapproved under policy Section 5.</w:t>
      </w:r>
    </w:p>
    <w:p>
      <w:pPr>
        <w:spacing w:after="110"/>
      </w:pPr>
      <w:r>
        <w:rPr>
          <w:rFonts w:ascii="Calibri" w:cs="Calibri" w:eastAsia="Calibri" w:hAnsi="Calibri"/>
          <w:color w:val="333A45"/>
          <w:sz w:val="21"/>
          <w:szCs w:val="21"/>
        </w:rPr>
        <w:t xml:space="preserve">A3.3 The inventory is reviewed [quarterly]; any A2.3 event reopens the record immediately.</w:t>
      </w:r>
    </w:p>
    <w:p>
      <w:pPr>
        <w:keepNext/>
        <w:pBdr>
          <w:bottom w:val="single" w:color="9DB9E8" w:sz="4" w:space="3"/>
        </w:pBdr>
        <w:spacing w:after="100" w:before="260"/>
      </w:pPr>
      <w:r>
        <w:rPr>
          <w:rFonts w:ascii="Calibri" w:cs="Calibri" w:eastAsia="Calibri" w:hAnsi="Calibri"/>
          <w:b/>
          <w:bCs/>
          <w:color w:val="2E5AAC"/>
          <w:sz w:val="26"/>
          <w:szCs w:val="26"/>
        </w:rPr>
        <w:t xml:space="preserve">A4. Assessment register</w:t>
      </w:r>
    </w:p>
    <w:p>
      <w:pPr>
        <w:spacing w:after="110"/>
      </w:pPr>
      <w:r>
        <w:rPr>
          <w:rFonts w:ascii="Calibri" w:cs="Calibri" w:eastAsia="Calibri" w:hAnsi="Calibri"/>
          <w:color w:val="333A45"/>
          <w:sz w:val="21"/>
          <w:szCs w:val="21"/>
        </w:rPr>
        <w:t xml:space="preserve">A4.1 [ORGANISATION] maintains an Assessment Register recording, for every processing that requires an assessment (policy 9.1): the system; the trigger; the date; who conducted and approved it; risks identified; measures identified </w:t>
      </w:r>
      <w:r>
        <w:rPr>
          <w:rFonts w:ascii="Calibri" w:cs="Calibri" w:eastAsia="Calibri" w:hAnsi="Calibri"/>
          <w:b/>
          <w:bCs/>
          <w:color w:val="333A45"/>
          <w:sz w:val="21"/>
          <w:szCs w:val="21"/>
        </w:rPr>
        <w:t xml:space="preserve">and the date each was implemented</w:t>
      </w:r>
      <w:r>
        <w:rPr>
          <w:rFonts w:ascii="Calibri" w:cs="Calibri" w:eastAsia="Calibri" w:hAnsi="Calibri"/>
          <w:color w:val="333A45"/>
          <w:sz w:val="21"/>
          <w:szCs w:val="21"/>
        </w:rPr>
        <w:t xml:space="preserve">; the review dates against the annual, ninety-day, and three-year cadences; and the submission status to the California regulator.</w:t>
      </w:r>
    </w:p>
    <w:p>
      <w:pPr>
        <w:spacing w:after="110"/>
      </w:pPr>
      <w:r>
        <w:rPr>
          <w:rFonts w:ascii="Calibri" w:cs="Calibri" w:eastAsia="Calibri" w:hAnsi="Calibri"/>
          <w:color w:val="333A45"/>
          <w:sz w:val="21"/>
          <w:szCs w:val="21"/>
        </w:rPr>
        <w:t xml:space="preserve">A4.2 One assessment may serve both regimes where reasonably similar in scope and effect; the register records which regime's content list governed and why it is the stricter.</w:t>
      </w:r>
    </w:p>
    <w:p>
      <w:pPr>
        <w:spacing w:after="110"/>
      </w:pPr>
      <w:r>
        <w:rPr>
          <w:rFonts w:ascii="Calibri" w:cs="Calibri" w:eastAsia="Calibri" w:hAnsi="Calibri"/>
          <w:color w:val="333A45"/>
          <w:sz w:val="21"/>
          <w:szCs w:val="21"/>
        </w:rPr>
        <w:t xml:space="preserve">A4.3 An assessment must precede the processing. A record created after processing began is remediation, labelled as such, and reported to the committee.</w:t>
      </w:r>
    </w:p>
    <w:p>
      <w:pPr>
        <w:spacing w:after="110"/>
      </w:pPr>
      <w:r>
        <w:rPr>
          <w:rFonts w:ascii="Calibri" w:cs="Calibri" w:eastAsia="Calibri" w:hAnsi="Calibri"/>
          <w:color w:val="333A45"/>
          <w:sz w:val="21"/>
          <w:szCs w:val="21"/>
        </w:rPr>
        <w:t xml:space="preserve">A4.4 A measure identified but not implemented is an open finding, not a completed assessment.</w:t>
      </w:r>
    </w:p>
    <w:p>
      <w:pPr>
        <w:spacing w:after="110"/>
      </w:pPr>
      <w:r>
        <w:rPr>
          <w:rFonts w:ascii="Calibri" w:cs="Calibri" w:eastAsia="Calibri" w:hAnsi="Calibri"/>
          <w:color w:val="333A45"/>
          <w:sz w:val="21"/>
          <w:szCs w:val="21"/>
        </w:rPr>
        <w:t xml:space="preserve">A4.5 </w:t>
      </w:r>
      <w:r>
        <w:rPr>
          <w:rFonts w:ascii="Calibri" w:cs="Calibri" w:eastAsia="Calibri" w:hAnsi="Calibri"/>
          <w:b/>
          <w:bCs/>
          <w:color w:val="333A45"/>
          <w:sz w:val="21"/>
          <w:szCs w:val="21"/>
        </w:rPr>
        <w:t xml:space="preserve">Assessments are written to be read by a regulator.</w:t>
      </w:r>
      <w:r>
        <w:rPr>
          <w:rFonts w:ascii="Calibri" w:cs="Calibri" w:eastAsia="Calibri" w:hAnsi="Calibri"/>
          <w:color w:val="333A45"/>
          <w:sz w:val="21"/>
          <w:szCs w:val="21"/>
        </w:rPr>
        <w:t xml:space="preserve"> California submissions run on the prescribed schedule; Colorado's attorney general may demand the risk program, assessments, and records on ninety days' notice. Trade-secret designation and privilege positions are recorded at drafting time, not asserted for the first time under a deadline.</w:t>
      </w:r>
    </w:p>
    <w:p>
      <w:pPr>
        <w:keepNext/>
        <w:pBdr>
          <w:bottom w:val="single" w:color="9DB9E8" w:sz="4" w:space="3"/>
        </w:pBdr>
        <w:spacing w:after="100" w:before="260"/>
      </w:pPr>
      <w:r>
        <w:rPr>
          <w:rFonts w:ascii="Calibri" w:cs="Calibri" w:eastAsia="Calibri" w:hAnsi="Calibri"/>
          <w:b/>
          <w:bCs/>
          <w:color w:val="2E5AAC"/>
          <w:sz w:val="26"/>
          <w:szCs w:val="26"/>
        </w:rPr>
        <w:t xml:space="preserve">A5. The framework-compliance position</w:t>
      </w:r>
    </w:p>
    <w:p>
      <w:pPr>
        <w:spacing w:after="110"/>
      </w:pPr>
      <w:r>
        <w:rPr>
          <w:rFonts w:ascii="Calibri" w:cs="Calibri" w:eastAsia="Calibri" w:hAnsi="Calibri"/>
          <w:b/>
          <w:bCs/>
          <w:color w:val="333A45"/>
          <w:sz w:val="21"/>
          <w:szCs w:val="21"/>
        </w:rPr>
        <w:t xml:space="preserve">This section exists because Colorado's statute gives framework compliance legal effect: a rebuttable presumption of reasonable care, and - with discovery and cure - an affirmative defense.</w:t>
      </w:r>
    </w:p>
    <w:p>
      <w:pPr>
        <w:spacing w:after="110"/>
      </w:pPr>
      <w:r>
        <w:rPr>
          <w:rFonts w:ascii="Calibri" w:cs="Calibri" w:eastAsia="Calibri" w:hAnsi="Calibri"/>
          <w:color w:val="333A45"/>
          <w:sz w:val="21"/>
          <w:szCs w:val="21"/>
        </w:rPr>
        <w:t xml:space="preserve">A5.1 [ORGANISATION] maintains a documented mapping of its AI risk management program to the NIST AI Risk Management Framework's four functions - govern, map, measure, manage - and records the framework version relied on.</w:t>
      </w:r>
    </w:p>
    <w:p>
      <w:pPr>
        <w:spacing w:after="110"/>
      </w:pPr>
      <w:r>
        <w:rPr>
          <w:rFonts w:ascii="Calibri" w:cs="Calibri" w:eastAsia="Calibri" w:hAnsi="Calibri"/>
          <w:color w:val="333A45"/>
          <w:sz w:val="21"/>
          <w:szCs w:val="21"/>
        </w:rPr>
        <w:t xml:space="preserve">A5.2 The program is reasonable considering [ORGANISATION]'s size and complexity, the nature, scope, and intended uses of the systems deployed, and the sensitivity and volume of data processed - the statute's own reasonableness factors, recorded per review.</w:t>
      </w:r>
    </w:p>
    <w:p>
      <w:pPr>
        <w:spacing w:after="110"/>
      </w:pPr>
      <w:r>
        <w:rPr>
          <w:rFonts w:ascii="Calibri" w:cs="Calibri" w:eastAsia="Calibri" w:hAnsi="Calibri"/>
          <w:color w:val="333A45"/>
          <w:sz w:val="21"/>
          <w:szCs w:val="21"/>
        </w:rPr>
        <w:t xml:space="preserve">A5.3 The discovery-and-cure machinery is deliberate: feedback channels users are encouraged to use; adversarial testing or red-teaming in the NIST sense; and the internal review at A8. A violation discovered and cured through these channels, while the program complies, is the affirmative defense operating as designed - the committee records each such event.</w:t>
      </w:r>
    </w:p>
    <w:p>
      <w:pPr>
        <w:spacing w:after="110"/>
      </w:pPr>
      <w:r>
        <w:rPr>
          <w:rFonts w:ascii="Calibri" w:cs="Calibri" w:eastAsia="Calibri" w:hAnsi="Calibri"/>
          <w:color w:val="333A45"/>
          <w:sz w:val="21"/>
          <w:szCs w:val="21"/>
        </w:rPr>
        <w:t xml:space="preserve">A5.4 One program may cover multiple high-risk systems; the mapping states which.</w:t>
      </w:r>
    </w:p>
    <w:p>
      <w:pPr>
        <w:keepNext/>
        <w:pBdr>
          <w:bottom w:val="single" w:color="9DB9E8" w:sz="4" w:space="3"/>
        </w:pBdr>
        <w:spacing w:after="100" w:before="260"/>
      </w:pPr>
      <w:r>
        <w:rPr>
          <w:rFonts w:ascii="Calibri" w:cs="Calibri" w:eastAsia="Calibri" w:hAnsi="Calibri"/>
          <w:b/>
          <w:bCs/>
          <w:color w:val="2E5AAC"/>
          <w:sz w:val="26"/>
          <w:szCs w:val="26"/>
        </w:rPr>
        <w:t xml:space="preserve">A6. Notices in operation</w:t>
      </w:r>
    </w:p>
    <w:p>
      <w:pPr>
        <w:spacing w:after="110"/>
      </w:pPr>
      <w:r>
        <w:rPr>
          <w:rFonts w:ascii="Calibri" w:cs="Calibri" w:eastAsia="Calibri" w:hAnsi="Calibri"/>
          <w:color w:val="333A45"/>
          <w:sz w:val="21"/>
          <w:szCs w:val="21"/>
        </w:rPr>
        <w:t xml:space="preserve">A6.1 The committee owns evidence that each required notice actually operates: the Colorado pre-decision notice and adverse-decision statement with correction and appeal; the California pre-use notice with opt-out and access methods; the AI interaction disclosure with any obviousness determinations; and the public website statement, with its update history.</w:t>
      </w:r>
    </w:p>
    <w:p>
      <w:pPr>
        <w:spacing w:after="110"/>
      </w:pPr>
      <w:r>
        <w:rPr>
          <w:rFonts w:ascii="Calibri" w:cs="Calibri" w:eastAsia="Calibri" w:hAnsi="Calibri"/>
          <w:color w:val="333A45"/>
          <w:sz w:val="21"/>
          <w:szCs w:val="21"/>
        </w:rPr>
        <w:t xml:space="preserve">A6.2 The adverse-decision statement machinery is tested before a Level 4 system goes live: can [ORGANISATION] state, for a real decision, the principal reasons, the degree and manner of the system's contribution, and the data types and sources? A system for which that statement cannot be produced is not approved.</w:t>
      </w:r>
    </w:p>
    <w:p>
      <w:pPr>
        <w:spacing w:after="110"/>
      </w:pPr>
      <w:r>
        <w:rPr>
          <w:rFonts w:ascii="Calibri" w:cs="Calibri" w:eastAsia="Calibri" w:hAnsi="Calibri"/>
          <w:color w:val="333A45"/>
          <w:sz w:val="21"/>
          <w:szCs w:val="21"/>
        </w:rPr>
        <w:t xml:space="preserve">A6.3 Appeals receive human review where technically feasible, by a person not involved in the original decision, recorded.</w:t>
      </w:r>
    </w:p>
    <w:p>
      <w:pPr>
        <w:keepNext/>
        <w:pBdr>
          <w:bottom w:val="single" w:color="9DB9E8" w:sz="4" w:space="3"/>
        </w:pBdr>
        <w:spacing w:after="100" w:before="260"/>
      </w:pPr>
      <w:r>
        <w:rPr>
          <w:rFonts w:ascii="Calibri" w:cs="Calibri" w:eastAsia="Calibri" w:hAnsi="Calibri"/>
          <w:b/>
          <w:bCs/>
          <w:color w:val="2E5AAC"/>
          <w:sz w:val="26"/>
          <w:szCs w:val="26"/>
        </w:rPr>
        <w:t xml:space="preserve">A7. Suppliers</w:t>
      </w:r>
    </w:p>
    <w:p>
      <w:pPr>
        <w:spacing w:after="110"/>
      </w:pPr>
      <w:r>
        <w:rPr>
          <w:rFonts w:ascii="Calibri" w:cs="Calibri" w:eastAsia="Calibri" w:hAnsi="Calibri"/>
          <w:color w:val="333A45"/>
          <w:sz w:val="21"/>
          <w:szCs w:val="21"/>
        </w:rPr>
        <w:t xml:space="preserve">A7.1 No AI service is procured or renewed without a written contract meeting the California service-provider requirements and the AI-specific terms at policy 13.2.</w:t>
      </w:r>
    </w:p>
    <w:p>
      <w:pPr>
        <w:spacing w:after="110"/>
      </w:pPr>
      <w:r>
        <w:rPr>
          <w:rFonts w:ascii="Calibri" w:cs="Calibri" w:eastAsia="Calibri" w:hAnsi="Calibri"/>
          <w:color w:val="333A45"/>
          <w:sz w:val="21"/>
          <w:szCs w:val="21"/>
        </w:rPr>
        <w:t xml:space="preserve">A7.2 For any bought-in high-risk system, the Colorado developer documentation - model cards, dataset summaries, known limitations, discrimination testing, intended and inappropriate uses - is obtained before deployment and retained; a developer that will not provide it is not approved.</w:t>
      </w:r>
    </w:p>
    <w:p>
      <w:pPr>
        <w:spacing w:after="110"/>
      </w:pPr>
      <w:r>
        <w:rPr>
          <w:rFonts w:ascii="Calibri" w:cs="Calibri" w:eastAsia="Calibri" w:hAnsi="Calibri"/>
          <w:color w:val="333A45"/>
          <w:sz w:val="21"/>
          <w:szCs w:val="21"/>
        </w:rPr>
        <w:t xml:space="preserve">A7.3 Where [ORGANISATION] is itself a developer to others, the annex owner maintains the engagement list, the documentation package, the public developer statement, and the ninety-day notification duty to the attorney general and known deployers on discovering algorithmic discrimination.</w:t>
      </w:r>
    </w:p>
    <w:p>
      <w:pPr>
        <w:spacing w:after="110"/>
      </w:pPr>
      <w:r>
        <w:rPr>
          <w:rFonts w:ascii="Calibri" w:cs="Calibri" w:eastAsia="Calibri" w:hAnsi="Calibri"/>
          <w:color w:val="333A45"/>
          <w:sz w:val="21"/>
          <w:szCs w:val="21"/>
        </w:rPr>
        <w:t xml:space="preserve">A7.4 Critical AI suppliers are reassessed at least annually, with an exit plan and a concentration risk review.</w:t>
      </w:r>
    </w:p>
    <w:p>
      <w:pPr>
        <w:keepNext/>
        <w:pBdr>
          <w:bottom w:val="single" w:color="9DB9E8" w:sz="4" w:space="3"/>
        </w:pBdr>
        <w:spacing w:after="100" w:before="260"/>
      </w:pPr>
      <w:r>
        <w:rPr>
          <w:rFonts w:ascii="Calibri" w:cs="Calibri" w:eastAsia="Calibri" w:hAnsi="Calibri"/>
          <w:b/>
          <w:bCs/>
          <w:color w:val="2E5AAC"/>
          <w:sz w:val="26"/>
          <w:szCs w:val="26"/>
        </w:rPr>
        <w:t xml:space="preserve">A8. Monitoring, discrimination, and the ninety-day clock</w:t>
      </w:r>
    </w:p>
    <w:p>
      <w:pPr>
        <w:spacing w:after="110"/>
      </w:pPr>
      <w:r>
        <w:rPr>
          <w:rFonts w:ascii="Calibri" w:cs="Calibri" w:eastAsia="Calibri" w:hAnsi="Calibri"/>
          <w:color w:val="333A45"/>
          <w:sz w:val="21"/>
          <w:szCs w:val="21"/>
        </w:rPr>
        <w:t xml:space="preserve">A8.1 Deployed high-risk systems are reviewed at least annually for algorithmic discrimination; Level 4 systems are tested for disparate outcomes before deployment and at least annually, with results recorded.</w:t>
      </w:r>
    </w:p>
    <w:p>
      <w:pPr>
        <w:spacing w:after="110"/>
      </w:pPr>
      <w:r>
        <w:rPr>
          <w:rFonts w:ascii="Calibri" w:cs="Calibri" w:eastAsia="Calibri" w:hAnsi="Calibri"/>
          <w:color w:val="333A45"/>
          <w:sz w:val="21"/>
          <w:szCs w:val="21"/>
        </w:rPr>
        <w:t xml:space="preserve">A8.2 Suspected algorithmic discrimination is escalated same-day to the privacy lead. </w:t>
      </w:r>
      <w:r>
        <w:rPr>
          <w:rFonts w:ascii="Calibri" w:cs="Calibri" w:eastAsia="Calibri" w:hAnsi="Calibri"/>
          <w:b/>
          <w:bCs/>
          <w:color w:val="333A45"/>
          <w:sz w:val="21"/>
          <w:szCs w:val="21"/>
        </w:rPr>
        <w:t xml:space="preserve">Discovery starts the ninety-day statutory notice clock to the Colorado attorney general</w:t>
      </w:r>
      <w:r>
        <w:rPr>
          <w:rFonts w:ascii="Calibri" w:cs="Calibri" w:eastAsia="Calibri" w:hAnsi="Calibri"/>
          <w:color w:val="333A45"/>
          <w:sz w:val="21"/>
          <w:szCs w:val="21"/>
        </w:rPr>
        <w:t xml:space="preserve">; the committee treats the internal escalation path as part of the clock, not prelude to it.</w:t>
      </w:r>
    </w:p>
    <w:p>
      <w:pPr>
        <w:spacing w:after="110"/>
      </w:pPr>
      <w:r>
        <w:rPr>
          <w:rFonts w:ascii="Calibri" w:cs="Calibri" w:eastAsia="Calibri" w:hAnsi="Calibri"/>
          <w:color w:val="333A45"/>
          <w:sz w:val="21"/>
          <w:szCs w:val="21"/>
        </w:rPr>
        <w:t xml:space="preserve">A8.3 Bias findings and model modifications made in response are tracked as a pair. A rising count of findings with a flat count of modifications is the signal that testing has become performative.</w:t>
      </w:r>
    </w:p>
    <w:p>
      <w:pPr>
        <w:spacing w:after="110"/>
      </w:pPr>
      <w:r>
        <w:rPr>
          <w:rFonts w:ascii="Calibri" w:cs="Calibri" w:eastAsia="Calibri" w:hAnsi="Calibri"/>
          <w:color w:val="333A45"/>
          <w:sz w:val="21"/>
          <w:szCs w:val="21"/>
        </w:rPr>
        <w:t xml:space="preserve">A8.4 Where discrimination is found and cannot be cured, the system is withdrawn, and the withdrawal is evidence under A5.3.</w:t>
      </w:r>
    </w:p>
    <w:p>
      <w:pPr>
        <w:keepNext/>
        <w:pBdr>
          <w:bottom w:val="single" w:color="9DB9E8" w:sz="4" w:space="3"/>
        </w:pBdr>
        <w:spacing w:after="100" w:before="260"/>
      </w:pPr>
      <w:r>
        <w:rPr>
          <w:rFonts w:ascii="Calibri" w:cs="Calibri" w:eastAsia="Calibri" w:hAnsi="Calibri"/>
          <w:b/>
          <w:bCs/>
          <w:color w:val="2E5AAC"/>
          <w:sz w:val="26"/>
          <w:szCs w:val="26"/>
        </w:rPr>
        <w:t xml:space="preserve">A9. Incidents</w:t>
      </w:r>
    </w:p>
    <w:p>
      <w:pPr>
        <w:spacing w:after="110"/>
      </w:pPr>
      <w:r>
        <w:rPr>
          <w:rFonts w:ascii="Calibri" w:cs="Calibri" w:eastAsia="Calibri" w:hAnsi="Calibri"/>
          <w:color w:val="333A45"/>
          <w:sz w:val="21"/>
          <w:szCs w:val="21"/>
        </w:rPr>
        <w:t xml:space="preserve">A9.1 The incident process records awareness as a timestamp by a named person. Because this set does not hold the state breach statutes, the process names, for each incident, which notification obligations were assessed and by whom - the privacy lead's current statement of obligations is the reference, and its absence from this corpus is stated in the README, not discovered mid-incident.</w:t>
      </w:r>
    </w:p>
    <w:p>
      <w:pPr>
        <w:spacing w:after="110"/>
      </w:pPr>
      <w:r>
        <w:rPr>
          <w:rFonts w:ascii="Calibri" w:cs="Calibri" w:eastAsia="Calibri" w:hAnsi="Calibri"/>
          <w:color w:val="333A45"/>
          <w:sz w:val="21"/>
          <w:szCs w:val="21"/>
        </w:rPr>
        <w:t xml:space="preserve">A9.2 Processing outside a recorded determination - a tool used on consequential decisions it was not assessed for - is an incident, whether or not personal information left the organisation.</w:t>
      </w:r>
    </w:p>
    <w:p>
      <w:pPr>
        <w:spacing w:after="110"/>
      </w:pPr>
      <w:r>
        <w:rPr>
          <w:rFonts w:ascii="Calibri" w:cs="Calibri" w:eastAsia="Calibri" w:hAnsi="Calibri"/>
          <w:color w:val="333A45"/>
          <w:sz w:val="21"/>
          <w:szCs w:val="21"/>
        </w:rPr>
        <w:t xml:space="preserve">A9.3 Supplier contracts require notification without undue delay; after every incident the committee reviews whether any supplier term constrained [ORGANISATION]'s response.</w:t>
      </w:r>
    </w:p>
    <w:p>
      <w:pPr>
        <w:keepNext/>
        <w:pBdr>
          <w:bottom w:val="single" w:color="9DB9E8" w:sz="4" w:space="3"/>
        </w:pBdr>
        <w:spacing w:after="100" w:before="260"/>
      </w:pPr>
      <w:r>
        <w:rPr>
          <w:rFonts w:ascii="Calibri" w:cs="Calibri" w:eastAsia="Calibri" w:hAnsi="Calibri"/>
          <w:b/>
          <w:bCs/>
          <w:color w:val="2E5AAC"/>
          <w:sz w:val="26"/>
          <w:szCs w:val="26"/>
        </w:rPr>
        <w:t xml:space="preserve">A10. Assurance</w:t>
      </w:r>
    </w:p>
    <w:p>
      <w:pPr>
        <w:spacing w:after="110"/>
      </w:pPr>
      <w:r>
        <w:rPr>
          <w:rFonts w:ascii="Calibri" w:cs="Calibri" w:eastAsia="Calibri" w:hAnsi="Calibri"/>
          <w:color w:val="333A45"/>
          <w:sz w:val="21"/>
          <w:szCs w:val="21"/>
        </w:rPr>
        <w:t xml:space="preserve">A10.1 Internal audit reviews the AI governance programme at least [annually], including: a sample test that the A2 determinations match what systems actually do; a sample test that assessments preceded the processing they cover; verification that the framework mapping at A5.1 is current; and a walkthrough of the adverse-decision statement machinery against a simulated decision.</w:t>
      </w:r>
    </w:p>
    <w:p>
      <w:pPr>
        <w:spacing w:after="110"/>
      </w:pPr>
      <w:r>
        <w:rPr>
          <w:rFonts w:ascii="Calibri" w:cs="Calibri" w:eastAsia="Calibri" w:hAnsi="Calibri"/>
          <w:color w:val="333A45"/>
          <w:sz w:val="21"/>
          <w:szCs w:val="21"/>
        </w:rPr>
        <w:t xml:space="preserve">A10.2 Audit tests the determinations hardest - a wrong answer on either test silently removes a whole regime of obligation, and nothing downstream will detect it.</w:t>
      </w:r>
    </w:p>
    <w:p>
      <w:pPr>
        <w:spacing w:after="110"/>
      </w:pPr>
      <w:r>
        <w:rPr>
          <w:rFonts w:ascii="Calibri" w:cs="Calibri" w:eastAsia="Calibri" w:hAnsi="Calibri"/>
          <w:color w:val="333A45"/>
          <w:sz w:val="21"/>
          <w:szCs w:val="21"/>
        </w:rPr>
        <w:t xml:space="preserve">A10.3 The committee conducts a management review at least [annually]: policy and annex, inventory, assessment register, framework position, notices in operation, metrics, incidents, supplier performance, and regulatory change - including new state laws entering the scope [ORGANISATION] actually reaches.</w:t>
      </w:r>
    </w:p>
    <w:p>
      <w:pPr>
        <w:keepNext/>
        <w:pBdr>
          <w:bottom w:val="single" w:color="9DB9E8" w:sz="4" w:space="3"/>
        </w:pBdr>
        <w:spacing w:after="100" w:before="260"/>
      </w:pPr>
      <w:r>
        <w:rPr>
          <w:rFonts w:ascii="Calibri" w:cs="Calibri" w:eastAsia="Calibri" w:hAnsi="Calibri"/>
          <w:b/>
          <w:bCs/>
          <w:color w:val="2E5AAC"/>
          <w:sz w:val="26"/>
          <w:szCs w:val="26"/>
        </w:rPr>
        <w:t xml:space="preserve">A11. Metrics</w:t>
      </w:r>
    </w:p>
    <w:p>
      <w:pPr>
        <w:spacing w:after="110"/>
      </w:pPr>
      <w:r>
        <w:rPr>
          <w:rFonts w:ascii="Calibri" w:cs="Calibri" w:eastAsia="Calibri" w:hAnsi="Calibri"/>
          <w:color w:val="333A45"/>
          <w:sz w:val="21"/>
          <w:szCs w:val="21"/>
        </w:rPr>
        <w:t xml:space="preserve">A11.1 The committee tracks agreed indicators, including:</w:t>
      </w:r>
    </w:p>
    <w:p>
      <w:pPr>
        <w:pStyle w:val="ListParagraph"/>
        <w:numPr>
          <w:ilvl w:val="0"/>
          <w:numId w:val="2"/>
        </w:numPr>
        <w:spacing w:after="70"/>
      </w:pPr>
      <w:r>
        <w:rPr>
          <w:rFonts w:ascii="Calibri" w:cs="Calibri" w:eastAsia="Calibri" w:hAnsi="Calibri"/>
          <w:color w:val="333A45"/>
          <w:sz w:val="21"/>
          <w:szCs w:val="21"/>
        </w:rPr>
        <w:t xml:space="preserve">approved-tool adoption, and unapproved-tool discoveries;</w:t>
      </w:r>
    </w:p>
    <w:p>
      <w:pPr>
        <w:pStyle w:val="ListParagraph"/>
        <w:numPr>
          <w:ilvl w:val="0"/>
          <w:numId w:val="2"/>
        </w:numPr>
        <w:spacing w:after="70"/>
      </w:pPr>
      <w:r>
        <w:rPr>
          <w:rFonts w:ascii="Calibri" w:cs="Calibri" w:eastAsia="Calibri" w:hAnsi="Calibri"/>
          <w:b/>
          <w:bCs/>
          <w:color w:val="333A45"/>
          <w:sz w:val="21"/>
          <w:szCs w:val="21"/>
        </w:rPr>
        <w:t xml:space="preserve">tools touching decisions about people with no recorded determinations,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Level 4 systems with no assessment, or with measures identified but not implemented,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assessments completed after processing began;</w:t>
      </w:r>
    </w:p>
    <w:p>
      <w:pPr>
        <w:pStyle w:val="ListParagraph"/>
        <w:numPr>
          <w:ilvl w:val="0"/>
          <w:numId w:val="2"/>
        </w:numPr>
        <w:spacing w:after="70"/>
      </w:pPr>
      <w:r>
        <w:rPr>
          <w:rFonts w:ascii="Calibri" w:cs="Calibri" w:eastAsia="Calibri" w:hAnsi="Calibri"/>
          <w:color w:val="333A45"/>
          <w:sz w:val="21"/>
          <w:szCs w:val="21"/>
        </w:rPr>
        <w:t xml:space="preserve">adverse-decision statements that could not be produced on request;</w:t>
      </w:r>
    </w:p>
    <w:p>
      <w:pPr>
        <w:pStyle w:val="ListParagraph"/>
        <w:numPr>
          <w:ilvl w:val="0"/>
          <w:numId w:val="2"/>
        </w:numPr>
        <w:spacing w:after="70"/>
      </w:pPr>
      <w:r>
        <w:rPr>
          <w:rFonts w:ascii="Calibri" w:cs="Calibri" w:eastAsia="Calibri" w:hAnsi="Calibri"/>
          <w:color w:val="333A45"/>
          <w:sz w:val="21"/>
          <w:szCs w:val="21"/>
        </w:rPr>
        <w:t xml:space="preserve">bias findings and model modifications, reported as a pair;</w:t>
      </w:r>
    </w:p>
    <w:p>
      <w:pPr>
        <w:pStyle w:val="ListParagraph"/>
        <w:numPr>
          <w:ilvl w:val="0"/>
          <w:numId w:val="2"/>
        </w:numPr>
        <w:spacing w:after="70"/>
      </w:pPr>
      <w:r>
        <w:rPr>
          <w:rFonts w:ascii="Calibri" w:cs="Calibri" w:eastAsia="Calibri" w:hAnsi="Calibri"/>
          <w:color w:val="333A45"/>
          <w:sz w:val="21"/>
          <w:szCs w:val="21"/>
        </w:rPr>
        <w:t xml:space="preserve">days from suspicion of discrimination to escalation, against the ninety-day statutory clock;</w:t>
      </w:r>
    </w:p>
    <w:p>
      <w:pPr>
        <w:pStyle w:val="ListParagraph"/>
        <w:numPr>
          <w:ilvl w:val="0"/>
          <w:numId w:val="2"/>
        </w:numPr>
        <w:spacing w:after="70"/>
      </w:pPr>
      <w:r>
        <w:rPr>
          <w:rFonts w:ascii="Calibri" w:cs="Calibri" w:eastAsia="Calibri" w:hAnsi="Calibri"/>
          <w:color w:val="333A45"/>
          <w:sz w:val="21"/>
          <w:szCs w:val="21"/>
        </w:rPr>
        <w:t xml:space="preserve">California submissions made on schedule;</w:t>
      </w:r>
    </w:p>
    <w:p>
      <w:pPr>
        <w:pStyle w:val="ListParagraph"/>
        <w:numPr>
          <w:ilvl w:val="0"/>
          <w:numId w:val="2"/>
        </w:numPr>
        <w:spacing w:after="70"/>
      </w:pPr>
      <w:r>
        <w:rPr>
          <w:rFonts w:ascii="Calibri" w:cs="Calibri" w:eastAsia="Calibri" w:hAnsi="Calibri"/>
          <w:color w:val="333A45"/>
          <w:sz w:val="21"/>
          <w:szCs w:val="21"/>
        </w:rPr>
        <w:t xml:space="preserve">exception count and age;</w:t>
      </w:r>
    </w:p>
    <w:p>
      <w:pPr>
        <w:pStyle w:val="ListParagraph"/>
        <w:numPr>
          <w:ilvl w:val="0"/>
          <w:numId w:val="2"/>
        </w:numPr>
        <w:spacing w:after="70"/>
      </w:pPr>
      <w:r>
        <w:rPr>
          <w:rFonts w:ascii="Calibri" w:cs="Calibri" w:eastAsia="Calibri" w:hAnsi="Calibri"/>
          <w:color w:val="333A45"/>
          <w:sz w:val="21"/>
          <w:szCs w:val="21"/>
        </w:rPr>
        <w:t xml:space="preserve">training completion, reported separately for the two-determinations module.</w:t>
      </w:r>
    </w:p>
    <w:p>
      <w:pPr>
        <w:keepNext/>
        <w:pBdr>
          <w:bottom w:val="single" w:color="9DB9E8" w:sz="4" w:space="3"/>
        </w:pBdr>
        <w:spacing w:after="100" w:before="260"/>
      </w:pPr>
      <w:r>
        <w:rPr>
          <w:rFonts w:ascii="Calibri" w:cs="Calibri" w:eastAsia="Calibri" w:hAnsi="Calibri"/>
          <w:b/>
          <w:bCs/>
          <w:color w:val="2E5AAC"/>
          <w:sz w:val="26"/>
          <w:szCs w:val="26"/>
        </w:rPr>
        <w:t xml:space="preserve">A12. Exceptions</w:t>
      </w:r>
    </w:p>
    <w:p>
      <w:pPr>
        <w:spacing w:after="110"/>
      </w:pPr>
      <w:r>
        <w:rPr>
          <w:rFonts w:ascii="Calibri" w:cs="Calibri" w:eastAsia="Calibri" w:hAnsi="Calibri"/>
          <w:color w:val="333A45"/>
          <w:sz w:val="21"/>
          <w:szCs w:val="21"/>
        </w:rPr>
        <w:t xml:space="preserve">A12.1 Departures from the policy or this annex require a written exception approved by the annex owner, with the risk accepted in writing by a named senior owner, time-bound (maximum [6 months]), with compensating controls and expiry dates, reviewed at every committee meeting.</w:t>
      </w:r>
    </w:p>
    <w:p>
      <w:pPr>
        <w:spacing w:after="110"/>
      </w:pPr>
      <w:r>
        <w:rPr>
          <w:rFonts w:ascii="Calibri" w:cs="Calibri" w:eastAsia="Calibri" w:hAnsi="Calibri"/>
          <w:color w:val="333A45"/>
          <w:sz w:val="21"/>
          <w:szCs w:val="21"/>
        </w:rPr>
        <w:t xml:space="preserve">A12.2 </w:t>
      </w:r>
      <w:r>
        <w:rPr>
          <w:rFonts w:ascii="Calibri" w:cs="Calibri" w:eastAsia="Calibri" w:hAnsi="Calibri"/>
          <w:b/>
          <w:bCs/>
          <w:color w:val="333A45"/>
          <w:sz w:val="21"/>
          <w:szCs w:val="21"/>
        </w:rPr>
        <w:t xml:space="preserve">No exception may be granted against:</w:t>
      </w:r>
      <w:r>
        <w:rPr>
          <w:rFonts w:ascii="Calibri" w:cs="Calibri" w:eastAsia="Calibri" w:hAnsi="Calibri"/>
          <w:color w:val="333A45"/>
          <w:sz w:val="21"/>
          <w:szCs w:val="21"/>
        </w:rPr>
        <w:t xml:space="preserve"> deploying a Colorado high-risk system without the risk program, assessment, and notices; weakening the accepted-use-policy condition on which a chatbot exclusion rests; or a Level 4 decision without human determination.</w:t>
      </w:r>
    </w:p>
    <w:p>
      <w:pPr>
        <w:keepNext/>
        <w:pBdr>
          <w:bottom w:val="single" w:color="9DB9E8" w:sz="4" w:space="3"/>
        </w:pBdr>
        <w:spacing w:after="100" w:before="260"/>
      </w:pPr>
      <w:r>
        <w:rPr>
          <w:rFonts w:ascii="Calibri" w:cs="Calibri" w:eastAsia="Calibri" w:hAnsi="Calibri"/>
          <w:b/>
          <w:bCs/>
          <w:color w:val="2E5AAC"/>
          <w:sz w:val="26"/>
          <w:szCs w:val="26"/>
        </w:rPr>
        <w:t xml:space="preserve">A13. What this annex does not assert</w:t>
      </w:r>
    </w:p>
    <w:p>
      <w:pPr>
        <w:spacing w:after="110"/>
      </w:pPr>
      <w:r>
        <w:rPr>
          <w:rFonts w:ascii="Calibri" w:cs="Calibri" w:eastAsia="Calibri" w:hAnsi="Calibri"/>
          <w:color w:val="333A45"/>
          <w:sz w:val="21"/>
          <w:szCs w:val="21"/>
        </w:rPr>
        <w:t xml:space="preserve">A13.1 It asserts nothing about states other than California and Colorado, about the state breach statutes, or about any federal AI statute - none is held.</w:t>
      </w:r>
    </w:p>
    <w:p>
      <w:pPr>
        <w:spacing w:after="110"/>
      </w:pPr>
      <w:r>
        <w:rPr>
          <w:rFonts w:ascii="Calibri" w:cs="Calibri" w:eastAsia="Calibri" w:hAnsi="Calibri"/>
          <w:color w:val="333A45"/>
          <w:sz w:val="21"/>
          <w:szCs w:val="21"/>
        </w:rPr>
        <w:t xml:space="preserve">A13.2 The sectoral regimes (health, credit, children's data, financial institutions) are engaged at the points the policy cites and are otherwise governed by [ORGANISATION]'s sector compliance programs, not this annex.</w:t>
      </w:r>
    </w:p>
    <w:p>
      <w:pPr>
        <w:spacing w:after="110"/>
      </w:pPr>
      <w:r>
        <w:rPr>
          <w:rFonts w:ascii="Calibri" w:cs="Calibri" w:eastAsia="Calibri" w:hAnsi="Calibri"/>
          <w:color w:val="333A45"/>
          <w:sz w:val="21"/>
          <w:szCs w:val="21"/>
        </w:rPr>
        <w:t xml:space="preserve">A13.3 Where the attorney general adopts rules under the Colorado Act, or the California regulator issues further regulations, the committee records the version relied on and reopens the affected sections.</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annex, published 3 September 2026; verified within its stated scope (federal sectoral baseline + California + Colorado) per the research note and source register.</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the United States instruments set out in the accompanying research note, applies only within the scope stated, and must be reviewed by the privacy lead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Governance Enterprise Annex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Enterprise Annex (United States)</dc:title>
  <dc:creator>Narendra Karki</dc:creator>
  <cp:lastModifiedBy>Narendra Karki</cp:lastModifiedBy>
  <cp:revision>1</cp:revision>
  <dcterms:created xsi:type="dcterms:W3CDTF">2026-09-02T07:52:11.252Z</dcterms:created>
  <dcterms:modified xsi:type="dcterms:W3CDTF">2026-09-02T07:52:11.252Z</dcterms:modified>
</cp:coreProperties>
</file>

<file path=docProps/custom.xml><?xml version="1.0" encoding="utf-8"?>
<Properties xmlns="http://schemas.openxmlformats.org/officeDocument/2006/custom-properties" xmlns:vt="http://schemas.openxmlformats.org/officeDocument/2006/docPropsVTypes"/>
</file>