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United States AI policy set</w:t>
      </w:r>
    </w:p>
    <w:p>
      <w:pPr>
        <w:spacing w:after="110"/>
      </w:pPr>
      <w:r>
        <w:rPr>
          <w:rFonts w:ascii="Calibri" w:cs="Calibri" w:eastAsia="Calibri" w:hAnsi="Calibri"/>
          <w:color w:val="333A45"/>
          <w:sz w:val="21"/>
          <w:szCs w:val="21"/>
        </w:rPr>
        <w:t xml:space="preserve">Working note supporting the [ORGANISATION] Artificial Intelligence Acceptable Use Policy (United States) v1.0 and the AI Governance Enterprise Annex v1.0.</w:t>
      </w:r>
    </w:p>
    <w:p>
      <w:pPr>
        <w:shd w:fill="EDF2FA" w:val="clear"/>
        <w:spacing w:after="20"/>
        <w:ind w:left="60" w:right="60"/>
      </w:pPr>
      <w:r>
        <w:rPr>
          <w:rFonts w:ascii="Calibri" w:cs="Calibri" w:eastAsia="Calibri" w:hAnsi="Calibri"/>
          <w:b/>
          <w:bCs/>
          <w:color w:val="5A6472"/>
          <w:sz w:val="19"/>
          <w:szCs w:val="19"/>
        </w:rPr>
        <w:t xml:space="preserve">Provision identifiers live here, not in the policy or the annex.</w:t>
      </w:r>
      <w:r>
        <w:rPr>
          <w:rFonts w:ascii="Calibri" w:cs="Calibri" w:eastAsia="Calibri" w:hAnsi="Calibri"/>
          <w:color w:val="5A6472"/>
          <w:sz w:val="19"/>
          <w:szCs w:val="19"/>
        </w:rPr>
        <w:t xml:space="preserve"> This is where a reader can check what each clause rests on, and where the limits of the set are stated.</w:t>
      </w:r>
    </w:p>
    <w:p>
      <w:pPr>
        <w:spacing w:after="110"/>
      </w:pPr>
      <w:r>
        <w:rPr>
          <w:rFonts w:ascii="Calibri" w:cs="Calibri" w:eastAsia="Calibri" w:hAnsi="Calibri"/>
          <w:color w:val="333A45"/>
          <w:sz w:val="21"/>
          <w:szCs w:val="21"/>
        </w:rPr>
        <w:t xml:space="preserve">State as at 3 September 2026.</w:t>
      </w:r>
    </w:p>
    <w:p>
      <w:pPr>
        <w:keepNext/>
        <w:pBdr>
          <w:bottom w:val="single" w:color="9DB9E8" w:sz="4" w:space="3"/>
        </w:pBdr>
        <w:spacing w:after="100" w:before="260"/>
      </w:pPr>
      <w:r>
        <w:rPr>
          <w:rFonts w:ascii="Calibri" w:cs="Calibri" w:eastAsia="Calibri" w:hAnsi="Calibri"/>
          <w:b/>
          <w:bCs/>
          <w:color w:val="2E5AAC"/>
          <w:sz w:val="26"/>
          <w:szCs w:val="26"/>
        </w:rPr>
        <w:t xml:space="preserve">1. The instruments this set rests on</w:t>
      </w:r>
    </w:p>
    <w:p>
      <w:pPr>
        <w:spacing w:after="110"/>
      </w:pPr>
      <w:r>
        <w:rPr>
          <w:rFonts w:ascii="Calibri" w:cs="Calibri" w:eastAsia="Calibri" w:hAnsi="Calibri"/>
          <w:color w:val="333A45"/>
          <w:sz w:val="21"/>
          <w:szCs w:val="21"/>
        </w:rPr>
        <w:t xml:space="preserve">All held in full and read directly; hashes and retrieval details in the source register.</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it grounds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Colorado SB 24-205</w:t>
            </w:r>
            <w:r>
              <w:rPr>
                <w:rFonts w:ascii="Calibri" w:cs="Calibri" w:eastAsia="Calibri" w:hAnsi="Calibri"/>
                <w:color w:val="333A45"/>
                <w:sz w:val="19"/>
                <w:szCs w:val="19"/>
              </w:rPr>
              <w:t xml:space="preserve"> (Consumer Protections for Artificial Intelligence, adding part 17 to article 1, title 6, CRS) - signed act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high-risk AI regime: definitions, developer and deployer duties, consumer notices, enforcement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Colorado SB 25B-004</w:t>
            </w:r>
            <w:r>
              <w:rPr>
                <w:rFonts w:ascii="Calibri" w:cs="Calibri" w:eastAsia="Calibri" w:hAnsi="Calibri"/>
                <w:color w:val="333A45"/>
                <w:sz w:val="19"/>
                <w:szCs w:val="19"/>
              </w:rPr>
              <w:t xml:space="preserve"> - signed act, approved 28 August 2025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amendment that moved every operative date; read with SB 24-205, never without it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CCPA as amended (Cal. Civ. Code Title 1.81.5, ss. 1798.100-1798.199.95)</w:t>
            </w:r>
            <w:r>
              <w:rPr>
                <w:rFonts w:ascii="Calibri" w:cs="Calibri" w:eastAsia="Calibri" w:hAnsi="Calibri"/>
                <w:color w:val="333A45"/>
                <w:sz w:val="19"/>
                <w:szCs w:val="19"/>
              </w:rPr>
              <w:t xml:space="preserve"> - leginfo print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California personal-information baseline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CPPA Regulations, approved text (Cal. Code Regs., tit. 11, div. 6)</w:t>
            </w:r>
            <w:r>
              <w:rPr>
                <w:rFonts w:ascii="Calibri" w:cs="Calibri" w:eastAsia="Calibri" w:hAnsi="Calibri"/>
                <w:color w:val="333A45"/>
                <w:sz w:val="19"/>
                <w:szCs w:val="19"/>
              </w:rPr>
              <w:t xml:space="preserve"> - Approved Regulations Text, final rulemaking of 22 September 2025</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ADMT, risk assessments, cybersecurity audits, service-provider contracts, consumer request machinery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FTC Act s.5 (15 U.S.C. 45)</w:t>
            </w:r>
            <w:r>
              <w:rPr>
                <w:rFonts w:ascii="Calibri" w:cs="Calibri" w:eastAsia="Calibri" w:hAnsi="Calibri"/>
                <w:color w:val="333A45"/>
                <w:sz w:val="19"/>
                <w:szCs w:val="19"/>
              </w:rPr>
              <w:t xml:space="preserve"> - US Code 2024 ed.</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unfair-or-deceptive baseline that reaches AI without an AI statute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FCRA (15 U.S.C. 1681 et seq., subchapter III)</w:t>
            </w:r>
            <w:r>
              <w:rPr>
                <w:rFonts w:ascii="Calibri" w:cs="Calibri" w:eastAsia="Calibri" w:hAnsi="Calibri"/>
                <w:color w:val="333A45"/>
                <w:sz w:val="19"/>
                <w:szCs w:val="19"/>
              </w:rPr>
              <w:t xml:space="preserve"> - US Code 2024 ed.</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Adverse action machinery where consumer-report data feeds AI decisions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COPPA Rule (16 CFR 312)</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GLBA Safeguards Rule (16 CFR 314)</w:t>
            </w:r>
            <w:r>
              <w:rPr>
                <w:rFonts w:ascii="Calibri" w:cs="Calibri" w:eastAsia="Calibri" w:hAnsi="Calibri"/>
                <w:color w:val="333A45"/>
                <w:sz w:val="19"/>
                <w:szCs w:val="19"/>
              </w:rPr>
              <w:t xml:space="preserve">, </w:t>
            </w:r>
            <w:r>
              <w:rPr>
                <w:rFonts w:ascii="Calibri" w:cs="Calibri" w:eastAsia="Calibri" w:hAnsi="Calibri"/>
                <w:b/>
                <w:bCs/>
                <w:color w:val="333A45"/>
                <w:sz w:val="19"/>
                <w:szCs w:val="19"/>
              </w:rPr>
              <w:t xml:space="preserve">HIPAA Privacy/Security (45 CFR 164)</w:t>
            </w:r>
            <w:r>
              <w:rPr>
                <w:rFonts w:ascii="Calibri" w:cs="Calibri" w:eastAsia="Calibri" w:hAnsi="Calibri"/>
                <w:color w:val="333A45"/>
                <w:sz w:val="19"/>
                <w:szCs w:val="19"/>
              </w:rPr>
              <w:t xml:space="preserve"> - eCFR, current to 31 Aug 2026</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sectoral baseline points the policy cites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NIST AI RMF 1.0 (AI 100-1)</w:t>
            </w:r>
            <w:r>
              <w:rPr>
                <w:rFonts w:ascii="Calibri" w:cs="Calibri" w:eastAsia="Calibri" w:hAnsi="Calibri"/>
                <w:color w:val="333A45"/>
                <w:sz w:val="19"/>
                <w:szCs w:val="19"/>
              </w:rPr>
              <w:t xml:space="preserve"> and </w:t>
            </w:r>
            <w:r>
              <w:rPr>
                <w:rFonts w:ascii="Calibri" w:cs="Calibri" w:eastAsia="Calibri" w:hAnsi="Calibri"/>
                <w:b/>
                <w:bCs/>
                <w:color w:val="333A45"/>
                <w:sz w:val="19"/>
                <w:szCs w:val="19"/>
              </w:rPr>
              <w:t xml:space="preserve">Generative AI Profile (AI 600-1)</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Guidance tier - but see finding 4.2: Colorado's statute gives the RMF legal effect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2. The structural finding - a patchwork, stated as one</w:t>
      </w:r>
    </w:p>
    <w:p>
      <w:pPr>
        <w:spacing w:after="110"/>
      </w:pPr>
      <w:r>
        <w:rPr>
          <w:rFonts w:ascii="Calibri" w:cs="Calibri" w:eastAsia="Calibri" w:hAnsi="Calibri"/>
          <w:color w:val="333A45"/>
          <w:sz w:val="21"/>
          <w:szCs w:val="21"/>
        </w:rPr>
        <w:t xml:space="preserve">There is no comprehensive federal AI or privacy statute in this corpus, because none exists to hold. The set is scoped to the federal sectoral baseline plus California and Colorado, and says so in policy 1.1 and 22.1. Two consequences:</w:t>
      </w:r>
    </w:p>
    <w:p>
      <w:pPr>
        <w:pStyle w:val="ListParagraph"/>
        <w:numPr>
          <w:ilvl w:val="0"/>
          <w:numId w:val="2"/>
        </w:numPr>
        <w:spacing w:after="70"/>
      </w:pPr>
      <w:r>
        <w:rPr>
          <w:rFonts w:ascii="Calibri" w:cs="Calibri" w:eastAsia="Calibri" w:hAnsi="Calibri"/>
          <w:b/>
          <w:bCs/>
          <w:color w:val="333A45"/>
          <w:sz w:val="21"/>
          <w:szCs w:val="21"/>
        </w:rPr>
        <w:t xml:space="preserve">Other states are named as not held</w:t>
      </w:r>
      <w:r>
        <w:rPr>
          <w:rFonts w:ascii="Calibri" w:cs="Calibri" w:eastAsia="Calibri" w:hAnsi="Calibri"/>
          <w:color w:val="333A45"/>
          <w:sz w:val="21"/>
          <w:szCs w:val="21"/>
        </w:rPr>
        <w:t xml:space="preserve">, not silently blended. State AI and employment-AI laws exist beyond this corpus and nothing here reflects them.</w:t>
      </w:r>
    </w:p>
    <w:p>
      <w:pPr>
        <w:pStyle w:val="ListParagraph"/>
        <w:numPr>
          <w:ilvl w:val="0"/>
          <w:numId w:val="2"/>
        </w:numPr>
        <w:spacing w:after="70"/>
      </w:pPr>
      <w:r>
        <w:rPr>
          <w:rFonts w:ascii="Calibri" w:cs="Calibri" w:eastAsia="Calibri" w:hAnsi="Calibri"/>
          <w:b/>
          <w:bCs/>
          <w:color w:val="333A45"/>
          <w:sz w:val="21"/>
          <w:szCs w:val="21"/>
        </w:rPr>
        <w:t xml:space="preserve">The federal baseline is sectoral.</w:t>
      </w:r>
      <w:r>
        <w:rPr>
          <w:rFonts w:ascii="Calibri" w:cs="Calibri" w:eastAsia="Calibri" w:hAnsi="Calibri"/>
          <w:color w:val="333A45"/>
          <w:sz w:val="21"/>
          <w:szCs w:val="21"/>
        </w:rPr>
        <w:t xml:space="preserve"> The FTC Act's unfairness and deception prohibition is the general backstop (policy 3.1, 18.5); everything else attaches by data and activity.</w:t>
      </w:r>
    </w:p>
    <w:p>
      <w:pPr>
        <w:keepNext/>
        <w:pBdr>
          <w:bottom w:val="single" w:color="9DB9E8" w:sz="4" w:space="3"/>
        </w:pBdr>
        <w:spacing w:after="100" w:before="260"/>
      </w:pPr>
      <w:r>
        <w:rPr>
          <w:rFonts w:ascii="Calibri" w:cs="Calibri" w:eastAsia="Calibri" w:hAnsi="Calibri"/>
          <w:b/>
          <w:bCs/>
          <w:color w:val="2E5AAC"/>
          <w:sz w:val="26"/>
          <w:szCs w:val="26"/>
        </w:rPr>
        <w:t xml:space="preserve">3. Clause-by-clause basis</w:t>
      </w:r>
    </w:p>
    <w:p>
      <w:pPr>
        <w:keepNext/>
        <w:spacing w:after="80" w:before="200"/>
      </w:pPr>
      <w:r>
        <w:rPr>
          <w:rFonts w:ascii="Calibri" w:cs="Calibri" w:eastAsia="Calibri" w:hAnsi="Calibri"/>
          <w:b/>
          <w:bCs/>
          <w:color w:val="1F3864"/>
          <w:sz w:val="22"/>
          <w:szCs w:val="22"/>
        </w:rPr>
        <w:t xml:space="preserve">3.1 Policy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Policy</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 4.1-4.2 - Colorado test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6-1-1701(9) (high-risk), (3) (consequential decision), (11) (substantial factor); exclusions 6-1-1701(9)(b)</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1.2, 4.3, 4.5 - California test</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s.7001 (ADMT; "substantially replace human decisionmaking"; human-involvement requirements), s.7001(ddd) (significant decision), s.7200(a)</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 9.5 - frameworks with legal effect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6-1-1703(2)(a)(I) (program reasonable considering NIST AI RMF / ISO 42001); 6-1-1702(1), 6-1-1703(1) (rebuttable presumption); 6-1-1706(3) (affirmative defense)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3.1 - federal baseline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 U.S.C. 45(a); FCRA 15 U.S.C. 1681m (adverse action); 16 CFR 312; 16 CFR 314; 45 CFR 164</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3.3 - "in force now"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SB 25B-004 ss.1-3: every "February 1, 2026" in CRS 6-1-1702, -1703, -1704 struck for "June 30, 2026"; approved 28 Aug 2025. See finding 4.1</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3.4 - carve-outs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6-1-1705 (compliance with other law; insurers; banks; HIPAA-covered activity); CCPA statutory exemptions in Title 1.81.5</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4.2 - the chatbot exclusion</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6-1-1701(9)(b)(II)(R): natural-language information/referral technology excluded only if "subject to an accepted use policy that prohibits generating content that is discriminatory or harmful". See finding 4.3</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6 - Level 4 boundary</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union of CRS 6-1-1701(3) areas and CPPA regs s.7001(ddd) areas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7.6 - workplace inference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s.7150(b)(4)</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8.1 - purpose restriction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s.7002 (reasonable expectations; compatibility)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8.2 - pre-use notice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s.7220(a)-(b), incl. notice before new ADMT processing of already-collected information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8.3 - sensitive PI trigger</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s.7150(b)(2)</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8.5 - training as trigger</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s.7150(b)(6) ("intends to use" defined broadly)</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9.1 - assessment triggers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s.7150(b)(1)-(6); CRS 6-1-1703(3)(a)</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9.2 - assessment content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6-1-1703(3)(b)-(c) (the stricter list); CPPA regs s.7152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9.3 - cadence and retention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6-1-1703(3)(a)(II) (annual; 90 days post-modification), (3)(f) (3-year retention); CPPA regs s.7155 (before initiating; 3-year review)</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9.1/9.2 note - one assessment for both</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6-1-1703(3)(e) (reasonably similar in scope and effect satisfies)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9.4 - regulator reads them</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s.7157 (submission; first deadline 1 April 2028 for 2026-27 assessments); CRS 6-1-1703(9) (AG 90-day demand; CORA exclusion; trade secret designation; privilege non-waiver per SB 25B-004)</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10.1 - pre-decision notice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6-1-1703(4)(a)</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10.2 - adverse decision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6-1-1703(4)(b): principal reasons incl. degree and manner of contribution, data type and sources; correction opportunity; appeal with human review where technically feasible. FCRA 15 U.S.C. 1681m in parallel where consumer reports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10.3 - opt-outs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6-1-1703(4)(a)(III) (profiling opt-out cross-reference); CPPA regs s.7221 (ADMT opt-out), s.7222 (ADMT access)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10.4 - public statements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6-1-1703(5) (deployer); 6-1-1702(4) (developer)</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10.5 - manner of notices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6-1-1703(4)(c) (direct, plain language, all business languages, accessible)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11 - human determination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 interacts with CPPA regs s.7001 human-involvement definition (a ratifying review is not involvement) and CRS appeal duty</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13.1 - contracts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ss.7050-7053</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13.3 - developer documentation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6-1-1702(2)-(3) (statements, documentation, model cards / dataset cards)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13.4 - developer role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6-1-1701(7); 6-1-1702(4) (public statement); developer 90-day notice per SB 25B-004 amendments to 6-1-1702</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14.1 - annual review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6-1-1703(3)(g)</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14.2 - ninety-day clock</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6-1-1703(7)</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14.4 - cure architecture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6-1-1706(3)(a) (feedback; adversarial testing or red teaming as defined or used by NIST; internal review)</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15 - interaction disclosure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6-1-1704(1), with the (2) obviousness exception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16.4 - security anchors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 CFR 314 (financial institutions); CPPA regs ss.7120-7123 (audit thresholds incl. 250,000 consumers / 50,000 sensitive)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17.2 - breach routed, not stated</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State breach statutes NOT HELD - see finding 4.6</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18.5 - capability claims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 U.S.C. 45(a) - deception requires no AI statute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20.1 - employment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6-1-1701(3)(b); CPPA regs s.7001(ddd) (employment/compensation), s.7150(b)(4)</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22.4 - no executive orders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Method: executive policy is not held and shifts; nothing rests on it</w:t>
            </w:r>
          </w:p>
        </w:tc>
      </w:tr>
    </w:tbl>
    <w:p>
      <w:pPr>
        <w:spacing w:after="120"/>
      </w:pPr>
    </w:p>
    <w:p>
      <w:pPr>
        <w:keepNext/>
        <w:spacing w:after="80" w:before="200"/>
      </w:pPr>
      <w:r>
        <w:rPr>
          <w:rFonts w:ascii="Calibri" w:cs="Calibri" w:eastAsia="Calibri" w:hAnsi="Calibri"/>
          <w:b/>
          <w:bCs/>
          <w:color w:val="1F3864"/>
          <w:sz w:val="22"/>
          <w:szCs w:val="22"/>
        </w:rPr>
        <w:t xml:space="preserve">3.2 Annex</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Annex</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Rests 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A2 - two determinations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As policy 4</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A2.4 - standing exclusion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6-1-1701(9)(b)(II)(R)</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A4.5 - written for regulators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CPPA regs s.7157; CRS 6-1-1703(9)</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A5 - framework position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6-1-1703(2)(a); 6-1-1706(3)-(4) (burden on the organisation)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A6.2 - statement machinery test</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6-1-1703(4)(b) operationalised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A7.2 - developer docs as gate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6-1-1702(2)-(3)</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A8.2 - ninety-day clock</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CRS 6-1-1703(7)</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A8.3 - bias pair</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A11 - metrics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House standards derived from the above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The findings worth recording</w:t>
      </w:r>
    </w:p>
    <w:p>
      <w:pPr>
        <w:keepNext/>
        <w:spacing w:after="80" w:before="200"/>
      </w:pPr>
      <w:r>
        <w:rPr>
          <w:rFonts w:ascii="Calibri" w:cs="Calibri" w:eastAsia="Calibri" w:hAnsi="Calibri"/>
          <w:b/>
          <w:bCs/>
          <w:color w:val="1F3864"/>
          <w:sz w:val="22"/>
          <w:szCs w:val="22"/>
        </w:rPr>
        <w:t xml:space="preserve">4.1 The commencement was moved, and the moved date has passed</w:t>
      </w:r>
    </w:p>
    <w:p>
      <w:pPr>
        <w:spacing w:after="110"/>
      </w:pPr>
      <w:r>
        <w:rPr>
          <w:rFonts w:ascii="Calibri" w:cs="Calibri" w:eastAsia="Calibri" w:hAnsi="Calibri"/>
          <w:color w:val="333A45"/>
          <w:sz w:val="21"/>
          <w:szCs w:val="21"/>
        </w:rPr>
        <w:t xml:space="preserve">SB 24-205 as enacted commenced its duties on 1 February 2026. </w:t>
      </w:r>
      <w:r>
        <w:rPr>
          <w:rFonts w:ascii="Calibri" w:cs="Calibri" w:eastAsia="Calibri" w:hAnsi="Calibri"/>
          <w:b/>
          <w:bCs/>
          <w:color w:val="333A45"/>
          <w:sz w:val="21"/>
          <w:szCs w:val="21"/>
        </w:rPr>
        <w:t xml:space="preserve">SB 25B-004 (special session, approved 28 August 2025) struck every operative "February 1, 2026" in sections 6-1-1702, 6-1-1703, and 6-1-1704 and inserted "June 30, 2026".</w:t>
      </w:r>
      <w:r>
        <w:rPr>
          <w:rFonts w:ascii="Calibri" w:cs="Calibri" w:eastAsia="Calibri" w:hAnsi="Calibri"/>
          <w:color w:val="333A45"/>
          <w:sz w:val="21"/>
          <w:szCs w:val="21"/>
        </w:rPr>
        <w:t xml:space="preserve"> Nothing else about the duties changed in those substitutions; the same act also added trade-secret designation and privilege non-waiver language to the attorney-general disclosure provisions.</w:t>
      </w:r>
    </w:p>
    <w:p>
      <w:pPr>
        <w:spacing w:after="110"/>
      </w:pPr>
      <w:r>
        <w:rPr>
          <w:rFonts w:ascii="Calibri" w:cs="Calibri" w:eastAsia="Calibri" w:hAnsi="Calibri"/>
          <w:color w:val="333A45"/>
          <w:sz w:val="21"/>
          <w:szCs w:val="21"/>
        </w:rPr>
        <w:t xml:space="preserve">Consequence: </w:t>
      </w:r>
      <w:r>
        <w:rPr>
          <w:rFonts w:ascii="Calibri" w:cs="Calibri" w:eastAsia="Calibri" w:hAnsi="Calibri"/>
          <w:b/>
          <w:bCs/>
          <w:color w:val="333A45"/>
          <w:sz w:val="21"/>
          <w:szCs w:val="21"/>
        </w:rPr>
        <w:t xml:space="preserve">as at this note's date, the Colorado AI Act's developer and deployer duties are in force.</w:t>
      </w:r>
      <w:r>
        <w:rPr>
          <w:rFonts w:ascii="Calibri" w:cs="Calibri" w:eastAsia="Calibri" w:hAnsi="Calibri"/>
          <w:color w:val="333A45"/>
          <w:sz w:val="21"/>
          <w:szCs w:val="21"/>
        </w:rPr>
        <w:t xml:space="preserve"> A reader holding only SB 24-205 would state the wrong commencement; a reader holding only secondary summaries might still believe the duties are pending. This set states them as live because the amending act says so and the date has passed.</w:t>
      </w:r>
    </w:p>
    <w:p>
      <w:pPr>
        <w:keepNext/>
        <w:spacing w:after="80" w:before="200"/>
      </w:pPr>
      <w:r>
        <w:rPr>
          <w:rFonts w:ascii="Calibri" w:cs="Calibri" w:eastAsia="Calibri" w:hAnsi="Calibri"/>
          <w:b/>
          <w:bCs/>
          <w:color w:val="1F3864"/>
          <w:sz w:val="22"/>
          <w:szCs w:val="22"/>
        </w:rPr>
        <w:t xml:space="preserve">4.2 A statute that names its safe-harbour frameworks</w:t>
      </w:r>
    </w:p>
    <w:p>
      <w:pPr>
        <w:spacing w:after="110"/>
      </w:pPr>
      <w:r>
        <w:rPr>
          <w:rFonts w:ascii="Calibri" w:cs="Calibri" w:eastAsia="Calibri" w:hAnsi="Calibri"/>
          <w:color w:val="333A45"/>
          <w:sz w:val="21"/>
          <w:szCs w:val="21"/>
        </w:rPr>
        <w:t xml:space="preserve">CRS 6-1-1703(2)(a)(I) requires the deployer's risk management program to be reasonable considering the NIST AI Risk Management Framework, ISO/IEC 42001, or an equivalent framework; 6-1-1702(1) and 6-1-1703(1) attach a rebuttable presumption of reasonable care to compliance; and 6-1-1706(3) makes framework compliance plus discovery-and-cure an affirmative defense - with the burden on the organisation (6-1-1706(4)). The NIST RMF held in this corpus is therefore not merely guidance for this jurisdiction: it is the named reference for the statutory reasonableness standard. Policy 1.3 and 9.5 and annex A5 are built on that, and the cure channels (feedback, red-teaming "as defined or used by NIST", internal review) are operationalised rather than recited.</w:t>
      </w:r>
    </w:p>
    <w:p>
      <w:pPr>
        <w:keepNext/>
        <w:spacing w:after="80" w:before="200"/>
      </w:pPr>
      <w:r>
        <w:rPr>
          <w:rFonts w:ascii="Calibri" w:cs="Calibri" w:eastAsia="Calibri" w:hAnsi="Calibri"/>
          <w:b/>
          <w:bCs/>
          <w:color w:val="1F3864"/>
          <w:sz w:val="22"/>
          <w:szCs w:val="22"/>
        </w:rPr>
        <w:t xml:space="preserve">4.3 An acceptable use policy is itself a statutory condition</w:t>
      </w:r>
    </w:p>
    <w:p>
      <w:pPr>
        <w:spacing w:after="110"/>
      </w:pPr>
      <w:r>
        <w:rPr>
          <w:rFonts w:ascii="Calibri" w:cs="Calibri" w:eastAsia="Calibri" w:hAnsi="Calibri"/>
          <w:color w:val="333A45"/>
          <w:sz w:val="21"/>
          <w:szCs w:val="21"/>
        </w:rPr>
        <w:t xml:space="preserve">The exclusion at CRS 6-1-1701(9)(b)(II)(R) takes ordinary informational chatbots out of the high-risk regime </w:t>
      </w:r>
      <w:r>
        <w:rPr>
          <w:rFonts w:ascii="Calibri" w:cs="Calibri" w:eastAsia="Calibri" w:hAnsi="Calibri"/>
          <w:b/>
          <w:bCs/>
          <w:color w:val="333A45"/>
          <w:sz w:val="21"/>
          <w:szCs w:val="21"/>
        </w:rPr>
        <w:t xml:space="preserve">only</w:t>
      </w:r>
      <w:r>
        <w:rPr>
          <w:rFonts w:ascii="Calibri" w:cs="Calibri" w:eastAsia="Calibri" w:hAnsi="Calibri"/>
          <w:color w:val="333A45"/>
          <w:sz w:val="21"/>
          <w:szCs w:val="21"/>
        </w:rPr>
        <w:t xml:space="preserve"> where the technology "is subject to an accepted use policy that prohibits generating content that is discriminatory or harmful". The policy a company writes is, in Colorado, part of what determines whether its systems are regulated as high-risk. Policy 4.2 states this, 7.7 forbids weakening the condition, and annex A2.4 makes its enforcement a standing evidenced item. No other jurisdiction in this series gives the acceptable use policy that role.</w:t>
      </w:r>
    </w:p>
    <w:p>
      <w:pPr>
        <w:keepNext/>
        <w:spacing w:after="80" w:before="200"/>
      </w:pPr>
      <w:r>
        <w:rPr>
          <w:rFonts w:ascii="Calibri" w:cs="Calibri" w:eastAsia="Calibri" w:hAnsi="Calibri"/>
          <w:b/>
          <w:bCs/>
          <w:color w:val="1F3864"/>
          <w:sz w:val="22"/>
          <w:szCs w:val="22"/>
        </w:rPr>
        <w:t xml:space="preserve">4.4 Two tests, deliberately different</w:t>
      </w:r>
    </w:p>
    <w:p>
      <w:pPr>
        <w:spacing w:after="110"/>
      </w:pPr>
      <w:r>
        <w:rPr>
          <w:rFonts w:ascii="Calibri" w:cs="Calibri" w:eastAsia="Calibri" w:hAnsi="Calibri"/>
          <w:color w:val="333A45"/>
          <w:sz w:val="21"/>
          <w:szCs w:val="21"/>
        </w:rPr>
        <w:t xml:space="preserve">Colorado's trigger is the </w:t>
      </w:r>
      <w:r>
        <w:rPr>
          <w:rFonts w:ascii="Calibri" w:cs="Calibri" w:eastAsia="Calibri" w:hAnsi="Calibri"/>
          <w:b/>
          <w:bCs/>
          <w:color w:val="333A45"/>
          <w:sz w:val="21"/>
          <w:szCs w:val="21"/>
        </w:rPr>
        <w:t xml:space="preserve">substantial factor</w:t>
      </w:r>
      <w:r>
        <w:rPr>
          <w:rFonts w:ascii="Calibri" w:cs="Calibri" w:eastAsia="Calibri" w:hAnsi="Calibri"/>
          <w:color w:val="333A45"/>
          <w:sz w:val="21"/>
          <w:szCs w:val="21"/>
        </w:rPr>
        <w:t xml:space="preserve"> - assists the decision, capable of altering the outcome (6-1-1701(11)). California's is </w:t>
      </w:r>
      <w:r>
        <w:rPr>
          <w:rFonts w:ascii="Calibri" w:cs="Calibri" w:eastAsia="Calibri" w:hAnsi="Calibri"/>
          <w:b/>
          <w:bCs/>
          <w:color w:val="333A45"/>
          <w:sz w:val="21"/>
          <w:szCs w:val="21"/>
        </w:rPr>
        <w:t xml:space="preserve">substantially replacing human decisionmaking</w:t>
      </w:r>
      <w:r>
        <w:rPr>
          <w:rFonts w:ascii="Calibri" w:cs="Calibri" w:eastAsia="Calibri" w:hAnsi="Calibri"/>
          <w:color w:val="333A45"/>
          <w:sz w:val="21"/>
          <w:szCs w:val="21"/>
        </w:rPr>
        <w:t xml:space="preserve"> - output used without meaningful human involvement (regs s.7001), with human involvement defined to require authority, information, and the ability to reach a different conclusion. Decision-support tools with genuine review are squarely inside Colorado and arguably outside California; fully automated decisions are inside both. The worked example in policy 4.4 (resume screening) is chosen because it sits in the divergence. The two determinations are therefore recorded separately (annex A2), and audit tests them hardest (A10.2).</w:t>
      </w:r>
    </w:p>
    <w:p>
      <w:pPr>
        <w:keepNext/>
        <w:spacing w:after="80" w:before="200"/>
      </w:pPr>
      <w:r>
        <w:rPr>
          <w:rFonts w:ascii="Calibri" w:cs="Calibri" w:eastAsia="Calibri" w:hAnsi="Calibri"/>
          <w:b/>
          <w:bCs/>
          <w:color w:val="1F3864"/>
          <w:sz w:val="22"/>
          <w:szCs w:val="22"/>
        </w:rPr>
        <w:t xml:space="preserve">4.5 The dates are staggered</w:t>
      </w:r>
    </w:p>
    <w:p>
      <w:pPr>
        <w:spacing w:after="110"/>
      </w:pPr>
      <w:r>
        <w:rPr>
          <w:rFonts w:ascii="Calibri" w:cs="Calibri" w:eastAsia="Calibri" w:hAnsi="Calibri"/>
          <w:color w:val="333A45"/>
          <w:sz w:val="21"/>
          <w:szCs w:val="21"/>
        </w:rPr>
        <w:t xml:space="preserve">Colorado's duties: in force since 30 June 2026 (finding 4.1). California's ADMT article: a business using ADMT for significant decisions before 1 January 2027 must comply </w:t>
      </w:r>
      <w:r>
        <w:rPr>
          <w:rFonts w:ascii="Calibri" w:cs="Calibri" w:eastAsia="Calibri" w:hAnsi="Calibri"/>
          <w:b/>
          <w:bCs/>
          <w:color w:val="333A45"/>
          <w:sz w:val="21"/>
          <w:szCs w:val="21"/>
        </w:rPr>
        <w:t xml:space="preserve">no later than 1 January 2027</w:t>
      </w:r>
      <w:r>
        <w:rPr>
          <w:rFonts w:ascii="Calibri" w:cs="Calibri" w:eastAsia="Calibri" w:hAnsi="Calibri"/>
          <w:color w:val="333A45"/>
          <w:sz w:val="21"/>
          <w:szCs w:val="21"/>
        </w:rPr>
        <w:t xml:space="preserve"> (regs s.7200(b)); risk assessments must precede new triggering processing now, with the first regulator submission due by 1 April 2028 for assessments conducted in 2026-2027 (s.7157). The set states live duties as live and dated duties with their dates; nothing is blended into a single fictional commencement.</w:t>
      </w:r>
    </w:p>
    <w:p>
      <w:pPr>
        <w:keepNext/>
        <w:spacing w:after="80" w:before="200"/>
      </w:pPr>
      <w:r>
        <w:rPr>
          <w:rFonts w:ascii="Calibri" w:cs="Calibri" w:eastAsia="Calibri" w:hAnsi="Calibri"/>
          <w:b/>
          <w:bCs/>
          <w:color w:val="1F3864"/>
          <w:sz w:val="22"/>
          <w:szCs w:val="22"/>
        </w:rPr>
        <w:t xml:space="preserve">4.6 Breach deadlines are deliberately not stated</w:t>
      </w:r>
    </w:p>
    <w:p>
      <w:pPr>
        <w:spacing w:after="110"/>
      </w:pPr>
      <w:r>
        <w:rPr>
          <w:rFonts w:ascii="Calibri" w:cs="Calibri" w:eastAsia="Calibri" w:hAnsi="Calibri"/>
          <w:color w:val="333A45"/>
          <w:sz w:val="21"/>
          <w:szCs w:val="21"/>
        </w:rPr>
        <w:t xml:space="preserve">The state breach-notification statutes (including California Civil Code 1798.82 and Colorado's C.R.S. 6-1-716) are </w:t>
      </w:r>
      <w:r>
        <w:rPr>
          <w:rFonts w:ascii="Calibri" w:cs="Calibri" w:eastAsia="Calibri" w:hAnsi="Calibri"/>
          <w:b/>
          <w:bCs/>
          <w:color w:val="333A45"/>
          <w:sz w:val="21"/>
          <w:szCs w:val="21"/>
        </w:rPr>
        <w:t xml:space="preserve">not held in this corpus</w:t>
      </w:r>
      <w:r>
        <w:rPr>
          <w:rFonts w:ascii="Calibri" w:cs="Calibri" w:eastAsia="Calibri" w:hAnsi="Calibri"/>
          <w:color w:val="333A45"/>
          <w:sz w:val="21"/>
          <w:szCs w:val="21"/>
        </w:rPr>
        <w:t xml:space="preserve">, and the CCPA text held here is the privacy statute, not the breach statute. Rather than import deadlines from memory or secondary sources - the exact failure this series exists to catch - policy 17.2 routes breach obligations to the privacy lead's maintained statement and names the gap. Obtaining the breach statutes is the recorded next verification for this set.</w:t>
      </w:r>
    </w:p>
    <w:p>
      <w:pPr>
        <w:keepNext/>
        <w:spacing w:after="80" w:before="200"/>
      </w:pPr>
      <w:r>
        <w:rPr>
          <w:rFonts w:ascii="Calibri" w:cs="Calibri" w:eastAsia="Calibri" w:hAnsi="Calibri"/>
          <w:b/>
          <w:bCs/>
          <w:color w:val="1F3864"/>
          <w:sz w:val="22"/>
          <w:szCs w:val="22"/>
        </w:rPr>
        <w:t xml:space="preserve">4.7 What the CCPA is, and is not, in this set</w:t>
      </w:r>
    </w:p>
    <w:p>
      <w:pPr>
        <w:spacing w:after="110"/>
      </w:pPr>
      <w:r>
        <w:rPr>
          <w:rFonts w:ascii="Calibri" w:cs="Calibri" w:eastAsia="Calibri" w:hAnsi="Calibri"/>
          <w:color w:val="333A45"/>
          <w:sz w:val="21"/>
          <w:szCs w:val="21"/>
        </w:rPr>
        <w:t xml:space="preserve">The CCPA supplies the personal-information baseline: notice at collection, purpose and reasonable-expectation restrictions, consumer rights, service-provider contracts, sensitive-information handling. It is not a lawful-basis regime on the GDPR pattern, and the policy does not pretend it is - obligations are stated as notice, restriction, and rights machinery, which is what the held text provides.</w:t>
      </w:r>
    </w:p>
    <w:p>
      <w:pPr>
        <w:keepNext/>
        <w:pBdr>
          <w:bottom w:val="single" w:color="9DB9E8" w:sz="4" w:space="3"/>
        </w:pBdr>
        <w:spacing w:after="100" w:before="260"/>
      </w:pPr>
      <w:r>
        <w:rPr>
          <w:rFonts w:ascii="Calibri" w:cs="Calibri" w:eastAsia="Calibri" w:hAnsi="Calibri"/>
          <w:b/>
          <w:bCs/>
          <w:color w:val="2E5AAC"/>
          <w:sz w:val="26"/>
          <w:szCs w:val="26"/>
        </w:rPr>
        <w:t xml:space="preserve">5. Not held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Any state's law beyond California and Colorado</w:t>
            </w:r>
            <w:r>
              <w:rPr>
                <w:rFonts w:ascii="Calibri" w:cs="Calibri" w:eastAsia="Calibri" w:hAnsi="Calibri"/>
                <w:color w:val="333A45"/>
                <w:sz w:val="19"/>
                <w:szCs w:val="19"/>
              </w:rPr>
              <w:t xml:space="preserve"> - including state AI-in-employment and biometric statutes</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Nothing asserted; policy 20.2 and 22.1 route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State breach notification statutes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breach deadline stated anywhere (finding 4.6)</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Colorado attorney general rules under 6-1-1707</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Permissive rulemaking; none held; the presumption position is stated on the statute alone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CPPA Notice of Approval / effective-date instrument for the regulations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regulations' own internal dates (ss.7200(b), 7157) are stated from the held text; the instrument-level effective date is not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ISO/IEC 42001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Named by the Colorado statute as an alternative framework; not held; the set builds on the held NIST RMF and asserts nothing about the ISO standard's content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Sectoral regimes beyond the cited points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HIPAA, GLBA, COPPA, FCRA are held and cited at the points used; their full compliance programs are the sector's own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Federal executive AI policy</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law of general application; not held; nothing rests on it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Case law and enforcement actions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6. What this set therefore does not say</w:t>
      </w:r>
    </w:p>
    <w:p>
      <w:pPr>
        <w:pStyle w:val="ListParagraph"/>
        <w:numPr>
          <w:ilvl w:val="0"/>
          <w:numId w:val="2"/>
        </w:numPr>
        <w:spacing w:after="70"/>
      </w:pPr>
      <w:r>
        <w:rPr>
          <w:rFonts w:ascii="Calibri" w:cs="Calibri" w:eastAsia="Calibri" w:hAnsi="Calibri"/>
          <w:color w:val="333A45"/>
          <w:sz w:val="21"/>
          <w:szCs w:val="21"/>
        </w:rPr>
        <w:t xml:space="preserve">It does not state any obligation for states other than California and Colorado.</w:t>
      </w:r>
    </w:p>
    <w:p>
      <w:pPr>
        <w:pStyle w:val="ListParagraph"/>
        <w:numPr>
          <w:ilvl w:val="0"/>
          <w:numId w:val="2"/>
        </w:numPr>
        <w:spacing w:after="70"/>
      </w:pPr>
      <w:r>
        <w:rPr>
          <w:rFonts w:ascii="Calibri" w:cs="Calibri" w:eastAsia="Calibri" w:hAnsi="Calibri"/>
          <w:color w:val="333A45"/>
          <w:sz w:val="21"/>
          <w:szCs w:val="21"/>
        </w:rPr>
        <w:t xml:space="preserve">It does not state breach-notification deadlines.</w:t>
      </w:r>
    </w:p>
    <w:p>
      <w:pPr>
        <w:pStyle w:val="ListParagraph"/>
        <w:numPr>
          <w:ilvl w:val="0"/>
          <w:numId w:val="2"/>
        </w:numPr>
        <w:spacing w:after="70"/>
      </w:pPr>
      <w:r>
        <w:rPr>
          <w:rFonts w:ascii="Calibri" w:cs="Calibri" w:eastAsia="Calibri" w:hAnsi="Calibri"/>
          <w:color w:val="333A45"/>
          <w:sz w:val="21"/>
          <w:szCs w:val="21"/>
        </w:rPr>
        <w:t xml:space="preserve">It does not state the content of any attorney-general rule or any ISO standard.</w:t>
      </w:r>
    </w:p>
    <w:p>
      <w:pPr>
        <w:pStyle w:val="ListParagraph"/>
        <w:numPr>
          <w:ilvl w:val="0"/>
          <w:numId w:val="2"/>
        </w:numPr>
        <w:spacing w:after="70"/>
      </w:pPr>
      <w:r>
        <w:rPr>
          <w:rFonts w:ascii="Calibri" w:cs="Calibri" w:eastAsia="Calibri" w:hAnsi="Calibri"/>
          <w:color w:val="333A45"/>
          <w:sz w:val="21"/>
          <w:szCs w:val="21"/>
        </w:rPr>
        <w:t xml:space="preserve">It does not assert an effective date for the CPPA regulations as an instrument - only the compliance dates their held text carries.</w:t>
      </w:r>
    </w:p>
    <w:p>
      <w:pPr>
        <w:pStyle w:val="ListParagraph"/>
        <w:numPr>
          <w:ilvl w:val="0"/>
          <w:numId w:val="2"/>
        </w:numPr>
        <w:spacing w:after="70"/>
      </w:pPr>
      <w:r>
        <w:rPr>
          <w:rFonts w:ascii="Calibri" w:cs="Calibri" w:eastAsia="Calibri" w:hAnsi="Calibri"/>
          <w:color w:val="333A45"/>
          <w:sz w:val="21"/>
          <w:szCs w:val="21"/>
        </w:rPr>
        <w:t xml:space="preserve">It does not state any federal AI statute, because none exists to state.</w:t>
      </w:r>
    </w:p>
    <w:p>
      <w:pPr>
        <w:keepNext/>
        <w:pBdr>
          <w:bottom w:val="single" w:color="9DB9E8" w:sz="4" w:space="3"/>
        </w:pBdr>
        <w:spacing w:after="100" w:before="260"/>
      </w:pPr>
      <w:r>
        <w:rPr>
          <w:rFonts w:ascii="Calibri" w:cs="Calibri" w:eastAsia="Calibri" w:hAnsi="Calibri"/>
          <w:b/>
          <w:bCs/>
          <w:color w:val="2E5AAC"/>
          <w:sz w:val="26"/>
          <w:szCs w:val="26"/>
        </w:rPr>
        <w:t xml:space="preserve">7. Method</w:t>
      </w:r>
    </w:p>
    <w:p>
      <w:pPr>
        <w:spacing w:after="110"/>
      </w:pPr>
      <w:r>
        <w:rPr>
          <w:rFonts w:ascii="Calibri" w:cs="Calibri" w:eastAsia="Calibri" w:hAnsi="Calibri"/>
          <w:color w:val="333A45"/>
          <w:sz w:val="21"/>
          <w:szCs w:val="21"/>
        </w:rPr>
        <w:t xml:space="preserve">Every provision cited above was read in the held text of the instrument concerned. The Colorado act was read in the signed 2024 act as amended by the signed 2025B act, never in either alone. Nothing was taken from a summary, a law-firm briefing, a vendor page, or a comparative overview, and no obligation was imported from another jurisdiction in this series. Where a figure lives in an instrument not held, the set names the gap instead of filling it.</w:t>
      </w:r>
    </w:p>
    <w:p>
      <w:pPr>
        <w:keepNext/>
        <w:pBdr>
          <w:bottom w:val="single" w:color="9DB9E8" w:sz="4" w:space="3"/>
        </w:pBdr>
        <w:spacing w:after="100" w:before="260"/>
      </w:pPr>
      <w:r>
        <w:rPr>
          <w:rFonts w:ascii="Calibri" w:cs="Calibri" w:eastAsia="Calibri" w:hAnsi="Calibri"/>
          <w:b/>
          <w:bCs/>
          <w:color w:val="2E5AAC"/>
          <w:sz w:val="26"/>
          <w:szCs w:val="26"/>
        </w:rPr>
        <w:t xml:space="preserve">8.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apply only within the stated scope,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US AI policy set - research note - v1.0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United States AI Policy Set</dc:title>
  <dc:creator>Narendra Karki</dc:creator>
  <cp:lastModifiedBy>Narendra Karki</cp:lastModifiedBy>
  <cp:revision>1</cp:revision>
  <dcterms:created xsi:type="dcterms:W3CDTF">2026-09-02T07:52:11.312Z</dcterms:created>
  <dcterms:modified xsi:type="dcterms:W3CDTF">2026-09-02T07:52:11.312Z</dcterms:modified>
</cp:coreProperties>
</file>

<file path=docProps/custom.xml><?xml version="1.0" encoding="utf-8"?>
<Properties xmlns="http://schemas.openxmlformats.org/officeDocument/2006/custom-properties" xmlns:vt="http://schemas.openxmlformats.org/officeDocument/2006/docPropsVTypes"/>
</file>