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United States AI policy set</w:t>
      </w:r>
    </w:p>
    <w:p>
      <w:pPr>
        <w:spacing w:after="110"/>
      </w:pPr>
      <w:r>
        <w:rPr>
          <w:rFonts w:ascii="Calibri" w:cs="Calibri" w:eastAsia="Calibri" w:hAnsi="Calibri"/>
          <w:color w:val="333A45"/>
          <w:sz w:val="21"/>
          <w:szCs w:val="21"/>
        </w:rPr>
        <w:t xml:space="preserve">Every document referred to, used, or deliberately not used in producing the US AI Acceptable Use Policy v1.0, the Enterprise Annex v1.0, and the research note.</w:t>
      </w:r>
    </w:p>
    <w:p>
      <w:pPr>
        <w:spacing w:after="110"/>
      </w:pPr>
      <w:r>
        <w:rPr>
          <w:rFonts w:ascii="Calibri" w:cs="Calibri" w:eastAsia="Calibri" w:hAnsi="Calibri"/>
          <w:color w:val="333A45"/>
          <w:sz w:val="21"/>
          <w:szCs w:val="21"/>
        </w:rPr>
        <w:t xml:space="preserve">State as at 3 September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0. Read this first</w:t>
      </w:r>
    </w:p>
    <w:p>
      <w:pPr>
        <w:spacing w:after="110"/>
      </w:pPr>
      <w:r>
        <w:rPr>
          <w:rFonts w:ascii="Calibri" w:cs="Calibri" w:eastAsia="Calibri" w:hAnsi="Calibri"/>
          <w:b/>
          <w:bCs/>
          <w:color w:val="333A45"/>
          <w:sz w:val="21"/>
          <w:szCs w:val="21"/>
        </w:rPr>
        <w:t xml:space="preserve">The United States is a patchwork, and this set is scoped, not universal.</w:t>
      </w:r>
      <w:r>
        <w:rPr>
          <w:rFonts w:ascii="Calibri" w:cs="Calibri" w:eastAsia="Calibri" w:hAnsi="Calibri"/>
          <w:color w:val="333A45"/>
          <w:sz w:val="21"/>
          <w:szCs w:val="21"/>
        </w:rPr>
        <w:t xml:space="preserve"> It states the federal sectoral baseline plus California and Colorado - the general consumer-privacy anchor and the closest thing the country has to an AI statute - and names every other state as not held. A set claiming to cover "US law" in one document would be wrong the way a single global AI policy is wrong, one level down.</w:t>
      </w:r>
    </w:p>
    <w:p>
      <w:pPr>
        <w:spacing w:after="110"/>
      </w:pPr>
      <w:r>
        <w:rPr>
          <w:rFonts w:ascii="Calibri" w:cs="Calibri" w:eastAsia="Calibri" w:hAnsi="Calibri"/>
          <w:b/>
          <w:bCs/>
          <w:color w:val="333A45"/>
          <w:sz w:val="21"/>
          <w:szCs w:val="21"/>
        </w:rPr>
        <w:t xml:space="preserve">Two amendment traps were closed at intake.</w:t>
      </w:r>
      <w:r>
        <w:rPr>
          <w:rFonts w:ascii="Calibri" w:cs="Calibri" w:eastAsia="Calibri" w:hAnsi="Calibri"/>
          <w:color w:val="333A45"/>
          <w:sz w:val="21"/>
          <w:szCs w:val="21"/>
        </w:rPr>
        <w:t xml:space="preserve"> The Colorado act's operative dates were moved by a special-session amendment; the set holds and reads both acts together (finding 4.1 of the research note). The California regulations were taken from the regulator's approved final rulemaking text, not from the proposal drafts that circulated for a year before it.</w:t>
      </w:r>
    </w:p>
    <w:p>
      <w:pPr>
        <w:keepNext/>
        <w:pBdr>
          <w:bottom w:val="single" w:color="9DB9E8" w:sz="4" w:space="3"/>
        </w:pBdr>
        <w:spacing w:after="100" w:before="260"/>
      </w:pPr>
      <w:r>
        <w:rPr>
          <w:rFonts w:ascii="Calibri" w:cs="Calibri" w:eastAsia="Calibri" w:hAnsi="Calibri"/>
          <w:b/>
          <w:bCs/>
          <w:color w:val="2E5AAC"/>
          <w:sz w:val="26"/>
          <w:szCs w:val="26"/>
        </w:rPr>
        <w:t xml:space="preserve">1. Primary law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and date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Cited</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SB 24-205</w:t>
            </w:r>
            <w:r>
              <w:rPr>
                <w:rFonts w:ascii="Calibri" w:cs="Calibri" w:eastAsia="Calibri" w:hAnsi="Calibri"/>
                <w:color w:val="333A45"/>
                <w:sz w:val="19"/>
                <w:szCs w:val="19"/>
              </w:rPr>
              <w:t xml:space="preserve"> - Consumer Protections for Artificial Intelligence (adds CRS title 6, art. 1, part 17)</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Signed act, 2024 regular session; 26 pp</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fbe1ecf21ababdd8</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6-1-1701 to 6-1-1707</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SB 25B-004</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Signed act, 2025 special session B; approved 28 Aug 2025; 7 pp</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07e8f48f3d0bcd31</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ss.1-4 (amendments to 6-1-1702, -1703, -1704; effective-date clause)</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California Consumer Privacy Act as amended</w:t>
            </w:r>
            <w:r>
              <w:rPr>
                <w:rFonts w:ascii="Calibri" w:cs="Calibri" w:eastAsia="Calibri" w:hAnsi="Calibri"/>
                <w:color w:val="333A45"/>
                <w:sz w:val="19"/>
                <w:szCs w:val="19"/>
              </w:rPr>
              <w:t xml:space="preserve"> - Civil Code div. 3, pt. 4, tit. 1.81.5, ss.1798.100-1798.199.95</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Official leginfo print, retrieved 2 Sep 2026; 38 pp</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a64e77b40d4ef9d2</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personal-information baseline; ADMT and assessment rulemaking authority at 1798.185</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CPPA Regulations - Approved Regulations Text</w:t>
            </w:r>
            <w:r>
              <w:rPr>
                <w:rFonts w:ascii="Calibri" w:cs="Calibri" w:eastAsia="Calibri" w:hAnsi="Calibri"/>
                <w:color w:val="333A45"/>
                <w:sz w:val="19"/>
                <w:szCs w:val="19"/>
              </w:rPr>
              <w:t xml:space="preserve"> (Cal. Code Regs. tit. 11, div. 6) - CCPA updates, cybersecurity audits, risk assessments, ADMT, insurance</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Final rulemaking of 22 Sep 2025; 127 pp</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7a34306cebf12ae9</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ss.7001, 7002, 7050-7053, 7120-7123, 7150-7157, 7200, 7220-7222</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FTC Act s.5</w:t>
            </w:r>
            <w:r>
              <w:rPr>
                <w:rFonts w:ascii="Calibri" w:cs="Calibri" w:eastAsia="Calibri" w:hAnsi="Calibri"/>
                <w:color w:val="333A45"/>
                <w:sz w:val="19"/>
                <w:szCs w:val="19"/>
              </w:rPr>
              <w:t xml:space="preserve"> - 15 U.S.C. 45</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 Code 2024 edition (GPO)</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d511071d1408df86</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s.45(a)</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FCRA</w:t>
            </w:r>
            <w:r>
              <w:rPr>
                <w:rFonts w:ascii="Calibri" w:cs="Calibri" w:eastAsia="Calibri" w:hAnsi="Calibri"/>
                <w:color w:val="333A45"/>
                <w:sz w:val="19"/>
                <w:szCs w:val="19"/>
              </w:rPr>
              <w:t xml:space="preserve"> - 15 U.S.C. ch. 41, subch. III</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 Code 2024 edition (GPO); 68 pp</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51962ffac6195fdc</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1681m (adverse action) and the subchapter as sector baseline</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COPPA Rule</w:t>
            </w:r>
            <w:r>
              <w:rPr>
                <w:rFonts w:ascii="Calibri" w:cs="Calibri" w:eastAsia="Calibri" w:hAnsi="Calibri"/>
                <w:color w:val="333A45"/>
                <w:sz w:val="19"/>
                <w:szCs w:val="19"/>
              </w:rPr>
              <w:t xml:space="preserve"> - 16 CFR 312</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eCFR, current to 31 Aug 2026</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bdb220582dc7f9e6</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Sector baseline point</w:t>
            </w:r>
          </w:p>
        </w:tc>
      </w:tr>
      <w:tr>
        <w:trPr>
          <w:tblHeader w:val="false"/>
        </w:trPr>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GLBA Safeguards Rule</w:t>
            </w:r>
            <w:r>
              <w:rPr>
                <w:rFonts w:ascii="Calibri" w:cs="Calibri" w:eastAsia="Calibri" w:hAnsi="Calibri"/>
                <w:color w:val="333A45"/>
                <w:sz w:val="19"/>
                <w:szCs w:val="19"/>
              </w:rPr>
              <w:t xml:space="preserve"> - 16 CFR 314</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eCFR, current to 31 Aug 2026</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9f77c19eaa7589d7</w:t>
            </w:r>
          </w:p>
        </w:tc>
        <w:tc>
          <w:tcPr>
            <w:tcW w:type="dxa" w:w="18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16.4</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HIPAA Privacy and Security</w:t>
            </w:r>
            <w:r>
              <w:rPr>
                <w:rFonts w:ascii="Calibri" w:cs="Calibri" w:eastAsia="Calibri" w:hAnsi="Calibri"/>
                <w:color w:val="333A45"/>
                <w:sz w:val="19"/>
                <w:szCs w:val="19"/>
              </w:rPr>
              <w:t xml:space="preserve"> - 45 CFR 164</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eCFR, current to 31 Aug 2026; 89 pp</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ac7652bbe0ef097d</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Sector baseline point; Colorado carve-out context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2. Guidance tier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Detail</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NIST AI RMF 1.0</w:t>
            </w:r>
            <w:r>
              <w:rPr>
                <w:rFonts w:ascii="Calibri" w:cs="Calibri" w:eastAsia="Calibri" w:hAnsi="Calibri"/>
                <w:color w:val="333A45"/>
                <w:sz w:val="19"/>
                <w:szCs w:val="19"/>
              </w:rPr>
              <w:t xml:space="preserve"> (AI 100-1)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48 pp</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54f2affe7f200efe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NIST Generative AI Profile</w:t>
            </w:r>
            <w:r>
              <w:rPr>
                <w:rFonts w:ascii="Calibri" w:cs="Calibri" w:eastAsia="Calibri" w:hAnsi="Calibri"/>
                <w:color w:val="333A45"/>
                <w:sz w:val="19"/>
                <w:szCs w:val="19"/>
              </w:rPr>
              <w:t xml:space="preserve"> (AI 600-1)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64 pp</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6e73620ab6b64e90</w:t>
            </w:r>
          </w:p>
        </w:tc>
      </w:tr>
    </w:tbl>
    <w:p>
      <w:pPr>
        <w:spacing w:after="120"/>
      </w:pPr>
    </w:p>
    <w:p>
      <w:pPr>
        <w:spacing w:after="110"/>
      </w:pPr>
      <w:r>
        <w:rPr>
          <w:rFonts w:ascii="Calibri" w:cs="Calibri" w:eastAsia="Calibri" w:hAnsi="Calibri"/>
          <w:color w:val="333A45"/>
          <w:sz w:val="21"/>
          <w:szCs w:val="21"/>
        </w:rPr>
        <w:t xml:space="preserve">Guidance, not law - </w:t>
      </w:r>
      <w:r>
        <w:rPr>
          <w:rFonts w:ascii="Calibri" w:cs="Calibri" w:eastAsia="Calibri" w:hAnsi="Calibri"/>
          <w:b/>
          <w:bCs/>
          <w:color w:val="333A45"/>
          <w:sz w:val="21"/>
          <w:szCs w:val="21"/>
        </w:rPr>
        <w:t xml:space="preserve">but the Colorado statute names the RMF in its own text</w:t>
      </w:r>
      <w:r>
        <w:rPr>
          <w:rFonts w:ascii="Calibri" w:cs="Calibri" w:eastAsia="Calibri" w:hAnsi="Calibri"/>
          <w:color w:val="333A45"/>
          <w:sz w:val="21"/>
          <w:szCs w:val="21"/>
        </w:rPr>
        <w:t xml:space="preserve"> as a reasonableness reference, presumption anchor, and affirmative-defense component (research note finding 4.2). That statutory role is why these sit in the corpus as load-bearing rather than decorative.</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Every state's law beyond California and Colorado</w:t>
            </w:r>
            <w:r>
              <w:rPr>
                <w:rFonts w:ascii="Calibri" w:cs="Calibri" w:eastAsia="Calibri" w:hAnsi="Calibri"/>
                <w:color w:val="333A45"/>
                <w:sz w:val="19"/>
                <w:szCs w:val="19"/>
              </w:rPr>
              <w:t xml:space="preserve"> - incl. AI-in-employment and biometric statutes elsewhere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scope statement at policy 1.1; nothing asserted about any of them</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State breach notification statutes</w:t>
            </w:r>
            <w:r>
              <w:rPr>
                <w:rFonts w:ascii="Calibri" w:cs="Calibri" w:eastAsia="Calibri" w:hAnsi="Calibri"/>
                <w:color w:val="333A45"/>
                <w:sz w:val="19"/>
                <w:szCs w:val="19"/>
              </w:rPr>
              <w:t xml:space="preserve"> (incl. Cal. Civ. Code 1798.82; C.R.S. 6-1-716)</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No breach deadline is stated anywhere in this set.</w:t>
            </w:r>
            <w:r>
              <w:rPr>
                <w:rFonts w:ascii="Calibri" w:cs="Calibri" w:eastAsia="Calibri" w:hAnsi="Calibri"/>
                <w:color w:val="333A45"/>
                <w:sz w:val="19"/>
                <w:szCs w:val="19"/>
              </w:rPr>
              <w:t xml:space="preserve"> Policy 17.2 routes to the privacy lead's maintained statement. Obtaining these is the recorded next verification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Colorado AG rules under 6-1-1707</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Permissive rulemaking; none held; the presumption position rests on the statute alone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CPPA Notice of Approval</w:t>
            </w:r>
            <w:r>
              <w:rPr>
                <w:rFonts w:ascii="Calibri" w:cs="Calibri" w:eastAsia="Calibri" w:hAnsi="Calibri"/>
                <w:color w:val="333A45"/>
                <w:sz w:val="19"/>
                <w:szCs w:val="19"/>
              </w:rPr>
              <w:t xml:space="preserve"> (effective-date instrument for row 4)</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regulations' internal compliance dates are stated from the held text; the instrument-level effective date is not asserted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ISO/IEC 42001</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Named by the Colorado statute as an alternative framework; not held; nothing about its content is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Federal executive AI policy</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Shifts with administrations; not law of general application; nothing rests on it</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Enforcement decisions and case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None relied on anywhere</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Discarded at intake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File</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Reason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Duplicate copy of SB 24-205</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Byte-identical to row 1 (fbe1ecf21ababdd8); one recorded, one discarded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Codes_Display_TextII.pdf</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882 bytes, blank - a failed save; skipped at Narendra's instruction, contents never determined</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5.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provision identifiers live in the research note rather than the policy body, and the practice of flagging house standards. </w:t>
      </w: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and no obligation was imported from any other jurisdiction in this series.</w:t>
      </w:r>
    </w:p>
    <w:p>
      <w:pPr>
        <w:keepNext/>
        <w:pBdr>
          <w:bottom w:val="single" w:color="9DB9E8" w:sz="4" w:space="3"/>
        </w:pBdr>
        <w:spacing w:after="100" w:before="260"/>
      </w:pPr>
      <w:r>
        <w:rPr>
          <w:rFonts w:ascii="Calibri" w:cs="Calibri" w:eastAsia="Calibri" w:hAnsi="Calibri"/>
          <w:b/>
          <w:bCs/>
          <w:color w:val="2E5AAC"/>
          <w:sz w:val="26"/>
          <w:szCs w:val="26"/>
        </w:rPr>
        <w:t xml:space="preserve">6.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verified within stated scope (federal baseline + California + Colorado)</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3 Sep 2026</w:t>
            </w:r>
            <w:r>
              <w:rPr>
                <w:rFonts w:ascii="Calibri" w:cs="Calibri" w:eastAsia="Calibri" w:hAnsi="Calibri"/>
                <w:color w:val="333A45"/>
                <w:sz w:val="19"/>
                <w:szCs w:val="19"/>
              </w:rPr>
              <w:t xml:space="preserve"> - verified within stated scope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Clause-by-clause basis, findings, the map of the gaps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US_source_register.md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7.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Web search was used once, to locate official download pages - existence and location only, never authority.</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a file at sections 1-2.</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vendor page, or comparative summary.</w:t>
      </w:r>
      <w:r>
        <w:rPr>
          <w:rFonts w:ascii="Calibri" w:cs="Calibri" w:eastAsia="Calibri" w:hAnsi="Calibri"/>
          <w:color w:val="333A45"/>
          <w:sz w:val="21"/>
          <w:szCs w:val="21"/>
        </w:rPr>
        <w:t xml:space="preserve"> US state AI law is a subject with a large secondary literature and a fast-moving legislative map; none of it entered this set.</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p>
    <w:p>
      <w:pPr>
        <w:keepNext/>
        <w:pBdr>
          <w:bottom w:val="single" w:color="9DB9E8" w:sz="4" w:space="3"/>
        </w:pBdr>
        <w:spacing w:after="100" w:before="260"/>
      </w:pPr>
      <w:r>
        <w:rPr>
          <w:rFonts w:ascii="Calibri" w:cs="Calibri" w:eastAsia="Calibri" w:hAnsi="Calibri"/>
          <w:b/>
          <w:bCs/>
          <w:color w:val="2E5AAC"/>
          <w:sz w:val="26"/>
          <w:szCs w:val="26"/>
        </w:rPr>
        <w:t xml:space="preserve">8. The verifications that mattered most</w:t>
      </w:r>
    </w:p>
    <w:p>
      <w:pPr>
        <w:spacing w:after="110"/>
      </w:pPr>
      <w:r>
        <w:rPr>
          <w:rFonts w:ascii="Calibri" w:cs="Calibri" w:eastAsia="Calibri" w:hAnsi="Calibri"/>
          <w:b/>
          <w:bCs/>
          <w:color w:val="333A45"/>
          <w:sz w:val="21"/>
          <w:szCs w:val="21"/>
        </w:rPr>
        <w:t xml:space="preserve">The moved commencement.</w:t>
      </w:r>
      <w:r>
        <w:rPr>
          <w:rFonts w:ascii="Calibri" w:cs="Calibri" w:eastAsia="Calibri" w:hAnsi="Calibri"/>
          <w:color w:val="333A45"/>
          <w:sz w:val="21"/>
          <w:szCs w:val="21"/>
        </w:rPr>
        <w:t xml:space="preserve"> SB 24-205 alone dates every duty 1 February 2026. SB 25B-004 struck each of those dates for 30 June 2026 - which has passed, making the duties live. Either act read alone gives a wrong answer; the pair gives the right one. This is the same class of trap as India's commencement notification and the EU's Digital Omnibus, and it is why the amending act was made a condition of starting the build.</w:t>
      </w:r>
    </w:p>
    <w:p>
      <w:pPr>
        <w:spacing w:after="110"/>
      </w:pPr>
      <w:r>
        <w:rPr>
          <w:rFonts w:ascii="Calibri" w:cs="Calibri" w:eastAsia="Calibri" w:hAnsi="Calibri"/>
          <w:b/>
          <w:bCs/>
          <w:color w:val="333A45"/>
          <w:sz w:val="21"/>
          <w:szCs w:val="21"/>
        </w:rPr>
        <w:t xml:space="preserve">The two definitions that do not coincide.</w:t>
      </w:r>
      <w:r>
        <w:rPr>
          <w:rFonts w:ascii="Calibri" w:cs="Calibri" w:eastAsia="Calibri" w:hAnsi="Calibri"/>
          <w:color w:val="333A45"/>
          <w:sz w:val="21"/>
          <w:szCs w:val="21"/>
        </w:rPr>
        <w:t xml:space="preserve"> Colorado's substantial-factor test and California's substantially-replaces test were read side by side in the held texts, and the divergence made a design decision: two recorded determinations per tool, never one (research note finding 4.4).</w:t>
      </w:r>
    </w:p>
    <w:p>
      <w:pPr>
        <w:spacing w:after="110"/>
      </w:pPr>
      <w:r>
        <w:rPr>
          <w:rFonts w:ascii="Calibri" w:cs="Calibri" w:eastAsia="Calibri" w:hAnsi="Calibri"/>
          <w:b/>
          <w:bCs/>
          <w:color w:val="333A45"/>
          <w:sz w:val="21"/>
          <w:szCs w:val="21"/>
        </w:rPr>
        <w:t xml:space="preserve">The exclusion that depends on this document.</w:t>
      </w:r>
      <w:r>
        <w:rPr>
          <w:rFonts w:ascii="Calibri" w:cs="Calibri" w:eastAsia="Calibri" w:hAnsi="Calibri"/>
          <w:color w:val="333A45"/>
          <w:sz w:val="21"/>
          <w:szCs w:val="21"/>
        </w:rPr>
        <w:t xml:space="preserve"> CRS 6-1-1701(9)(b)(II)(R) was nearly summarised as "ordinary chatbots excluded". The held text conditions the exclusion on the technology being subject to an accepted use policy prohibiting discriminatory or harmful content - which makes the policy itself part of the regulatory analysis, and turned a summary line into policy 4.2, 7.7, and annex A2.4.</w:t>
      </w:r>
    </w:p>
    <w:p>
      <w:pPr>
        <w:keepNext/>
        <w:pBdr>
          <w:bottom w:val="single" w:color="9DB9E8" w:sz="4" w:space="3"/>
        </w:pBdr>
        <w:spacing w:after="100" w:before="260"/>
      </w:pPr>
      <w:r>
        <w:rPr>
          <w:rFonts w:ascii="Calibri" w:cs="Calibri" w:eastAsia="Calibri" w:hAnsi="Calibri"/>
          <w:b/>
          <w:bCs/>
          <w:color w:val="2E5AAC"/>
          <w:sz w:val="26"/>
          <w:szCs w:val="26"/>
        </w:rPr>
        <w:t xml:space="preserve">9.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apply only within the stated scope,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US AI policy set - source register - v1.0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United States AI Policy Set</dc:title>
  <dc:creator>Narendra Karki</dc:creator>
  <cp:lastModifiedBy>Narendra Karki</cp:lastModifiedBy>
  <cp:revision>1</cp:revision>
  <dcterms:created xsi:type="dcterms:W3CDTF">2026-09-02T07:52:11.430Z</dcterms:created>
  <dcterms:modified xsi:type="dcterms:W3CDTF">2026-09-02T07:52:11.430Z</dcterms:modified>
</cp:coreProperties>
</file>

<file path=docProps/custom.xml><?xml version="1.0" encoding="utf-8"?>
<Properties xmlns="http://schemas.openxmlformats.org/officeDocument/2006/custom-properties" xmlns:vt="http://schemas.openxmlformats.org/officeDocument/2006/docPropsVTypes"/>
</file>