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5AAC" w:sz="12" w:space="6"/>
        </w:pBdr>
        <w:spacing w:after="60"/>
      </w:pPr>
      <w:r>
        <w:rPr>
          <w:rFonts w:ascii="Calibri" w:cs="Calibri" w:eastAsia="Calibri" w:hAnsi="Calibri"/>
          <w:b/>
          <w:bCs/>
          <w:color w:val="1F3864"/>
          <w:sz w:val="42"/>
          <w:szCs w:val="42"/>
        </w:rPr>
        <w:t xml:space="preserve">Artificial Intelligence Acceptable Use Policy - Singapore</w:t>
      </w:r>
    </w:p>
    <w:p>
      <w:pPr>
        <w:shd w:fill="EDF2FA" w:val="clear"/>
        <w:spacing w:after="20"/>
        <w:ind w:left="60" w:right="60"/>
      </w:pPr>
      <w:r>
        <w:rPr>
          <w:rFonts w:ascii="Calibri" w:cs="Calibri" w:eastAsia="Calibri" w:hAnsi="Calibri"/>
          <w:b/>
          <w:bCs/>
          <w:color w:val="5A6472"/>
          <w:sz w:val="19"/>
          <w:szCs w:val="19"/>
        </w:rPr>
        <w:t xml:space="preserve">Organisation:</w:t>
      </w:r>
      <w:r>
        <w:rPr>
          <w:rFonts w:ascii="Calibri" w:cs="Calibri" w:eastAsia="Calibri" w:hAnsi="Calibri"/>
          <w:color w:val="5A6472"/>
          <w:sz w:val="19"/>
          <w:szCs w:val="19"/>
        </w:rPr>
        <w:t xml:space="preserve"> [ORGANISATION]</w:t>
      </w:r>
    </w:p>
    <w:p>
      <w:pPr>
        <w:shd w:fill="EDF2FA" w:val="clear"/>
        <w:spacing w:after="20"/>
        <w:ind w:left="60" w:right="60"/>
      </w:pPr>
      <w:r>
        <w:rPr>
          <w:rFonts w:ascii="Calibri" w:cs="Calibri" w:eastAsia="Calibri" w:hAnsi="Calibri"/>
          <w:b/>
          <w:bCs/>
          <w:color w:val="5A6472"/>
          <w:sz w:val="19"/>
          <w:szCs w:val="19"/>
        </w:rPr>
        <w:t xml:space="preserve">Effective date:</w:t>
      </w:r>
      <w:r>
        <w:rPr>
          <w:rFonts w:ascii="Calibri" w:cs="Calibri" w:eastAsia="Calibri" w:hAnsi="Calibri"/>
          <w:color w:val="5A6472"/>
          <w:sz w:val="19"/>
          <w:szCs w:val="19"/>
        </w:rPr>
        <w:t xml:space="preserve"> [DATE]  </w:t>
      </w:r>
      <w:r>
        <w:rPr>
          <w:rFonts w:ascii="Calibri" w:cs="Calibri" w:eastAsia="Calibri" w:hAnsi="Calibri"/>
          <w:b/>
          <w:bCs/>
          <w:color w:val="5A6472"/>
          <w:sz w:val="19"/>
          <w:szCs w:val="19"/>
        </w:rPr>
        <w:t xml:space="preserve">Version:</w:t>
      </w:r>
      <w:r>
        <w:rPr>
          <w:rFonts w:ascii="Calibri" w:cs="Calibri" w:eastAsia="Calibri" w:hAnsi="Calibri"/>
          <w:color w:val="5A6472"/>
          <w:sz w:val="19"/>
          <w:szCs w:val="19"/>
        </w:rPr>
        <w:t xml:space="preserve"> 1.0</w:t>
      </w:r>
    </w:p>
    <w:p>
      <w:pPr>
        <w:shd w:fill="EDF2FA" w:val="clear"/>
        <w:spacing w:after="20"/>
        <w:ind w:left="60" w:right="60"/>
      </w:pPr>
      <w:r>
        <w:rPr>
          <w:rFonts w:ascii="Calibri" w:cs="Calibri" w:eastAsia="Calibri" w:hAnsi="Calibri"/>
          <w:b/>
          <w:bCs/>
          <w:color w:val="5A6472"/>
          <w:sz w:val="19"/>
          <w:szCs w:val="19"/>
        </w:rPr>
        <w:t xml:space="preserve">Policy owner:</w:t>
      </w:r>
      <w:r>
        <w:rPr>
          <w:rFonts w:ascii="Calibri" w:cs="Calibri" w:eastAsia="Calibri" w:hAnsi="Calibri"/>
          <w:color w:val="5A6472"/>
          <w:sz w:val="19"/>
          <w:szCs w:val="19"/>
        </w:rPr>
        <w:t xml:space="preserve"> [CISO]  </w:t>
      </w:r>
      <w:r>
        <w:rPr>
          <w:rFonts w:ascii="Calibri" w:cs="Calibri" w:eastAsia="Calibri" w:hAnsi="Calibri"/>
          <w:b/>
          <w:bCs/>
          <w:color w:val="5A6472"/>
          <w:sz w:val="19"/>
          <w:szCs w:val="19"/>
        </w:rPr>
        <w:t xml:space="preserve">Data protection lead:</w:t>
      </w:r>
      <w:r>
        <w:rPr>
          <w:rFonts w:ascii="Calibri" w:cs="Calibri" w:eastAsia="Calibri" w:hAnsi="Calibri"/>
          <w:color w:val="5A6472"/>
          <w:sz w:val="19"/>
          <w:szCs w:val="19"/>
        </w:rPr>
        <w:t xml:space="preserve"> [Data Protection Officer]</w:t>
      </w:r>
    </w:p>
    <w:p>
      <w:pPr>
        <w:shd w:fill="EDF2FA" w:val="clear"/>
        <w:spacing w:after="20"/>
        <w:ind w:left="60" w:right="60"/>
      </w:pPr>
      <w:r>
        <w:rPr>
          <w:rFonts w:ascii="Calibri" w:cs="Calibri" w:eastAsia="Calibri" w:hAnsi="Calibri"/>
          <w:b/>
          <w:bCs/>
          <w:color w:val="5A6472"/>
          <w:sz w:val="19"/>
          <w:szCs w:val="19"/>
        </w:rPr>
        <w:t xml:space="preserve">Classification:</w:t>
      </w:r>
      <w:r>
        <w:rPr>
          <w:rFonts w:ascii="Calibri" w:cs="Calibri" w:eastAsia="Calibri" w:hAnsi="Calibri"/>
          <w:color w:val="5A6472"/>
          <w:sz w:val="19"/>
          <w:szCs w:val="19"/>
        </w:rPr>
        <w:t xml:space="preserve"> Internal</w:t>
      </w:r>
    </w:p>
    <w:p>
      <w:pPr>
        <w:shd w:fill="EDF2FA" w:val="clear"/>
        <w:spacing w:after="20"/>
        <w:ind w:left="60" w:right="60"/>
      </w:pPr>
      <w:r>
        <w:rPr>
          <w:rFonts w:ascii="Calibri" w:cs="Calibri" w:eastAsia="Calibri" w:hAnsi="Calibri"/>
          <w:b/>
          <w:bCs/>
          <w:color w:val="5A6472"/>
          <w:sz w:val="19"/>
          <w:szCs w:val="19"/>
        </w:rPr>
        <w:t xml:space="preserve">Review:</w:t>
      </w:r>
      <w:r>
        <w:rPr>
          <w:rFonts w:ascii="Calibri" w:cs="Calibri" w:eastAsia="Calibri" w:hAnsi="Calibri"/>
          <w:color w:val="5A6472"/>
          <w:sz w:val="19"/>
          <w:szCs w:val="19"/>
        </w:rPr>
        <w:t xml:space="preserve"> at least every six months, and on material change in tools or regulation</w:t>
      </w:r>
    </w:p>
    <w:p>
      <w:pPr>
        <w:keepNext/>
        <w:pBdr>
          <w:bottom w:val="single" w:color="9DB9E8" w:sz="4" w:space="3"/>
        </w:pBdr>
        <w:spacing w:after="100" w:before="260"/>
      </w:pPr>
      <w:r>
        <w:rPr>
          <w:rFonts w:ascii="Calibri" w:cs="Calibri" w:eastAsia="Calibri" w:hAnsi="Calibri"/>
          <w:b/>
          <w:bCs/>
          <w:color w:val="2E5AAC"/>
          <w:sz w:val="26"/>
          <w:szCs w:val="26"/>
        </w:rPr>
        <w:t xml:space="preserve">1. Purpose</w:t>
      </w:r>
    </w:p>
    <w:p>
      <w:pPr>
        <w:spacing w:after="110"/>
      </w:pPr>
      <w:r>
        <w:rPr>
          <w:rFonts w:ascii="Calibri" w:cs="Calibri" w:eastAsia="Calibri" w:hAnsi="Calibri"/>
          <w:color w:val="333A45"/>
          <w:sz w:val="21"/>
          <w:szCs w:val="21"/>
        </w:rPr>
        <w:t xml:space="preserve">[ORGANISATION] permits the use of artificial intelligence (AI) tools to improve productivity, provided that use protects the organisation's data, its customers and staff, its intellectual property, and its obligations under Singapore personal data protection law. This policy sets the requirements for all such use.</w:t>
      </w:r>
    </w:p>
    <w:p>
      <w:pPr>
        <w:spacing w:after="110"/>
      </w:pPr>
      <w:r>
        <w:rPr>
          <w:rFonts w:ascii="Calibri" w:cs="Calibri" w:eastAsia="Calibri" w:hAnsi="Calibri"/>
          <w:color w:val="333A45"/>
          <w:sz w:val="21"/>
          <w:szCs w:val="21"/>
        </w:rPr>
        <w:t xml:space="preserve">Three features of the Singapore framework shape this document, and each one changes how the policy has to be written.</w:t>
      </w:r>
    </w:p>
    <w:p>
      <w:pPr>
        <w:spacing w:after="110"/>
      </w:pPr>
      <w:r>
        <w:rPr>
          <w:rFonts w:ascii="Calibri" w:cs="Calibri" w:eastAsia="Calibri" w:hAnsi="Calibri"/>
          <w:b/>
          <w:bCs/>
          <w:color w:val="333A45"/>
          <w:sz w:val="21"/>
          <w:szCs w:val="21"/>
        </w:rPr>
        <w:t xml:space="preserve">There is no artificial intelligence statute.</w:t>
      </w:r>
      <w:r>
        <w:rPr>
          <w:rFonts w:ascii="Calibri" w:cs="Calibri" w:eastAsia="Calibri" w:hAnsi="Calibri"/>
          <w:color w:val="333A45"/>
          <w:sz w:val="21"/>
          <w:szCs w:val="21"/>
        </w:rPr>
        <w:t xml:space="preserve"> Singapore personal data protection law is technology-neutral. It contains no list of prohibited AI practices, no classification of systems by risk, and no standalone right against automated decisions. Every obligation that reaches an AI system reaches it as an obligation about personal data. Section 4 explains what follows from that, because the most common error here is looking for an AI rulebook, not finding one, and concluding that nothing applies.</w:t>
      </w:r>
    </w:p>
    <w:p>
      <w:pPr>
        <w:spacing w:after="110"/>
      </w:pPr>
      <w:r>
        <w:rPr>
          <w:rFonts w:ascii="Calibri" w:cs="Calibri" w:eastAsia="Calibri" w:hAnsi="Calibri"/>
          <w:b/>
          <w:bCs/>
          <w:color w:val="333A45"/>
          <w:sz w:val="21"/>
          <w:szCs w:val="21"/>
        </w:rPr>
        <w:t xml:space="preserve">The governing test is what a reasonable person would consider appropriate in the circumstances.</w:t>
      </w:r>
      <w:r>
        <w:rPr>
          <w:rFonts w:ascii="Calibri" w:cs="Calibri" w:eastAsia="Calibri" w:hAnsi="Calibri"/>
          <w:color w:val="333A45"/>
          <w:sz w:val="21"/>
          <w:szCs w:val="21"/>
        </w:rPr>
        <w:t xml:space="preserve"> That standard runs through the whole statute. It means judgement is required rather than box-ticking, and it means a decision that cannot be explained afterwards is a decision that cannot be defended.</w:t>
      </w:r>
    </w:p>
    <w:p>
      <w:pPr>
        <w:spacing w:after="110"/>
      </w:pPr>
      <w:r>
        <w:rPr>
          <w:rFonts w:ascii="Calibri" w:cs="Calibri" w:eastAsia="Calibri" w:hAnsi="Calibri"/>
          <w:b/>
          <w:bCs/>
          <w:color w:val="333A45"/>
          <w:sz w:val="21"/>
          <w:szCs w:val="21"/>
        </w:rPr>
        <w:t xml:space="preserve">An individual can be prosecuted personally.</w:t>
      </w:r>
      <w:r>
        <w:rPr>
          <w:rFonts w:ascii="Calibri" w:cs="Calibri" w:eastAsia="Calibri" w:hAnsi="Calibri"/>
          <w:color w:val="333A45"/>
          <w:sz w:val="21"/>
          <w:szCs w:val="21"/>
        </w:rPr>
        <w:t xml:space="preserve"> Where a member of staff discloses or uses personal data held by the organisation without the organisation's authorisation, that individual - not only the organisation - commits an offence carrying a fine and a term of imprisonment. Section 11 of this policy sets this out, and it is the single most important section for anyone who handles customer or employee data.</w:t>
      </w:r>
    </w:p>
    <w:p>
      <w:pPr>
        <w:keepNext/>
        <w:pBdr>
          <w:bottom w:val="single" w:color="9DB9E8" w:sz="4" w:space="3"/>
        </w:pBdr>
        <w:spacing w:after="100" w:before="260"/>
      </w:pPr>
      <w:r>
        <w:rPr>
          <w:rFonts w:ascii="Calibri" w:cs="Calibri" w:eastAsia="Calibri" w:hAnsi="Calibri"/>
          <w:b/>
          <w:bCs/>
          <w:color w:val="2E5AAC"/>
          <w:sz w:val="26"/>
          <w:szCs w:val="26"/>
        </w:rPr>
        <w:t xml:space="preserve">2. Scope</w:t>
      </w:r>
    </w:p>
    <w:p>
      <w:pPr>
        <w:spacing w:after="110"/>
      </w:pPr>
      <w:r>
        <w:rPr>
          <w:rFonts w:ascii="Calibri" w:cs="Calibri" w:eastAsia="Calibri" w:hAnsi="Calibri"/>
          <w:color w:val="333A45"/>
          <w:sz w:val="21"/>
          <w:szCs w:val="21"/>
        </w:rPr>
        <w:t xml:space="preserve">This policy applies to all employees, contractors, temporary staff, and third parties who use [ORGANISATION] systems, data, or accounts. It covers all AI tools, including public and generative AI services, AI features embedded in other software, coding assistants, meeting and note-taking assistants, media generators, AI agents, and internal AI systems. It applies on company devices and accounts, and on personal devices or accounts whenever used for [ORGANISATION] work or data.</w:t>
      </w:r>
    </w:p>
    <w:p>
      <w:pPr>
        <w:spacing w:after="110"/>
      </w:pPr>
      <w:r>
        <w:rPr>
          <w:rFonts w:ascii="Calibri" w:cs="Calibri" w:eastAsia="Calibri" w:hAnsi="Calibri"/>
          <w:color w:val="333A45"/>
          <w:sz w:val="21"/>
          <w:szCs w:val="21"/>
        </w:rPr>
        <w:t xml:space="preserve">Compliance is mandatory. Breaches may result in disciplinary action up to and including termination, and, in the circumstances described in Section 11, referral to the authorities.</w:t>
      </w:r>
    </w:p>
    <w:p>
      <w:pPr>
        <w:keepNext/>
        <w:spacing w:after="80" w:before="200"/>
      </w:pPr>
      <w:r>
        <w:rPr>
          <w:rFonts w:ascii="Calibri" w:cs="Calibri" w:eastAsia="Calibri" w:hAnsi="Calibri"/>
          <w:b/>
          <w:bCs/>
          <w:color w:val="1F3864"/>
          <w:sz w:val="22"/>
          <w:szCs w:val="22"/>
        </w:rPr>
        <w:t xml:space="preserve">2.1 Which role [ORGANISATION] holds</w:t>
      </w:r>
    </w:p>
    <w:p>
      <w:pPr>
        <w:spacing w:after="110"/>
      </w:pPr>
      <w:r>
        <w:rPr>
          <w:rFonts w:ascii="Calibri" w:cs="Calibri" w:eastAsia="Calibri" w:hAnsi="Calibri"/>
          <w:color w:val="333A45"/>
          <w:sz w:val="21"/>
          <w:szCs w:val="21"/>
        </w:rPr>
        <w:t xml:space="preserve">Singapore law distinguishes an </w:t>
      </w:r>
      <w:r>
        <w:rPr>
          <w:rFonts w:ascii="Calibri" w:cs="Calibri" w:eastAsia="Calibri" w:hAnsi="Calibri"/>
          <w:b/>
          <w:bCs/>
          <w:color w:val="333A45"/>
          <w:sz w:val="21"/>
          <w:szCs w:val="21"/>
        </w:rPr>
        <w:t xml:space="preserve">organisation</w:t>
      </w:r>
      <w:r>
        <w:rPr>
          <w:rFonts w:ascii="Calibri" w:cs="Calibri" w:eastAsia="Calibri" w:hAnsi="Calibri"/>
          <w:color w:val="333A45"/>
          <w:sz w:val="21"/>
          <w:szCs w:val="21"/>
        </w:rPr>
        <w:t xml:space="preserve">, which decides why and how personal data is handled, from a </w:t>
      </w:r>
      <w:r>
        <w:rPr>
          <w:rFonts w:ascii="Calibri" w:cs="Calibri" w:eastAsia="Calibri" w:hAnsi="Calibri"/>
          <w:b/>
          <w:bCs/>
          <w:color w:val="333A45"/>
          <w:sz w:val="21"/>
          <w:szCs w:val="21"/>
        </w:rPr>
        <w:t xml:space="preserve">data intermediary</w:t>
      </w:r>
      <w:r>
        <w:rPr>
          <w:rFonts w:ascii="Calibri" w:cs="Calibri" w:eastAsia="Calibri" w:hAnsi="Calibri"/>
          <w:color w:val="333A45"/>
          <w:sz w:val="21"/>
          <w:szCs w:val="21"/>
        </w:rPr>
        <w:t xml:space="preserve">, which processes personal data on another organisation's behalf under a written contract.</w:t>
      </w:r>
    </w:p>
    <w:p>
      <w:pPr>
        <w:spacing w:after="110"/>
      </w:pPr>
      <w:r>
        <w:rPr>
          <w:rFonts w:ascii="Calibri" w:cs="Calibri" w:eastAsia="Calibri" w:hAnsi="Calibri"/>
          <w:color w:val="333A45"/>
          <w:sz w:val="21"/>
          <w:szCs w:val="21"/>
        </w:rPr>
        <w:t xml:space="preserve">[ORGANISATION] is ordinarily an organisation in that sense and carries the full set of obligations. A data intermediary carries a much smaller set - it must protect the data, must not retain it beyond need, and must tell the organisation it works for when a breach occurs - but </w:t>
      </w:r>
      <w:r>
        <w:rPr>
          <w:rFonts w:ascii="Calibri" w:cs="Calibri" w:eastAsia="Calibri" w:hAnsi="Calibri"/>
          <w:b/>
          <w:bCs/>
          <w:color w:val="333A45"/>
          <w:sz w:val="21"/>
          <w:szCs w:val="21"/>
        </w:rPr>
        <w:t xml:space="preserve">the organisation it works for keeps every obligation as though it had done the processing itself</w:t>
      </w:r>
      <w:r>
        <w:rPr>
          <w:rFonts w:ascii="Calibri" w:cs="Calibri" w:eastAsia="Calibri" w:hAnsi="Calibri"/>
          <w:color w:val="333A45"/>
          <w:sz w:val="21"/>
          <w:szCs w:val="21"/>
        </w:rPr>
        <w:t xml:space="preserve">.</w:t>
      </w:r>
    </w:p>
    <w:p>
      <w:pPr>
        <w:spacing w:after="110"/>
      </w:pPr>
      <w:r>
        <w:rPr>
          <w:rFonts w:ascii="Calibri" w:cs="Calibri" w:eastAsia="Calibri" w:hAnsi="Calibri"/>
          <w:color w:val="333A45"/>
          <w:sz w:val="21"/>
          <w:szCs w:val="21"/>
        </w:rPr>
        <w:t xml:space="preserve">Two consequences follow, and both are practical.</w:t>
      </w:r>
    </w:p>
    <w:p>
      <w:pPr>
        <w:spacing w:after="110"/>
      </w:pPr>
      <w:r>
        <w:rPr>
          <w:rFonts w:ascii="Calibri" w:cs="Calibri" w:eastAsia="Calibri" w:hAnsi="Calibri"/>
          <w:b/>
          <w:bCs/>
          <w:color w:val="333A45"/>
          <w:sz w:val="21"/>
          <w:szCs w:val="21"/>
        </w:rPr>
        <w:t xml:space="preserve">AI suppliers are usually data intermediaries.</w:t>
      </w:r>
      <w:r>
        <w:rPr>
          <w:rFonts w:ascii="Calibri" w:cs="Calibri" w:eastAsia="Calibri" w:hAnsi="Calibri"/>
          <w:color w:val="333A45"/>
          <w:sz w:val="21"/>
          <w:szCs w:val="21"/>
        </w:rPr>
        <w:t xml:space="preserve"> Handing personal data to an AI vendor does not hand over responsibility for it. [ORGANISATION] answers for what the vendor does with it.</w:t>
      </w:r>
    </w:p>
    <w:p>
      <w:pPr>
        <w:spacing w:after="110"/>
      </w:pPr>
      <w:r>
        <w:rPr>
          <w:rFonts w:ascii="Calibri" w:cs="Calibri" w:eastAsia="Calibri" w:hAnsi="Calibri"/>
          <w:b/>
          <w:bCs/>
          <w:color w:val="333A45"/>
          <w:sz w:val="21"/>
          <w:szCs w:val="21"/>
        </w:rPr>
        <w:t xml:space="preserve">[ORGANISATION] may itself be a data intermediary</w:t>
      </w:r>
      <w:r>
        <w:rPr>
          <w:rFonts w:ascii="Calibri" w:cs="Calibri" w:eastAsia="Calibri" w:hAnsi="Calibri"/>
          <w:color w:val="333A45"/>
          <w:sz w:val="21"/>
          <w:szCs w:val="21"/>
        </w:rPr>
        <w:t xml:space="preserve"> where it processes personal data for a client under contract. Where that is so, the client's instructions bind, and AI tools may not be introduced into that processing without the client's agreement.</w:t>
      </w:r>
    </w:p>
    <w:p>
      <w:pPr>
        <w:keepNext/>
        <w:pBdr>
          <w:bottom w:val="single" w:color="9DB9E8" w:sz="4" w:space="3"/>
        </w:pBdr>
        <w:spacing w:after="100" w:before="260"/>
      </w:pPr>
      <w:r>
        <w:rPr>
          <w:rFonts w:ascii="Calibri" w:cs="Calibri" w:eastAsia="Calibri" w:hAnsi="Calibri"/>
          <w:b/>
          <w:bCs/>
          <w:color w:val="2E5AAC"/>
          <w:sz w:val="26"/>
          <w:szCs w:val="26"/>
        </w:rPr>
        <w:t xml:space="preserve">3. Approved tools</w:t>
      </w:r>
    </w:p>
    <w:p>
      <w:pPr>
        <w:spacing w:after="110"/>
      </w:pPr>
      <w:r>
        <w:rPr>
          <w:rFonts w:ascii="Calibri" w:cs="Calibri" w:eastAsia="Calibri" w:hAnsi="Calibri"/>
          <w:color w:val="333A45"/>
          <w:sz w:val="21"/>
          <w:szCs w:val="21"/>
        </w:rPr>
        <w:t xml:space="preserve">3.1 Only AI tools on the [ORGANISATION] Approved AI Tools list may be used with [ORGANISATION] or personal data.</w:t>
      </w:r>
    </w:p>
    <w:p>
      <w:pPr>
        <w:spacing w:after="110"/>
      </w:pPr>
      <w:r>
        <w:rPr>
          <w:rFonts w:ascii="Calibri" w:cs="Calibri" w:eastAsia="Calibri" w:hAnsi="Calibri"/>
          <w:color w:val="333A45"/>
          <w:sz w:val="21"/>
          <w:szCs w:val="21"/>
        </w:rPr>
        <w:t xml:space="preserve">3.2 A tool is added to the list only after security and data protection review, and, where personal data is involved, on the basis of a </w:t>
      </w:r>
      <w:r>
        <w:rPr>
          <w:rFonts w:ascii="Calibri" w:cs="Calibri" w:eastAsia="Calibri" w:hAnsi="Calibri"/>
          <w:b/>
          <w:bCs/>
          <w:color w:val="333A45"/>
          <w:sz w:val="21"/>
          <w:szCs w:val="21"/>
        </w:rPr>
        <w:t xml:space="preserve">written contract</w:t>
      </w:r>
      <w:r>
        <w:rPr>
          <w:rFonts w:ascii="Calibri" w:cs="Calibri" w:eastAsia="Calibri" w:hAnsi="Calibri"/>
          <w:color w:val="333A45"/>
          <w:sz w:val="21"/>
          <w:szCs w:val="21"/>
        </w:rPr>
        <w:t xml:space="preserve"> with the supplier. The written contract is not a formality: the reduced obligations that apply to a data intermediary depend on the processing being carried out under a contract evidenced or made in writing. Without one, the supplier is not a data intermediary at all, and the arrangement is unsound from the first day.</w:t>
      </w:r>
    </w:p>
    <w:p>
      <w:pPr>
        <w:spacing w:after="110"/>
      </w:pPr>
      <w:r>
        <w:rPr>
          <w:rFonts w:ascii="Calibri" w:cs="Calibri" w:eastAsia="Calibri" w:hAnsi="Calibri"/>
          <w:color w:val="333A45"/>
          <w:sz w:val="21"/>
          <w:szCs w:val="21"/>
        </w:rPr>
        <w:t xml:space="preserve">3.3 Use of any tool not on the list - including free or personal-account versions of listed tools - is not permitted for [ORGANISATION] work or data.</w:t>
      </w:r>
    </w:p>
    <w:p>
      <w:pPr>
        <w:spacing w:after="110"/>
      </w:pPr>
      <w:r>
        <w:rPr>
          <w:rFonts w:ascii="Calibri" w:cs="Calibri" w:eastAsia="Calibri" w:hAnsi="Calibri"/>
          <w:color w:val="333A45"/>
          <w:sz w:val="21"/>
          <w:szCs w:val="21"/>
        </w:rPr>
        <w:t xml:space="preserve">3.4 Staff who need a tool that is not listed must request it through [FORM / CHANNEL]; requests are assessed within [N] business days.</w:t>
      </w:r>
    </w:p>
    <w:p>
      <w:pPr>
        <w:spacing w:after="110"/>
      </w:pPr>
      <w:r>
        <w:rPr>
          <w:rFonts w:ascii="Calibri" w:cs="Calibri" w:eastAsia="Calibri" w:hAnsi="Calibri"/>
          <w:color w:val="333A45"/>
          <w:sz w:val="21"/>
          <w:szCs w:val="21"/>
        </w:rPr>
        <w:t xml:space="preserve">3.5 Staff already using an unapproved tool must disclose this to the policy owner. Good-faith disclosure will not of itself be treated as a disciplinary matter. </w:t>
      </w:r>
      <w:r>
        <w:rPr>
          <w:rFonts w:ascii="Calibri" w:cs="Calibri" w:eastAsia="Calibri" w:hAnsi="Calibri"/>
          <w:b/>
          <w:bCs/>
          <w:color w:val="333A45"/>
          <w:sz w:val="21"/>
          <w:szCs w:val="21"/>
        </w:rPr>
        <w:t xml:space="preserve">Continuing to use it after reading this policy will be</w:t>
      </w:r>
      <w:r>
        <w:rPr>
          <w:rFonts w:ascii="Calibri" w:cs="Calibri" w:eastAsia="Calibri" w:hAnsi="Calibri"/>
          <w:color w:val="333A45"/>
          <w:sz w:val="21"/>
          <w:szCs w:val="21"/>
        </w:rPr>
        <w:t xml:space="preserve">, and may additionally engage Section 11.</w:t>
      </w:r>
    </w:p>
    <w:p>
      <w:pPr>
        <w:keepNext/>
        <w:pBdr>
          <w:bottom w:val="single" w:color="9DB9E8" w:sz="4" w:space="3"/>
        </w:pBdr>
        <w:spacing w:after="100" w:before="260"/>
      </w:pPr>
      <w:r>
        <w:rPr>
          <w:rFonts w:ascii="Calibri" w:cs="Calibri" w:eastAsia="Calibri" w:hAnsi="Calibri"/>
          <w:b/>
          <w:bCs/>
          <w:color w:val="2E5AAC"/>
          <w:sz w:val="26"/>
          <w:szCs w:val="26"/>
        </w:rPr>
        <w:t xml:space="preserve">4. What the law actually reaches</w:t>
      </w:r>
    </w:p>
    <w:p>
      <w:pPr>
        <w:spacing w:after="110"/>
      </w:pPr>
      <w:r>
        <w:rPr>
          <w:rFonts w:ascii="Calibri" w:cs="Calibri" w:eastAsia="Calibri" w:hAnsi="Calibri"/>
          <w:b/>
          <w:bCs/>
          <w:color w:val="333A45"/>
          <w:sz w:val="21"/>
          <w:szCs w:val="21"/>
        </w:rPr>
        <w:t xml:space="preserve">Read this section before Section 5.</w:t>
      </w:r>
    </w:p>
    <w:p>
      <w:pPr>
        <w:spacing w:after="110"/>
      </w:pPr>
      <w:r>
        <w:rPr>
          <w:rFonts w:ascii="Calibri" w:cs="Calibri" w:eastAsia="Calibri" w:hAnsi="Calibri"/>
          <w:color w:val="333A45"/>
          <w:sz w:val="21"/>
          <w:szCs w:val="21"/>
        </w:rPr>
        <w:t xml:space="preserve">There is no AI-specific licence, registration, conformity assessment or classification requirement in Singapore personal data protection law. A team looking for one will not find it, and may wrongly conclude that AI use is unregulated. It is not. It is regulated through the personal data obligations, which apply in full to AI systems because AI systems handle personal data.</w:t>
      </w:r>
    </w:p>
    <w:p>
      <w:pPr>
        <w:keepNext/>
        <w:spacing w:after="80" w:before="200"/>
      </w:pPr>
      <w:r>
        <w:rPr>
          <w:rFonts w:ascii="Calibri" w:cs="Calibri" w:eastAsia="Calibri" w:hAnsi="Calibri"/>
          <w:b/>
          <w:bCs/>
          <w:color w:val="1F3864"/>
          <w:sz w:val="22"/>
          <w:szCs w:val="22"/>
        </w:rPr>
        <w:t xml:space="preserve">4.1 What binds an AI use today</w:t>
      </w:r>
    </w:p>
    <w:p>
      <w:pPr>
        <w:pStyle w:val="ListParagraph"/>
        <w:numPr>
          <w:ilvl w:val="0"/>
          <w:numId w:val="2"/>
        </w:numPr>
        <w:spacing w:after="70"/>
      </w:pPr>
      <w:r>
        <w:rPr>
          <w:rFonts w:ascii="Calibri" w:cs="Calibri" w:eastAsia="Calibri" w:hAnsi="Calibri"/>
          <w:b/>
          <w:bCs/>
          <w:color w:val="333A45"/>
          <w:sz w:val="21"/>
          <w:szCs w:val="21"/>
        </w:rPr>
        <w:t xml:space="preserve">Consent, or a lawful basis in place of it.</w:t>
      </w:r>
      <w:r>
        <w:rPr>
          <w:rFonts w:ascii="Calibri" w:cs="Calibri" w:eastAsia="Calibri" w:hAnsi="Calibri"/>
          <w:color w:val="333A45"/>
          <w:sz w:val="21"/>
          <w:szCs w:val="21"/>
        </w:rPr>
        <w:t xml:space="preserve"> Personal data may not be collected, used or disclosed without consent unless the law permits it without consent. Section 7 sets out the bases [ORGANISATION] may rely on and what each one requires.</w:t>
      </w:r>
    </w:p>
    <w:p>
      <w:pPr>
        <w:pStyle w:val="ListParagraph"/>
        <w:numPr>
          <w:ilvl w:val="0"/>
          <w:numId w:val="2"/>
        </w:numPr>
        <w:spacing w:after="70"/>
      </w:pPr>
      <w:r>
        <w:rPr>
          <w:rFonts w:ascii="Calibri" w:cs="Calibri" w:eastAsia="Calibri" w:hAnsi="Calibri"/>
          <w:b/>
          <w:bCs/>
          <w:color w:val="333A45"/>
          <w:sz w:val="21"/>
          <w:szCs w:val="21"/>
        </w:rPr>
        <w:t xml:space="preserve">Purpose limitation.</w:t>
      </w:r>
      <w:r>
        <w:rPr>
          <w:rFonts w:ascii="Calibri" w:cs="Calibri" w:eastAsia="Calibri" w:hAnsi="Calibri"/>
          <w:color w:val="333A45"/>
          <w:sz w:val="21"/>
          <w:szCs w:val="21"/>
        </w:rPr>
        <w:t xml:space="preserve"> Data may be used only for purposes a reasonable person would consider appropriate, and of which the individual was informed where that applies. Feeding data collected for one purpose into an AI system serving another is the most frequent failure in this area.</w:t>
      </w:r>
    </w:p>
    <w:p>
      <w:pPr>
        <w:pStyle w:val="ListParagraph"/>
        <w:numPr>
          <w:ilvl w:val="0"/>
          <w:numId w:val="2"/>
        </w:numPr>
        <w:spacing w:after="70"/>
      </w:pPr>
      <w:r>
        <w:rPr>
          <w:rFonts w:ascii="Calibri" w:cs="Calibri" w:eastAsia="Calibri" w:hAnsi="Calibri"/>
          <w:b/>
          <w:bCs/>
          <w:color w:val="333A45"/>
          <w:sz w:val="21"/>
          <w:szCs w:val="21"/>
        </w:rPr>
        <w:t xml:space="preserve">Notification of purpose.</w:t>
      </w:r>
      <w:r>
        <w:rPr>
          <w:rFonts w:ascii="Calibri" w:cs="Calibri" w:eastAsia="Calibri" w:hAnsi="Calibri"/>
          <w:color w:val="333A45"/>
          <w:sz w:val="21"/>
          <w:szCs w:val="21"/>
        </w:rPr>
        <w:t xml:space="preserve"> Individuals must be told what their data will be used for, at or before collection, and told again before any new purpose.</w:t>
      </w:r>
    </w:p>
    <w:p>
      <w:pPr>
        <w:pStyle w:val="ListParagraph"/>
        <w:numPr>
          <w:ilvl w:val="0"/>
          <w:numId w:val="2"/>
        </w:numPr>
        <w:spacing w:after="70"/>
      </w:pPr>
      <w:r>
        <w:rPr>
          <w:rFonts w:ascii="Calibri" w:cs="Calibri" w:eastAsia="Calibri" w:hAnsi="Calibri"/>
          <w:b/>
          <w:bCs/>
          <w:color w:val="333A45"/>
          <w:sz w:val="21"/>
          <w:szCs w:val="21"/>
        </w:rPr>
        <w:t xml:space="preserve">Accuracy.</w:t>
      </w:r>
      <w:r>
        <w:rPr>
          <w:rFonts w:ascii="Calibri" w:cs="Calibri" w:eastAsia="Calibri" w:hAnsi="Calibri"/>
          <w:color w:val="333A45"/>
          <w:sz w:val="21"/>
          <w:szCs w:val="21"/>
        </w:rPr>
        <w:t xml:space="preserve"> Where personal data is likely to be used to make a decision affecting the individual, or to be disclosed to another organisation, the organisation must make a reasonable effort to ensure it is accurate and complete. This obligation applies to AI-assisted decisions with full force (Section 9).</w:t>
      </w:r>
    </w:p>
    <w:p>
      <w:pPr>
        <w:pStyle w:val="ListParagraph"/>
        <w:numPr>
          <w:ilvl w:val="0"/>
          <w:numId w:val="2"/>
        </w:numPr>
        <w:spacing w:after="70"/>
      </w:pPr>
      <w:r>
        <w:rPr>
          <w:rFonts w:ascii="Calibri" w:cs="Calibri" w:eastAsia="Calibri" w:hAnsi="Calibri"/>
          <w:b/>
          <w:bCs/>
          <w:color w:val="333A45"/>
          <w:sz w:val="21"/>
          <w:szCs w:val="21"/>
        </w:rPr>
        <w:t xml:space="preserve">Protection.</w:t>
      </w:r>
      <w:r>
        <w:rPr>
          <w:rFonts w:ascii="Calibri" w:cs="Calibri" w:eastAsia="Calibri" w:hAnsi="Calibri"/>
          <w:color w:val="333A45"/>
          <w:sz w:val="21"/>
          <w:szCs w:val="21"/>
        </w:rPr>
        <w:t xml:space="preserve"> Reasonable security arrangements against unauthorised access, use, disclosure, copying, modification or disposal, and against loss of the medium.</w:t>
      </w:r>
    </w:p>
    <w:p>
      <w:pPr>
        <w:pStyle w:val="ListParagraph"/>
        <w:numPr>
          <w:ilvl w:val="0"/>
          <w:numId w:val="2"/>
        </w:numPr>
        <w:spacing w:after="70"/>
      </w:pPr>
      <w:r>
        <w:rPr>
          <w:rFonts w:ascii="Calibri" w:cs="Calibri" w:eastAsia="Calibri" w:hAnsi="Calibri"/>
          <w:b/>
          <w:bCs/>
          <w:color w:val="333A45"/>
          <w:sz w:val="21"/>
          <w:szCs w:val="21"/>
        </w:rPr>
        <w:t xml:space="preserve">Retention.</w:t>
      </w:r>
      <w:r>
        <w:rPr>
          <w:rFonts w:ascii="Calibri" w:cs="Calibri" w:eastAsia="Calibri" w:hAnsi="Calibri"/>
          <w:color w:val="333A45"/>
          <w:sz w:val="21"/>
          <w:szCs w:val="21"/>
        </w:rPr>
        <w:t xml:space="preserve"> Data must cease to be retained, or be de-identified, once the purpose is served and no legal or business need remains. Prompts, uploads, embeddings, caches and logs are within this (Section 13).</w:t>
      </w:r>
    </w:p>
    <w:p>
      <w:pPr>
        <w:pStyle w:val="ListParagraph"/>
        <w:numPr>
          <w:ilvl w:val="0"/>
          <w:numId w:val="2"/>
        </w:numPr>
        <w:spacing w:after="70"/>
      </w:pPr>
      <w:r>
        <w:rPr>
          <w:rFonts w:ascii="Calibri" w:cs="Calibri" w:eastAsia="Calibri" w:hAnsi="Calibri"/>
          <w:b/>
          <w:bCs/>
          <w:color w:val="333A45"/>
          <w:sz w:val="21"/>
          <w:szCs w:val="21"/>
        </w:rPr>
        <w:t xml:space="preserve">Transfer outside Singapore</w:t>
      </w:r>
      <w:r>
        <w:rPr>
          <w:rFonts w:ascii="Calibri" w:cs="Calibri" w:eastAsia="Calibri" w:hAnsi="Calibri"/>
          <w:color w:val="333A45"/>
          <w:sz w:val="21"/>
          <w:szCs w:val="21"/>
        </w:rPr>
        <w:t xml:space="preserve">, only on the prescribed basis (Section 8).</w:t>
      </w:r>
    </w:p>
    <w:p>
      <w:pPr>
        <w:pStyle w:val="ListParagraph"/>
        <w:numPr>
          <w:ilvl w:val="0"/>
          <w:numId w:val="2"/>
        </w:numPr>
        <w:spacing w:after="70"/>
      </w:pPr>
      <w:r>
        <w:rPr>
          <w:rFonts w:ascii="Calibri" w:cs="Calibri" w:eastAsia="Calibri" w:hAnsi="Calibri"/>
          <w:b/>
          <w:bCs/>
          <w:color w:val="333A45"/>
          <w:sz w:val="21"/>
          <w:szCs w:val="21"/>
        </w:rPr>
        <w:t xml:space="preserve">Access and correction</w:t>
      </w:r>
      <w:r>
        <w:rPr>
          <w:rFonts w:ascii="Calibri" w:cs="Calibri" w:eastAsia="Calibri" w:hAnsi="Calibri"/>
          <w:color w:val="333A45"/>
          <w:sz w:val="21"/>
          <w:szCs w:val="21"/>
        </w:rPr>
        <w:t xml:space="preserve"> on request (Section 17).</w:t>
      </w:r>
    </w:p>
    <w:p>
      <w:pPr>
        <w:pStyle w:val="ListParagraph"/>
        <w:numPr>
          <w:ilvl w:val="0"/>
          <w:numId w:val="2"/>
        </w:numPr>
        <w:spacing w:after="70"/>
      </w:pPr>
      <w:r>
        <w:rPr>
          <w:rFonts w:ascii="Calibri" w:cs="Calibri" w:eastAsia="Calibri" w:hAnsi="Calibri"/>
          <w:b/>
          <w:bCs/>
          <w:color w:val="333A45"/>
          <w:sz w:val="21"/>
          <w:szCs w:val="21"/>
        </w:rPr>
        <w:t xml:space="preserve">Breach assessment and notification</w:t>
      </w:r>
      <w:r>
        <w:rPr>
          <w:rFonts w:ascii="Calibri" w:cs="Calibri" w:eastAsia="Calibri" w:hAnsi="Calibri"/>
          <w:color w:val="333A45"/>
          <w:sz w:val="21"/>
          <w:szCs w:val="21"/>
        </w:rPr>
        <w:t xml:space="preserve"> (Section 16).</w:t>
      </w:r>
    </w:p>
    <w:p>
      <w:pPr>
        <w:pStyle w:val="ListParagraph"/>
        <w:numPr>
          <w:ilvl w:val="0"/>
          <w:numId w:val="2"/>
        </w:numPr>
        <w:spacing w:after="70"/>
      </w:pPr>
      <w:r>
        <w:rPr>
          <w:rFonts w:ascii="Calibri" w:cs="Calibri" w:eastAsia="Calibri" w:hAnsi="Calibri"/>
          <w:b/>
          <w:bCs/>
          <w:color w:val="333A45"/>
          <w:sz w:val="21"/>
          <w:szCs w:val="21"/>
        </w:rPr>
        <w:t xml:space="preserve">A designated individual responsible for compliance</w:t>
      </w:r>
      <w:r>
        <w:rPr>
          <w:rFonts w:ascii="Calibri" w:cs="Calibri" w:eastAsia="Calibri" w:hAnsi="Calibri"/>
          <w:color w:val="333A45"/>
          <w:sz w:val="21"/>
          <w:szCs w:val="21"/>
        </w:rPr>
        <w:t xml:space="preserve">, whose business contact information is publicly available.</w:t>
      </w:r>
    </w:p>
    <w:p>
      <w:pPr>
        <w:keepNext/>
        <w:spacing w:after="80" w:before="200"/>
      </w:pPr>
      <w:r>
        <w:rPr>
          <w:rFonts w:ascii="Calibri" w:cs="Calibri" w:eastAsia="Calibri" w:hAnsi="Calibri"/>
          <w:b/>
          <w:bCs/>
          <w:color w:val="1F3864"/>
          <w:sz w:val="22"/>
          <w:szCs w:val="22"/>
        </w:rPr>
        <w:t xml:space="preserve">4.2 What the law does not give</w:t>
      </w:r>
    </w:p>
    <w:p>
      <w:pPr>
        <w:spacing w:after="110"/>
      </w:pPr>
      <w:r>
        <w:rPr>
          <w:rFonts w:ascii="Calibri" w:cs="Calibri" w:eastAsia="Calibri" w:hAnsi="Calibri"/>
          <w:color w:val="333A45"/>
          <w:sz w:val="21"/>
          <w:szCs w:val="21"/>
        </w:rPr>
        <w:t xml:space="preserve">Stating this plainly avoids two opposite mistakes - assuming protections that do not exist, and assuming that their absence means nothing applies.</w:t>
      </w:r>
    </w:p>
    <w:p>
      <w:pPr>
        <w:pStyle w:val="ListParagraph"/>
        <w:numPr>
          <w:ilvl w:val="0"/>
          <w:numId w:val="2"/>
        </w:numPr>
        <w:spacing w:after="70"/>
      </w:pPr>
      <w:r>
        <w:rPr>
          <w:rFonts w:ascii="Calibri" w:cs="Calibri" w:eastAsia="Calibri" w:hAnsi="Calibri"/>
          <w:b/>
          <w:bCs/>
          <w:color w:val="333A45"/>
          <w:sz w:val="21"/>
          <w:szCs w:val="21"/>
        </w:rPr>
        <w:t xml:space="preserve">There is no general right not to be subject to an automated decision</w:t>
      </w:r>
      <w:r>
        <w:rPr>
          <w:rFonts w:ascii="Calibri" w:cs="Calibri" w:eastAsia="Calibri" w:hAnsi="Calibri"/>
          <w:color w:val="333A45"/>
          <w:sz w:val="21"/>
          <w:szCs w:val="21"/>
        </w:rPr>
        <w:t xml:space="preserve">, and no statutory right to an explanation of one. [ORGANISATION] nonetheless imposes the requirements in Section 10 as a house standard, because the accuracy obligation and the reasonable-person standard cannot be met by a process nobody can account for.</w:t>
      </w:r>
    </w:p>
    <w:p>
      <w:pPr>
        <w:pStyle w:val="ListParagraph"/>
        <w:numPr>
          <w:ilvl w:val="0"/>
          <w:numId w:val="2"/>
        </w:numPr>
        <w:spacing w:after="70"/>
      </w:pPr>
      <w:r>
        <w:rPr>
          <w:rFonts w:ascii="Calibri" w:cs="Calibri" w:eastAsia="Calibri" w:hAnsi="Calibri"/>
          <w:b/>
          <w:bCs/>
          <w:color w:val="333A45"/>
          <w:sz w:val="21"/>
          <w:szCs w:val="21"/>
        </w:rPr>
        <w:t xml:space="preserve">There is no prohibited-practice list.</w:t>
      </w:r>
      <w:r>
        <w:rPr>
          <w:rFonts w:ascii="Calibri" w:cs="Calibri" w:eastAsia="Calibri" w:hAnsi="Calibri"/>
          <w:color w:val="333A45"/>
          <w:sz w:val="21"/>
          <w:szCs w:val="21"/>
        </w:rPr>
        <w:t xml:space="preserve"> Section 6 is therefore a policy prohibition, not a statutory one, and is labelled as such.</w:t>
      </w:r>
    </w:p>
    <w:p>
      <w:pPr>
        <w:pStyle w:val="ListParagraph"/>
        <w:numPr>
          <w:ilvl w:val="0"/>
          <w:numId w:val="2"/>
        </w:numPr>
        <w:spacing w:after="70"/>
      </w:pPr>
      <w:r>
        <w:rPr>
          <w:rFonts w:ascii="Calibri" w:cs="Calibri" w:eastAsia="Calibri" w:hAnsi="Calibri"/>
          <w:b/>
          <w:bCs/>
          <w:color w:val="333A45"/>
          <w:sz w:val="21"/>
          <w:szCs w:val="21"/>
        </w:rPr>
        <w:t xml:space="preserve">There is no special category of sensitive personal data</w:t>
      </w:r>
      <w:r>
        <w:rPr>
          <w:rFonts w:ascii="Calibri" w:cs="Calibri" w:eastAsia="Calibri" w:hAnsi="Calibri"/>
          <w:color w:val="333A45"/>
          <w:sz w:val="21"/>
          <w:szCs w:val="21"/>
        </w:rPr>
        <w:t xml:space="preserve"> carrying its own heightened rules across the Act. Sensitivity instead enters through the reasonable-person standard, through the assessments in Section 7, and through the breach thresholds in Section 16. [ORGANISATION] treats the categories listed at 7.5 as high-sensitivity as a matter of policy.</w:t>
      </w:r>
    </w:p>
    <w:p>
      <w:pPr>
        <w:pStyle w:val="ListParagraph"/>
        <w:numPr>
          <w:ilvl w:val="0"/>
          <w:numId w:val="2"/>
        </w:numPr>
        <w:spacing w:after="70"/>
      </w:pPr>
      <w:r>
        <w:rPr>
          <w:rFonts w:ascii="Calibri" w:cs="Calibri" w:eastAsia="Calibri" w:hAnsi="Calibri"/>
          <w:b/>
          <w:bCs/>
          <w:color w:val="333A45"/>
          <w:sz w:val="21"/>
          <w:szCs w:val="21"/>
        </w:rPr>
        <w:t xml:space="preserve">A data portability obligation is referred to in the law but its provisions are not yet in the statute.</w:t>
      </w:r>
      <w:r>
        <w:rPr>
          <w:rFonts w:ascii="Calibri" w:cs="Calibri" w:eastAsia="Calibri" w:hAnsi="Calibri"/>
          <w:color w:val="333A45"/>
          <w:sz w:val="21"/>
          <w:szCs w:val="21"/>
        </w:rPr>
        <w:t xml:space="preserve"> [ORGANISATION] does not build against it, and does not assume it will never arrive: it is tracked under the annex.</w:t>
      </w:r>
    </w:p>
    <w:p>
      <w:pPr>
        <w:keepNext/>
        <w:spacing w:after="80" w:before="200"/>
      </w:pPr>
      <w:r>
        <w:rPr>
          <w:rFonts w:ascii="Calibri" w:cs="Calibri" w:eastAsia="Calibri" w:hAnsi="Calibri"/>
          <w:b/>
          <w:bCs/>
          <w:color w:val="1F3864"/>
          <w:sz w:val="22"/>
          <w:szCs w:val="22"/>
        </w:rPr>
        <w:t xml:space="preserve">4.3 Regulator guidance</w:t>
      </w:r>
    </w:p>
    <w:p>
      <w:pPr>
        <w:spacing w:after="110"/>
      </w:pPr>
      <w:r>
        <w:rPr>
          <w:rFonts w:ascii="Calibri" w:cs="Calibri" w:eastAsia="Calibri" w:hAnsi="Calibri"/>
          <w:color w:val="333A45"/>
          <w:sz w:val="21"/>
          <w:szCs w:val="21"/>
        </w:rPr>
        <w:t xml:space="preserve">The Commission may issue written advisory guidelines stating how it will interpret the law. Guidelines are not the statute, and this policy does not assert their content. Where guidance exists on a matter this policy covers, the data protection lead records it and assesses whether the policy needs to change. Guidance the organisation has not read is not a defence, and guidance is also not a substitute for the statute.</w:t>
      </w:r>
    </w:p>
    <w:p>
      <w:pPr>
        <w:keepNext/>
        <w:pBdr>
          <w:bottom w:val="single" w:color="9DB9E8" w:sz="4" w:space="3"/>
        </w:pBdr>
        <w:spacing w:after="100" w:before="260"/>
      </w:pPr>
      <w:r>
        <w:rPr>
          <w:rFonts w:ascii="Calibri" w:cs="Calibri" w:eastAsia="Calibri" w:hAnsi="Calibri"/>
          <w:b/>
          <w:bCs/>
          <w:color w:val="2E5AAC"/>
          <w:sz w:val="26"/>
          <w:szCs w:val="26"/>
        </w:rPr>
        <w:t xml:space="preserve">5. Levels of use</w:t>
      </w:r>
    </w:p>
    <w:p>
      <w:pPr>
        <w:spacing w:after="110"/>
      </w:pPr>
      <w:r>
        <w:rPr>
          <w:rFonts w:ascii="Calibri" w:cs="Calibri" w:eastAsia="Calibri" w:hAnsi="Calibri"/>
          <w:color w:val="333A45"/>
          <w:sz w:val="21"/>
          <w:szCs w:val="21"/>
        </w:rPr>
        <w:t xml:space="preserve">Every AI use falls into one of four levels. The level sets the controls.</w:t>
      </w:r>
    </w:p>
    <w:p>
      <w:pPr>
        <w:spacing w:after="110"/>
      </w:pPr>
      <w:r>
        <w:rPr>
          <w:rFonts w:ascii="Calibri" w:cs="Calibri" w:eastAsia="Calibri" w:hAnsi="Calibri"/>
          <w:b/>
          <w:bCs/>
          <w:color w:val="333A45"/>
          <w:sz w:val="21"/>
          <w:szCs w:val="21"/>
        </w:rPr>
        <w:t xml:space="preserve">Level 1 - Open.</w:t>
      </w:r>
      <w:r>
        <w:rPr>
          <w:rFonts w:ascii="Calibri" w:cs="Calibri" w:eastAsia="Calibri" w:hAnsi="Calibri"/>
          <w:color w:val="333A45"/>
          <w:sz w:val="21"/>
          <w:szCs w:val="21"/>
        </w:rPr>
        <w:t xml:space="preserve"> No [ORGANISATION] confidential information and no personal data. Drafting from public material, general research, learning to use a tool. Approved tools only.</w:t>
      </w:r>
    </w:p>
    <w:p>
      <w:pPr>
        <w:spacing w:after="110"/>
      </w:pPr>
      <w:r>
        <w:rPr>
          <w:rFonts w:ascii="Calibri" w:cs="Calibri" w:eastAsia="Calibri" w:hAnsi="Calibri"/>
          <w:b/>
          <w:bCs/>
          <w:color w:val="333A45"/>
          <w:sz w:val="21"/>
          <w:szCs w:val="21"/>
        </w:rPr>
        <w:t xml:space="preserve">Level 2 - Internal.</w:t>
      </w:r>
      <w:r>
        <w:rPr>
          <w:rFonts w:ascii="Calibri" w:cs="Calibri" w:eastAsia="Calibri" w:hAnsi="Calibri"/>
          <w:color w:val="333A45"/>
          <w:sz w:val="21"/>
          <w:szCs w:val="21"/>
        </w:rPr>
        <w:t xml:space="preserve"> Internal non-personal information: documentation, code without secrets, internal processes. Approved tools with a written contract only.</w:t>
      </w:r>
    </w:p>
    <w:p>
      <w:pPr>
        <w:spacing w:after="110"/>
      </w:pPr>
      <w:r>
        <w:rPr>
          <w:rFonts w:ascii="Calibri" w:cs="Calibri" w:eastAsia="Calibri" w:hAnsi="Calibri"/>
          <w:b/>
          <w:bCs/>
          <w:color w:val="333A45"/>
          <w:sz w:val="21"/>
          <w:szCs w:val="21"/>
        </w:rPr>
        <w:t xml:space="preserve">Level 3 - Personal data.</w:t>
      </w:r>
      <w:r>
        <w:rPr>
          <w:rFonts w:ascii="Calibri" w:cs="Calibri" w:eastAsia="Calibri" w:hAnsi="Calibri"/>
          <w:color w:val="333A45"/>
          <w:sz w:val="21"/>
          <w:szCs w:val="21"/>
        </w:rPr>
        <w:t xml:space="preserve"> Any personal data about customers, staff, candidates or any other individual. Requires an approved tool, a written contract, a recorded lawful basis, and the assessment at 7.4 where the basis requires one. Registered in the AI system inventory.</w:t>
      </w:r>
    </w:p>
    <w:p>
      <w:pPr>
        <w:spacing w:after="110"/>
      </w:pPr>
      <w:r>
        <w:rPr>
          <w:rFonts w:ascii="Calibri" w:cs="Calibri" w:eastAsia="Calibri" w:hAnsi="Calibri"/>
          <w:b/>
          <w:bCs/>
          <w:color w:val="333A45"/>
          <w:sz w:val="21"/>
          <w:szCs w:val="21"/>
        </w:rPr>
        <w:t xml:space="preserve">Level 4 - Consequential.</w:t>
      </w:r>
      <w:r>
        <w:rPr>
          <w:rFonts w:ascii="Calibri" w:cs="Calibri" w:eastAsia="Calibri" w:hAnsi="Calibri"/>
          <w:color w:val="333A45"/>
          <w:sz w:val="21"/>
          <w:szCs w:val="21"/>
        </w:rPr>
        <w:t xml:space="preserve"> AI output that materially informs a decision about a person - hiring, promotion, discipline, credit, pricing, eligibility, access to a service, or any decision with a legal or similarly significant effect. Requires everything at Level 3, plus the controls in Section 10 and approval by the AI Governance Committee.</w:t>
      </w:r>
    </w:p>
    <w:p>
      <w:pPr>
        <w:spacing w:after="110"/>
      </w:pPr>
      <w:r>
        <w:rPr>
          <w:rFonts w:ascii="Calibri" w:cs="Calibri" w:eastAsia="Calibri" w:hAnsi="Calibri"/>
          <w:color w:val="333A45"/>
          <w:sz w:val="21"/>
          <w:szCs w:val="21"/>
        </w:rPr>
        <w:t xml:space="preserve">Where a use sits between two levels, the higher level applies.</w:t>
      </w:r>
    </w:p>
    <w:p>
      <w:pPr>
        <w:keepNext/>
        <w:pBdr>
          <w:bottom w:val="single" w:color="9DB9E8" w:sz="4" w:space="3"/>
        </w:pBdr>
        <w:spacing w:after="100" w:before="260"/>
      </w:pPr>
      <w:r>
        <w:rPr>
          <w:rFonts w:ascii="Calibri" w:cs="Calibri" w:eastAsia="Calibri" w:hAnsi="Calibri"/>
          <w:b/>
          <w:bCs/>
          <w:color w:val="2E5AAC"/>
          <w:sz w:val="26"/>
          <w:szCs w:val="26"/>
        </w:rPr>
        <w:t xml:space="preserve">6. Prohibited by [ORGANISATION]</w:t>
      </w:r>
    </w:p>
    <w:p>
      <w:pPr>
        <w:spacing w:after="110"/>
      </w:pPr>
      <w:r>
        <w:rPr>
          <w:rFonts w:ascii="Calibri" w:cs="Calibri" w:eastAsia="Calibri" w:hAnsi="Calibri"/>
          <w:color w:val="333A45"/>
          <w:sz w:val="21"/>
          <w:szCs w:val="21"/>
        </w:rPr>
        <w:t xml:space="preserve">These are policy prohibitions. Singapore personal data protection law contains no list of prohibited AI practices, and this section does not claim otherwise. [ORGANISATION] imposes them because each carries risk that the organisation is not prepared to accept and, in several cases, because the underlying conduct would in any event breach an obligation in Section 4.</w:t>
      </w:r>
    </w:p>
    <w:p>
      <w:pPr>
        <w:spacing w:after="110"/>
      </w:pPr>
      <w:r>
        <w:rPr>
          <w:rFonts w:ascii="Calibri" w:cs="Calibri" w:eastAsia="Calibri" w:hAnsi="Calibri"/>
          <w:color w:val="333A45"/>
          <w:sz w:val="21"/>
          <w:szCs w:val="21"/>
        </w:rPr>
        <w:t xml:space="preserve">6.1 Entering customer, employee or candidate personal data into any tool not on the approved list.</w:t>
      </w:r>
    </w:p>
    <w:p>
      <w:pPr>
        <w:spacing w:after="110"/>
      </w:pPr>
      <w:r>
        <w:rPr>
          <w:rFonts w:ascii="Calibri" w:cs="Calibri" w:eastAsia="Calibri" w:hAnsi="Calibri"/>
          <w:color w:val="333A45"/>
          <w:sz w:val="21"/>
          <w:szCs w:val="21"/>
        </w:rPr>
        <w:t xml:space="preserve">6.2 Entering credentials, keys, secrets, or security configuration into any AI tool.</w:t>
      </w:r>
    </w:p>
    <w:p>
      <w:pPr>
        <w:spacing w:after="110"/>
      </w:pPr>
      <w:r>
        <w:rPr>
          <w:rFonts w:ascii="Calibri" w:cs="Calibri" w:eastAsia="Calibri" w:hAnsi="Calibri"/>
          <w:color w:val="333A45"/>
          <w:sz w:val="21"/>
          <w:szCs w:val="21"/>
        </w:rPr>
        <w:t xml:space="preserve">6.3 Using AI output as the sole basis for a Level 4 decision, without the human determination required by Section 10.</w:t>
      </w:r>
    </w:p>
    <w:p>
      <w:pPr>
        <w:spacing w:after="110"/>
      </w:pPr>
      <w:r>
        <w:rPr>
          <w:rFonts w:ascii="Calibri" w:cs="Calibri" w:eastAsia="Calibri" w:hAnsi="Calibri"/>
          <w:color w:val="333A45"/>
          <w:sz w:val="21"/>
          <w:szCs w:val="21"/>
        </w:rPr>
        <w:t xml:space="preserve">6.4 Using AI to generate content presented as the work of a named individual without that person's agreement, or to imitate a real person's voice, likeness or signature.</w:t>
      </w:r>
    </w:p>
    <w:p>
      <w:pPr>
        <w:spacing w:after="110"/>
      </w:pPr>
      <w:r>
        <w:rPr>
          <w:rFonts w:ascii="Calibri" w:cs="Calibri" w:eastAsia="Calibri" w:hAnsi="Calibri"/>
          <w:color w:val="333A45"/>
          <w:sz w:val="21"/>
          <w:szCs w:val="21"/>
        </w:rPr>
        <w:t xml:space="preserve">6.5 Re-identifying, or attempting to re-identify, anonymised information without written authorisation. </w:t>
      </w:r>
      <w:r>
        <w:rPr>
          <w:rFonts w:ascii="Calibri" w:cs="Calibri" w:eastAsia="Calibri" w:hAnsi="Calibri"/>
          <w:b/>
          <w:bCs/>
          <w:color w:val="333A45"/>
          <w:sz w:val="21"/>
          <w:szCs w:val="21"/>
        </w:rPr>
        <w:t xml:space="preserve">This one is also an offence</w:t>
      </w:r>
      <w:r>
        <w:rPr>
          <w:rFonts w:ascii="Calibri" w:cs="Calibri" w:eastAsia="Calibri" w:hAnsi="Calibri"/>
          <w:color w:val="333A45"/>
          <w:sz w:val="21"/>
          <w:szCs w:val="21"/>
        </w:rPr>
        <w:t xml:space="preserve"> - see Section 12.</w:t>
      </w:r>
    </w:p>
    <w:p>
      <w:pPr>
        <w:spacing w:after="110"/>
      </w:pPr>
      <w:r>
        <w:rPr>
          <w:rFonts w:ascii="Calibri" w:cs="Calibri" w:eastAsia="Calibri" w:hAnsi="Calibri"/>
          <w:color w:val="333A45"/>
          <w:sz w:val="21"/>
          <w:szCs w:val="21"/>
        </w:rPr>
        <w:t xml:space="preserve">6.6 Using AI to covertly monitor, profile or score employees.</w:t>
      </w:r>
    </w:p>
    <w:p>
      <w:pPr>
        <w:spacing w:after="110"/>
      </w:pPr>
      <w:r>
        <w:rPr>
          <w:rFonts w:ascii="Calibri" w:cs="Calibri" w:eastAsia="Calibri" w:hAnsi="Calibri"/>
          <w:color w:val="333A45"/>
          <w:sz w:val="21"/>
          <w:szCs w:val="21"/>
        </w:rPr>
        <w:t xml:space="preserve">6.7 Bypassing, disabling or circumventing a control in this policy, including tool-blocking, logging, or data loss prevention.</w:t>
      </w:r>
    </w:p>
    <w:p>
      <w:pPr>
        <w:spacing w:after="110"/>
      </w:pPr>
      <w:r>
        <w:rPr>
          <w:rFonts w:ascii="Calibri" w:cs="Calibri" w:eastAsia="Calibri" w:hAnsi="Calibri"/>
          <w:color w:val="333A45"/>
          <w:sz w:val="21"/>
          <w:szCs w:val="21"/>
        </w:rPr>
        <w:t xml:space="preserve">6.8 Using AI to produce material that is unlawful, defamatory, harassing, or discriminatory.</w:t>
      </w:r>
    </w:p>
    <w:p>
      <w:pPr>
        <w:spacing w:after="110"/>
      </w:pPr>
      <w:r>
        <w:rPr>
          <w:rFonts w:ascii="Calibri" w:cs="Calibri" w:eastAsia="Calibri" w:hAnsi="Calibri"/>
          <w:color w:val="333A45"/>
          <w:sz w:val="21"/>
          <w:szCs w:val="21"/>
        </w:rPr>
        <w:t xml:space="preserve">No exception may be granted against 6.5 or 6.7.</w:t>
      </w:r>
    </w:p>
    <w:p>
      <w:pPr>
        <w:keepNext/>
        <w:pBdr>
          <w:bottom w:val="single" w:color="9DB9E8" w:sz="4" w:space="3"/>
        </w:pBdr>
        <w:spacing w:after="100" w:before="260"/>
      </w:pPr>
      <w:r>
        <w:rPr>
          <w:rFonts w:ascii="Calibri" w:cs="Calibri" w:eastAsia="Calibri" w:hAnsi="Calibri"/>
          <w:b/>
          <w:bCs/>
          <w:color w:val="2E5AAC"/>
          <w:sz w:val="26"/>
          <w:szCs w:val="26"/>
        </w:rPr>
        <w:t xml:space="preserve">7. Personal data</w:t>
      </w:r>
    </w:p>
    <w:p>
      <w:pPr>
        <w:spacing w:after="110"/>
      </w:pPr>
      <w:r>
        <w:rPr>
          <w:rFonts w:ascii="Calibri" w:cs="Calibri" w:eastAsia="Calibri" w:hAnsi="Calibri"/>
          <w:color w:val="333A45"/>
          <w:sz w:val="21"/>
          <w:szCs w:val="21"/>
        </w:rPr>
        <w:t xml:space="preserve">7.1 Personal data may be put into an AI tool only at Level 3 or Level 4, only with an approved tool, and only where a lawful basis has been identified </w:t>
      </w:r>
      <w:r>
        <w:rPr>
          <w:rFonts w:ascii="Calibri" w:cs="Calibri" w:eastAsia="Calibri" w:hAnsi="Calibri"/>
          <w:b/>
          <w:bCs/>
          <w:color w:val="333A45"/>
          <w:sz w:val="21"/>
          <w:szCs w:val="21"/>
        </w:rPr>
        <w:t xml:space="preserve">and recorded before the processing starts</w:t>
      </w:r>
      <w:r>
        <w:rPr>
          <w:rFonts w:ascii="Calibri" w:cs="Calibri" w:eastAsia="Calibri" w:hAnsi="Calibri"/>
          <w:color w:val="333A45"/>
          <w:sz w:val="21"/>
          <w:szCs w:val="21"/>
        </w:rPr>
        <w:t xml:space="preserve">. Identifying it afterwards is not compliance; it is explanation.</w:t>
      </w:r>
    </w:p>
    <w:p>
      <w:pPr>
        <w:spacing w:after="110"/>
      </w:pPr>
      <w:r>
        <w:rPr>
          <w:rFonts w:ascii="Calibri" w:cs="Calibri" w:eastAsia="Calibri" w:hAnsi="Calibri"/>
          <w:color w:val="333A45"/>
          <w:sz w:val="21"/>
          <w:szCs w:val="21"/>
        </w:rPr>
        <w:t xml:space="preserve">7.2 </w:t>
      </w:r>
      <w:r>
        <w:rPr>
          <w:rFonts w:ascii="Calibri" w:cs="Calibri" w:eastAsia="Calibri" w:hAnsi="Calibri"/>
          <w:b/>
          <w:bCs/>
          <w:color w:val="333A45"/>
          <w:sz w:val="21"/>
          <w:szCs w:val="21"/>
        </w:rPr>
        <w:t xml:space="preserve">Consent</w:t>
      </w:r>
      <w:r>
        <w:rPr>
          <w:rFonts w:ascii="Calibri" w:cs="Calibri" w:eastAsia="Calibri" w:hAnsi="Calibri"/>
          <w:color w:val="333A45"/>
          <w:sz w:val="21"/>
          <w:szCs w:val="21"/>
        </w:rPr>
        <w:t xml:space="preserve"> is the primary basis. Consent is valid only where the individual was first told the purpose, and gave consent for that purpose. Consent obtained by requiring it as a condition of a product or service beyond what is reasonable to provide that product or service is not valid consent, and neither is consent obtained through false, misleading or deceptive practice. A purpose stated so broadly that it does not tell the individual what will actually happen does not support consent for AI processing.</w:t>
      </w:r>
    </w:p>
    <w:p>
      <w:pPr>
        <w:spacing w:after="110"/>
      </w:pPr>
      <w:r>
        <w:rPr>
          <w:rFonts w:ascii="Calibri" w:cs="Calibri" w:eastAsia="Calibri" w:hAnsi="Calibri"/>
          <w:color w:val="333A45"/>
          <w:sz w:val="21"/>
          <w:szCs w:val="21"/>
        </w:rPr>
        <w:t xml:space="preserve">7.3 </w:t>
      </w:r>
      <w:r>
        <w:rPr>
          <w:rFonts w:ascii="Calibri" w:cs="Calibri" w:eastAsia="Calibri" w:hAnsi="Calibri"/>
          <w:b/>
          <w:bCs/>
          <w:color w:val="333A45"/>
          <w:sz w:val="21"/>
          <w:szCs w:val="21"/>
        </w:rPr>
        <w:t xml:space="preserve">Where consent is not the basis</w:t>
      </w:r>
      <w:r>
        <w:rPr>
          <w:rFonts w:ascii="Calibri" w:cs="Calibri" w:eastAsia="Calibri" w:hAnsi="Calibri"/>
          <w:color w:val="333A45"/>
          <w:sz w:val="21"/>
          <w:szCs w:val="21"/>
        </w:rPr>
        <w:t xml:space="preserve">, one of the following must apply and must be recorded:</w:t>
      </w:r>
    </w:p>
    <w:p>
      <w:pPr>
        <w:pStyle w:val="ListParagraph"/>
        <w:numPr>
          <w:ilvl w:val="0"/>
          <w:numId w:val="2"/>
        </w:numPr>
        <w:spacing w:after="70"/>
      </w:pPr>
      <w:r>
        <w:rPr>
          <w:rFonts w:ascii="Calibri" w:cs="Calibri" w:eastAsia="Calibri" w:hAnsi="Calibri"/>
          <w:b/>
          <w:bCs/>
          <w:color w:val="333A45"/>
          <w:sz w:val="21"/>
          <w:szCs w:val="21"/>
        </w:rPr>
        <w:t xml:space="preserve">Deemed consent</w:t>
      </w:r>
      <w:r>
        <w:rPr>
          <w:rFonts w:ascii="Calibri" w:cs="Calibri" w:eastAsia="Calibri" w:hAnsi="Calibri"/>
          <w:color w:val="333A45"/>
          <w:sz w:val="21"/>
          <w:szCs w:val="21"/>
        </w:rPr>
        <w:t xml:space="preserve"> - where the individual voluntarily provided the data for the purpose and it is reasonable that they would.</w:t>
      </w:r>
    </w:p>
    <w:p>
      <w:pPr>
        <w:pStyle w:val="ListParagraph"/>
        <w:numPr>
          <w:ilvl w:val="0"/>
          <w:numId w:val="2"/>
        </w:numPr>
        <w:spacing w:after="70"/>
      </w:pPr>
      <w:r>
        <w:rPr>
          <w:rFonts w:ascii="Calibri" w:cs="Calibri" w:eastAsia="Calibri" w:hAnsi="Calibri"/>
          <w:b/>
          <w:bCs/>
          <w:color w:val="333A45"/>
          <w:sz w:val="21"/>
          <w:szCs w:val="21"/>
        </w:rPr>
        <w:t xml:space="preserve">Deemed consent by notification</w:t>
      </w:r>
      <w:r>
        <w:rPr>
          <w:rFonts w:ascii="Calibri" w:cs="Calibri" w:eastAsia="Calibri" w:hAnsi="Calibri"/>
          <w:color w:val="333A45"/>
          <w:sz w:val="21"/>
          <w:szCs w:val="21"/>
        </w:rPr>
        <w:t xml:space="preserve"> - available only where [ORGANISATION] has first conducted and documented an assessment concluding the use is not likely to have an adverse effect, has brought the intention, the purpose and an opt-out route to the individual's attention, and the individual has not objected within the stated period.</w:t>
      </w:r>
    </w:p>
    <w:p>
      <w:pPr>
        <w:pStyle w:val="ListParagraph"/>
        <w:numPr>
          <w:ilvl w:val="0"/>
          <w:numId w:val="2"/>
        </w:numPr>
        <w:spacing w:after="70"/>
      </w:pPr>
      <w:r>
        <w:rPr>
          <w:rFonts w:ascii="Calibri" w:cs="Calibri" w:eastAsia="Calibri" w:hAnsi="Calibri"/>
          <w:b/>
          <w:bCs/>
          <w:color w:val="333A45"/>
          <w:sz w:val="21"/>
          <w:szCs w:val="21"/>
        </w:rPr>
        <w:t xml:space="preserve">Legitimate interests</w:t>
      </w:r>
      <w:r>
        <w:rPr>
          <w:rFonts w:ascii="Calibri" w:cs="Calibri" w:eastAsia="Calibri" w:hAnsi="Calibri"/>
          <w:color w:val="333A45"/>
          <w:sz w:val="21"/>
          <w:szCs w:val="21"/>
        </w:rPr>
        <w:t xml:space="preserve"> - available only where the interests of [ORGANISATION] or another person outweigh any adverse effect on the individual, and only after the assessment at 7.4.</w:t>
      </w:r>
    </w:p>
    <w:p>
      <w:pPr>
        <w:pStyle w:val="ListParagraph"/>
        <w:numPr>
          <w:ilvl w:val="0"/>
          <w:numId w:val="2"/>
        </w:numPr>
        <w:spacing w:after="70"/>
      </w:pPr>
      <w:r>
        <w:rPr>
          <w:rFonts w:ascii="Calibri" w:cs="Calibri" w:eastAsia="Calibri" w:hAnsi="Calibri"/>
          <w:b/>
          <w:bCs/>
          <w:color w:val="333A45"/>
          <w:sz w:val="21"/>
          <w:szCs w:val="21"/>
        </w:rPr>
        <w:t xml:space="preserve">The business improvement purpose</w:t>
      </w:r>
      <w:r>
        <w:rPr>
          <w:rFonts w:ascii="Calibri" w:cs="Calibri" w:eastAsia="Calibri" w:hAnsi="Calibri"/>
          <w:color w:val="333A45"/>
          <w:sz w:val="21"/>
          <w:szCs w:val="21"/>
        </w:rPr>
        <w:t xml:space="preserve"> - improving or developing goods, services, methods or processes, learning about behaviour and preferences, or personalising a service. This is the basis most likely to be relied on for training, tuning or evaluating an AI system on data the organisation already holds. It applies </w:t>
      </w:r>
      <w:r>
        <w:rPr>
          <w:rFonts w:ascii="Calibri" w:cs="Calibri" w:eastAsia="Calibri" w:hAnsi="Calibri"/>
          <w:b/>
          <w:bCs/>
          <w:color w:val="333A45"/>
          <w:sz w:val="21"/>
          <w:szCs w:val="21"/>
        </w:rPr>
        <w:t xml:space="preserve">only</w:t>
      </w:r>
      <w:r>
        <w:rPr>
          <w:rFonts w:ascii="Calibri" w:cs="Calibri" w:eastAsia="Calibri" w:hAnsi="Calibri"/>
          <w:color w:val="333A45"/>
          <w:sz w:val="21"/>
          <w:szCs w:val="21"/>
        </w:rPr>
        <w:t xml:space="preserve"> where the purpose cannot reasonably be achieved without the data in individually identifiable form, and where a reasonable person would consider the use appropriate. Its availability differs depending on the corporate form of the entity relying on it and on whether data moves between related entities; the data protection lead confirms availability in each case rather than assuming it.</w:t>
      </w:r>
    </w:p>
    <w:p>
      <w:pPr>
        <w:pStyle w:val="ListParagraph"/>
        <w:numPr>
          <w:ilvl w:val="0"/>
          <w:numId w:val="2"/>
        </w:numPr>
        <w:spacing w:after="70"/>
      </w:pPr>
      <w:r>
        <w:rPr>
          <w:rFonts w:ascii="Calibri" w:cs="Calibri" w:eastAsia="Calibri" w:hAnsi="Calibri"/>
          <w:b/>
          <w:bCs/>
          <w:color w:val="333A45"/>
          <w:sz w:val="21"/>
          <w:szCs w:val="21"/>
        </w:rPr>
        <w:t xml:space="preserve">Research</w:t>
      </w:r>
      <w:r>
        <w:rPr>
          <w:rFonts w:ascii="Calibri" w:cs="Calibri" w:eastAsia="Calibri" w:hAnsi="Calibri"/>
          <w:color w:val="333A45"/>
          <w:sz w:val="21"/>
          <w:szCs w:val="21"/>
        </w:rPr>
        <w:t xml:space="preserve"> - only where the purpose cannot be achieved without identifiable data, there is a clear public benefit, </w:t>
      </w:r>
      <w:r>
        <w:rPr>
          <w:rFonts w:ascii="Calibri" w:cs="Calibri" w:eastAsia="Calibri" w:hAnsi="Calibri"/>
          <w:b/>
          <w:bCs/>
          <w:color w:val="333A45"/>
          <w:sz w:val="21"/>
          <w:szCs w:val="21"/>
        </w:rPr>
        <w:t xml:space="preserve">the results will not be used to make any decision affecting the individual</w:t>
      </w:r>
      <w:r>
        <w:rPr>
          <w:rFonts w:ascii="Calibri" w:cs="Calibri" w:eastAsia="Calibri" w:hAnsi="Calibri"/>
          <w:color w:val="333A45"/>
          <w:sz w:val="21"/>
          <w:szCs w:val="21"/>
        </w:rPr>
        <w:t xml:space="preserve">, and anything published is published in non-identifying form. The third condition rules this basis out for most commercial model development.</w:t>
      </w:r>
    </w:p>
    <w:p>
      <w:pPr>
        <w:pStyle w:val="ListParagraph"/>
        <w:numPr>
          <w:ilvl w:val="0"/>
          <w:numId w:val="2"/>
        </w:numPr>
        <w:spacing w:after="70"/>
      </w:pPr>
      <w:r>
        <w:rPr>
          <w:rFonts w:ascii="Calibri" w:cs="Calibri" w:eastAsia="Calibri" w:hAnsi="Calibri"/>
          <w:b/>
          <w:bCs/>
          <w:color w:val="333A45"/>
          <w:sz w:val="21"/>
          <w:szCs w:val="21"/>
        </w:rPr>
        <w:t xml:space="preserve">An express statutory exception</w:t>
      </w:r>
      <w:r>
        <w:rPr>
          <w:rFonts w:ascii="Calibri" w:cs="Calibri" w:eastAsia="Calibri" w:hAnsi="Calibri"/>
          <w:color w:val="333A45"/>
          <w:sz w:val="21"/>
          <w:szCs w:val="21"/>
        </w:rPr>
        <w:t xml:space="preserve"> identified by the data protection lead.</w:t>
      </w:r>
    </w:p>
    <w:p>
      <w:pPr>
        <w:spacing w:after="110"/>
      </w:pPr>
      <w:r>
        <w:rPr>
          <w:rFonts w:ascii="Calibri" w:cs="Calibri" w:eastAsia="Calibri" w:hAnsi="Calibri"/>
          <w:color w:val="333A45"/>
          <w:sz w:val="21"/>
          <w:szCs w:val="21"/>
        </w:rPr>
        <w:t xml:space="preserve">7.4 </w:t>
      </w:r>
      <w:r>
        <w:rPr>
          <w:rFonts w:ascii="Calibri" w:cs="Calibri" w:eastAsia="Calibri" w:hAnsi="Calibri"/>
          <w:b/>
          <w:bCs/>
          <w:color w:val="333A45"/>
          <w:sz w:val="21"/>
          <w:szCs w:val="21"/>
        </w:rPr>
        <w:t xml:space="preserve">The assessment.</w:t>
      </w:r>
      <w:r>
        <w:rPr>
          <w:rFonts w:ascii="Calibri" w:cs="Calibri" w:eastAsia="Calibri" w:hAnsi="Calibri"/>
          <w:color w:val="333A45"/>
          <w:sz w:val="21"/>
          <w:szCs w:val="21"/>
        </w:rPr>
        <w:t xml:space="preserve"> Deemed consent by notification and legitimate interests each require a documented assessment before processing. The assessment must identify any adverse effect the processing is likely to have on the individual, and identify and </w:t>
      </w:r>
      <w:r>
        <w:rPr>
          <w:rFonts w:ascii="Calibri" w:cs="Calibri" w:eastAsia="Calibri" w:hAnsi="Calibri"/>
          <w:b/>
          <w:bCs/>
          <w:color w:val="333A45"/>
          <w:sz w:val="21"/>
          <w:szCs w:val="21"/>
        </w:rPr>
        <w:t xml:space="preserve">implement</w:t>
      </w:r>
      <w:r>
        <w:rPr>
          <w:rFonts w:ascii="Calibri" w:cs="Calibri" w:eastAsia="Calibri" w:hAnsi="Calibri"/>
          <w:color w:val="333A45"/>
          <w:sz w:val="21"/>
          <w:szCs w:val="21"/>
        </w:rPr>
        <w:t xml:space="preserve"> reasonable measures to eliminate it, reduce its likelihood, or mitigate it. Identifying a mitigation and not implementing it does not satisfy this.</w:t>
      </w:r>
    </w:p>
    <w:p>
      <w:pPr>
        <w:spacing w:after="110"/>
      </w:pPr>
      <w:r>
        <w:rPr>
          <w:rFonts w:ascii="Calibri" w:cs="Calibri" w:eastAsia="Calibri" w:hAnsi="Calibri"/>
          <w:color w:val="333A45"/>
          <w:sz w:val="21"/>
          <w:szCs w:val="21"/>
        </w:rPr>
        <w:t xml:space="preserve">[ORGANISATION] requires the same assessment, in the same form, for every Level 4 use regardless of the basis relied on. This is a house standard and exceeds what the law requires.</w:t>
      </w:r>
    </w:p>
    <w:p>
      <w:pPr>
        <w:spacing w:after="110"/>
      </w:pPr>
      <w:r>
        <w:rPr>
          <w:rFonts w:ascii="Calibri" w:cs="Calibri" w:eastAsia="Calibri" w:hAnsi="Calibri"/>
          <w:color w:val="333A45"/>
          <w:sz w:val="21"/>
          <w:szCs w:val="21"/>
        </w:rPr>
        <w:t xml:space="preserve">7.5 The following are treated as high-sensitivity by [ORGANISATION] and must not be placed in any AI tool without the data protection lead's written approval: financial account and payment information; identification numbers and identity documents; health information; information about children; biometric data; and any special category defined in [ORGANISATION] data classification.</w:t>
      </w:r>
    </w:p>
    <w:p>
      <w:pPr>
        <w:spacing w:after="110"/>
      </w:pPr>
      <w:r>
        <w:rPr>
          <w:rFonts w:ascii="Calibri" w:cs="Calibri" w:eastAsia="Calibri" w:hAnsi="Calibri"/>
          <w:color w:val="333A45"/>
          <w:sz w:val="21"/>
          <w:szCs w:val="21"/>
        </w:rPr>
        <w:t xml:space="preserve">7.6 </w:t>
      </w:r>
      <w:r>
        <w:rPr>
          <w:rFonts w:ascii="Calibri" w:cs="Calibri" w:eastAsia="Calibri" w:hAnsi="Calibri"/>
          <w:b/>
          <w:bCs/>
          <w:color w:val="333A45"/>
          <w:sz w:val="21"/>
          <w:szCs w:val="21"/>
        </w:rPr>
        <w:t xml:space="preserve">Employment data.</w:t>
      </w:r>
      <w:r>
        <w:rPr>
          <w:rFonts w:ascii="Calibri" w:cs="Calibri" w:eastAsia="Calibri" w:hAnsi="Calibri"/>
          <w:color w:val="333A45"/>
          <w:sz w:val="21"/>
          <w:szCs w:val="21"/>
        </w:rPr>
        <w:t xml:space="preserve"> Where personal data is collected, used or disclosed for entering into, managing or terminating an employment relationship or an appointment, the individual must be informed of the purpose - and this applies even where the processing itself does not depend on consent. AI used in recruitment, performance management, workforce analytics or termination decisions is within this and is Level 4.</w:t>
      </w:r>
    </w:p>
    <w:p>
      <w:pPr>
        <w:spacing w:after="110"/>
      </w:pPr>
      <w:r>
        <w:rPr>
          <w:rFonts w:ascii="Calibri" w:cs="Calibri" w:eastAsia="Calibri" w:hAnsi="Calibri"/>
          <w:color w:val="333A45"/>
          <w:sz w:val="21"/>
          <w:szCs w:val="21"/>
        </w:rPr>
        <w:t xml:space="preserve">7.7 Minimisation is required at Level 3 and Level 4: the smallest amount of personal data that will serve the purpose, de-identified wherever the purpose survives de-identification.</w:t>
      </w:r>
    </w:p>
    <w:p>
      <w:pPr>
        <w:keepNext/>
        <w:pBdr>
          <w:bottom w:val="single" w:color="9DB9E8" w:sz="4" w:space="3"/>
        </w:pBdr>
        <w:spacing w:after="100" w:before="260"/>
      </w:pPr>
      <w:r>
        <w:rPr>
          <w:rFonts w:ascii="Calibri" w:cs="Calibri" w:eastAsia="Calibri" w:hAnsi="Calibri"/>
          <w:b/>
          <w:bCs/>
          <w:color w:val="2E5AAC"/>
          <w:sz w:val="26"/>
          <w:szCs w:val="26"/>
        </w:rPr>
        <w:t xml:space="preserve">8. Transfers outside Singapore</w:t>
      </w:r>
    </w:p>
    <w:p>
      <w:pPr>
        <w:spacing w:after="110"/>
      </w:pPr>
      <w:r>
        <w:rPr>
          <w:rFonts w:ascii="Calibri" w:cs="Calibri" w:eastAsia="Calibri" w:hAnsi="Calibri"/>
          <w:color w:val="333A45"/>
          <w:sz w:val="21"/>
          <w:szCs w:val="21"/>
        </w:rPr>
        <w:t xml:space="preserve">8.1 Personal data may not be transferred outside Singapore except in accordance with the requirements prescribed for ensuring that a standard of protection comparable to Singapore law travels with it.</w:t>
      </w:r>
    </w:p>
    <w:p>
      <w:pPr>
        <w:spacing w:after="110"/>
      </w:pPr>
      <w:r>
        <w:rPr>
          <w:rFonts w:ascii="Calibri" w:cs="Calibri" w:eastAsia="Calibri" w:hAnsi="Calibri"/>
          <w:color w:val="333A45"/>
          <w:sz w:val="21"/>
          <w:szCs w:val="21"/>
        </w:rPr>
        <w:t xml:space="preserve">8.2 </w:t>
      </w:r>
      <w:r>
        <w:rPr>
          <w:rFonts w:ascii="Calibri" w:cs="Calibri" w:eastAsia="Calibri" w:hAnsi="Calibri"/>
          <w:b/>
          <w:bCs/>
          <w:color w:val="333A45"/>
          <w:sz w:val="21"/>
          <w:szCs w:val="21"/>
        </w:rPr>
        <w:t xml:space="preserve">Using a cloud AI service hosted outside Singapore is a transfer.</w:t>
      </w:r>
      <w:r>
        <w:rPr>
          <w:rFonts w:ascii="Calibri" w:cs="Calibri" w:eastAsia="Calibri" w:hAnsi="Calibri"/>
          <w:color w:val="333A45"/>
          <w:sz w:val="21"/>
          <w:szCs w:val="21"/>
        </w:rPr>
        <w:t xml:space="preserve"> So is using a service that routes, processes or stores data outside Singapore, whether or not it is marketed as a transfer, and whether or not the organisation chose the region.</w:t>
      </w:r>
    </w:p>
    <w:p>
      <w:pPr>
        <w:spacing w:after="110"/>
      </w:pPr>
      <w:r>
        <w:rPr>
          <w:rFonts w:ascii="Calibri" w:cs="Calibri" w:eastAsia="Calibri" w:hAnsi="Calibri"/>
          <w:color w:val="333A45"/>
          <w:sz w:val="21"/>
          <w:szCs w:val="21"/>
        </w:rPr>
        <w:t xml:space="preserve">8.3 Before an AI tool is approved for personal data, the actual processing and storage locations are established and recorded - including the locations used for model inference, for any human review, and for logging and support. A supplier that cannot state its locations is not approved for personal data.</w:t>
      </w:r>
    </w:p>
    <w:p>
      <w:pPr>
        <w:spacing w:after="110"/>
      </w:pPr>
      <w:r>
        <w:rPr>
          <w:rFonts w:ascii="Calibri" w:cs="Calibri" w:eastAsia="Calibri" w:hAnsi="Calibri"/>
          <w:color w:val="333A45"/>
          <w:sz w:val="21"/>
          <w:szCs w:val="21"/>
        </w:rPr>
        <w:t xml:space="preserve">8.4 The transfer basis is recorded in the AI system inventory. Where the supplier changes its processing locations, the basis is reassessed before the change takes effect.</w:t>
      </w:r>
    </w:p>
    <w:p>
      <w:pPr>
        <w:spacing w:after="110"/>
      </w:pPr>
      <w:r>
        <w:rPr>
          <w:rFonts w:ascii="Calibri" w:cs="Calibri" w:eastAsia="Calibri" w:hAnsi="Calibri"/>
          <w:color w:val="333A45"/>
          <w:sz w:val="21"/>
          <w:szCs w:val="21"/>
        </w:rPr>
        <w:t xml:space="preserve">8.5 The prescribed requirements are set out in subordinate legislation and are not reproduced here. The data protection lead maintains the current statement of them.</w:t>
      </w:r>
    </w:p>
    <w:p>
      <w:pPr>
        <w:keepNext/>
        <w:pBdr>
          <w:bottom w:val="single" w:color="9DB9E8" w:sz="4" w:space="3"/>
        </w:pBdr>
        <w:spacing w:after="100" w:before="260"/>
      </w:pPr>
      <w:r>
        <w:rPr>
          <w:rFonts w:ascii="Calibri" w:cs="Calibri" w:eastAsia="Calibri" w:hAnsi="Calibri"/>
          <w:b/>
          <w:bCs/>
          <w:color w:val="2E5AAC"/>
          <w:sz w:val="26"/>
          <w:szCs w:val="26"/>
        </w:rPr>
        <w:t xml:space="preserve">9. Accuracy and decisions about people</w:t>
      </w:r>
    </w:p>
    <w:p>
      <w:pPr>
        <w:spacing w:after="110"/>
      </w:pPr>
      <w:r>
        <w:rPr>
          <w:rFonts w:ascii="Calibri" w:cs="Calibri" w:eastAsia="Calibri" w:hAnsi="Calibri"/>
          <w:color w:val="333A45"/>
          <w:sz w:val="21"/>
          <w:szCs w:val="21"/>
        </w:rPr>
        <w:t xml:space="preserve">9.1 Where personal data is likely to be used to make a decision affecting the individual, or to be disclosed to another organisation, [ORGANISATION] must make a reasonable effort to ensure it is accurate and complete.</w:t>
      </w:r>
    </w:p>
    <w:p>
      <w:pPr>
        <w:spacing w:after="110"/>
      </w:pPr>
      <w:r>
        <w:rPr>
          <w:rFonts w:ascii="Calibri" w:cs="Calibri" w:eastAsia="Calibri" w:hAnsi="Calibri"/>
          <w:color w:val="333A45"/>
          <w:sz w:val="21"/>
          <w:szCs w:val="21"/>
        </w:rPr>
        <w:t xml:space="preserve">9.2 This obligation attaches to the data going in, and [ORGANISATION] extends it by policy to the output: </w:t>
      </w:r>
      <w:r>
        <w:rPr>
          <w:rFonts w:ascii="Calibri" w:cs="Calibri" w:eastAsia="Calibri" w:hAnsi="Calibri"/>
          <w:b/>
          <w:bCs/>
          <w:color w:val="333A45"/>
          <w:sz w:val="21"/>
          <w:szCs w:val="21"/>
        </w:rPr>
        <w:t xml:space="preserve">AI output about a person that will inform a decision, or be disclosed, is checked against source records before it is used or shared.</w:t>
      </w:r>
    </w:p>
    <w:p>
      <w:pPr>
        <w:spacing w:after="110"/>
      </w:pPr>
      <w:r>
        <w:rPr>
          <w:rFonts w:ascii="Calibri" w:cs="Calibri" w:eastAsia="Calibri" w:hAnsi="Calibri"/>
          <w:color w:val="333A45"/>
          <w:sz w:val="21"/>
          <w:szCs w:val="21"/>
        </w:rPr>
        <w:t xml:space="preserve">9.3 An AI system that produces plausible but unverified statements about individuals - inferred attributes, summarised histories, scored risk - creates personal data. It is not exempt because a model produced it, and it is within the security, retention, purpose and access obligations in full.</w:t>
      </w:r>
    </w:p>
    <w:p>
      <w:pPr>
        <w:spacing w:after="110"/>
      </w:pPr>
      <w:r>
        <w:rPr>
          <w:rFonts w:ascii="Calibri" w:cs="Calibri" w:eastAsia="Calibri" w:hAnsi="Calibri"/>
          <w:color w:val="333A45"/>
          <w:sz w:val="21"/>
          <w:szCs w:val="21"/>
        </w:rPr>
        <w:t xml:space="preserve">9.4 </w:t>
      </w:r>
      <w:r>
        <w:rPr>
          <w:rFonts w:ascii="Calibri" w:cs="Calibri" w:eastAsia="Calibri" w:hAnsi="Calibri"/>
          <w:b/>
          <w:bCs/>
          <w:color w:val="333A45"/>
          <w:sz w:val="21"/>
          <w:szCs w:val="21"/>
        </w:rPr>
        <w:t xml:space="preserve">Data an organisation derives about a person from other personal data it holds occupies a particular position: the individual can generally obtain access to it, but the statutory correction right does not reach it.</w:t>
      </w:r>
      <w:r>
        <w:rPr>
          <w:rFonts w:ascii="Calibri" w:cs="Calibri" w:eastAsia="Calibri" w:hAnsi="Calibri"/>
          <w:color w:val="333A45"/>
          <w:sz w:val="21"/>
          <w:szCs w:val="21"/>
        </w:rPr>
        <w:t xml:space="preserve"> That is an exemption [ORGANISATION] does not intend to rely on. Where an individual demonstrates that derived output about them is wrong, it is corrected or removed on the same terms as any other error, and the underlying data it was derived from is checked. This is a house standard and is deliberately more generous than the law requires. Section 17.5 states how it operates.</w:t>
      </w:r>
    </w:p>
    <w:p>
      <w:pPr>
        <w:spacing w:after="110"/>
      </w:pPr>
      <w:r>
        <w:rPr>
          <w:rFonts w:ascii="Calibri" w:cs="Calibri" w:eastAsia="Calibri" w:hAnsi="Calibri"/>
          <w:color w:val="333A45"/>
          <w:sz w:val="21"/>
          <w:szCs w:val="21"/>
        </w:rPr>
        <w:t xml:space="preserve">9.5 Where AI output about an individual is recorded in a system of record, its source is recorded with it, so that a request can reach it.</w:t>
      </w:r>
    </w:p>
    <w:p>
      <w:pPr>
        <w:keepNext/>
        <w:pBdr>
          <w:bottom w:val="single" w:color="9DB9E8" w:sz="4" w:space="3"/>
        </w:pBdr>
        <w:spacing w:after="100" w:before="260"/>
      </w:pPr>
      <w:r>
        <w:rPr>
          <w:rFonts w:ascii="Calibri" w:cs="Calibri" w:eastAsia="Calibri" w:hAnsi="Calibri"/>
          <w:b/>
          <w:bCs/>
          <w:color w:val="2E5AAC"/>
          <w:sz w:val="26"/>
          <w:szCs w:val="26"/>
        </w:rPr>
        <w:t xml:space="preserve">10. Automated decisions about people</w:t>
      </w:r>
    </w:p>
    <w:p>
      <w:pPr>
        <w:spacing w:after="110"/>
      </w:pPr>
      <w:r>
        <w:rPr>
          <w:rFonts w:ascii="Calibri" w:cs="Calibri" w:eastAsia="Calibri" w:hAnsi="Calibri"/>
          <w:b/>
          <w:bCs/>
          <w:color w:val="333A45"/>
          <w:sz w:val="21"/>
          <w:szCs w:val="21"/>
        </w:rPr>
        <w:t xml:space="preserve">These are house standards.</w:t>
      </w:r>
      <w:r>
        <w:rPr>
          <w:rFonts w:ascii="Calibri" w:cs="Calibri" w:eastAsia="Calibri" w:hAnsi="Calibri"/>
          <w:color w:val="333A45"/>
          <w:sz w:val="21"/>
          <w:szCs w:val="21"/>
        </w:rPr>
        <w:t xml:space="preserve"> Singapore personal data protection law confers no general right against automated decision-making and no right to an explanation. [ORGANISATION] imposes the following because the accuracy obligation and the reasonable-person standard cannot be discharged by a process that cannot be accounted for.</w:t>
      </w:r>
    </w:p>
    <w:p>
      <w:pPr>
        <w:spacing w:after="110"/>
      </w:pPr>
      <w:r>
        <w:rPr>
          <w:rFonts w:ascii="Calibri" w:cs="Calibri" w:eastAsia="Calibri" w:hAnsi="Calibri"/>
          <w:color w:val="333A45"/>
          <w:sz w:val="21"/>
          <w:szCs w:val="21"/>
        </w:rPr>
        <w:t xml:space="preserve">10.1 No Level 4 decision is made solely by an AI system. A named person reviews the output, has the authority and the information to reach a different conclusion, and records the determination as their own.</w:t>
      </w:r>
    </w:p>
    <w:p>
      <w:pPr>
        <w:spacing w:after="110"/>
      </w:pPr>
      <w:r>
        <w:rPr>
          <w:rFonts w:ascii="Calibri" w:cs="Calibri" w:eastAsia="Calibri" w:hAnsi="Calibri"/>
          <w:color w:val="333A45"/>
          <w:sz w:val="21"/>
          <w:szCs w:val="21"/>
        </w:rPr>
        <w:t xml:space="preserve">10.2 A review that only ratifies the output is not a review. The reviewer must be able to state what the decision rests on and what would have changed it.</w:t>
      </w:r>
    </w:p>
    <w:p>
      <w:pPr>
        <w:spacing w:after="110"/>
      </w:pPr>
      <w:r>
        <w:rPr>
          <w:rFonts w:ascii="Calibri" w:cs="Calibri" w:eastAsia="Calibri" w:hAnsi="Calibri"/>
          <w:color w:val="333A45"/>
          <w:sz w:val="21"/>
          <w:szCs w:val="21"/>
        </w:rPr>
        <w:t xml:space="preserve">10.3 For each Level 4 use, [ORGANISATION] records before deployment: the decision the system informs; the data it uses; the tested performance and known limitations; the groups on which performance was checked; the point of human determination; and the route by which a person can contest the outcome.</w:t>
      </w:r>
    </w:p>
    <w:p>
      <w:pPr>
        <w:spacing w:after="110"/>
      </w:pPr>
      <w:r>
        <w:rPr>
          <w:rFonts w:ascii="Calibri" w:cs="Calibri" w:eastAsia="Calibri" w:hAnsi="Calibri"/>
          <w:color w:val="333A45"/>
          <w:sz w:val="21"/>
          <w:szCs w:val="21"/>
        </w:rPr>
        <w:t xml:space="preserve">10.4 An individual affected by a Level 4 decision is told, on request, that an AI system was used, in general terms what it considered, and how to contest the outcome.</w:t>
      </w:r>
    </w:p>
    <w:p>
      <w:pPr>
        <w:spacing w:after="110"/>
      </w:pPr>
      <w:r>
        <w:rPr>
          <w:rFonts w:ascii="Calibri" w:cs="Calibri" w:eastAsia="Calibri" w:hAnsi="Calibri"/>
          <w:color w:val="333A45"/>
          <w:sz w:val="21"/>
          <w:szCs w:val="21"/>
        </w:rPr>
        <w:t xml:space="preserve">10.5 Where a decision is contested, a person not involved in the original decision reviews it. The review and its result are recorded.</w:t>
      </w:r>
    </w:p>
    <w:p>
      <w:pPr>
        <w:keepNext/>
        <w:pBdr>
          <w:bottom w:val="single" w:color="9DB9E8" w:sz="4" w:space="3"/>
        </w:pBdr>
        <w:spacing w:after="100" w:before="260"/>
      </w:pPr>
      <w:r>
        <w:rPr>
          <w:rFonts w:ascii="Calibri" w:cs="Calibri" w:eastAsia="Calibri" w:hAnsi="Calibri"/>
          <w:b/>
          <w:bCs/>
          <w:color w:val="2E5AAC"/>
          <w:sz w:val="26"/>
          <w:szCs w:val="26"/>
        </w:rPr>
        <w:t xml:space="preserve">11. Personal criminal liability - read this section</w:t>
      </w:r>
    </w:p>
    <w:p>
      <w:pPr>
        <w:spacing w:after="110"/>
      </w:pPr>
      <w:r>
        <w:rPr>
          <w:rFonts w:ascii="Calibri" w:cs="Calibri" w:eastAsia="Calibri" w:hAnsi="Calibri"/>
          <w:b/>
          <w:bCs/>
          <w:color w:val="333A45"/>
          <w:sz w:val="21"/>
          <w:szCs w:val="21"/>
        </w:rPr>
        <w:t xml:space="preserve">This section applies to you personally, not only to [ORGANISATION].</w:t>
      </w:r>
    </w:p>
    <w:p>
      <w:pPr>
        <w:spacing w:after="110"/>
      </w:pPr>
      <w:r>
        <w:rPr>
          <w:rFonts w:ascii="Calibri" w:cs="Calibri" w:eastAsia="Calibri" w:hAnsi="Calibri"/>
          <w:color w:val="333A45"/>
          <w:sz w:val="21"/>
          <w:szCs w:val="21"/>
        </w:rPr>
        <w:t xml:space="preserve">11.1 Singapore law makes it an offence for an individual to disclose, or cause the disclosure of, personal data in the possession or under the control of an organisation where that disclosure is </w:t>
      </w:r>
      <w:r>
        <w:rPr>
          <w:rFonts w:ascii="Calibri" w:cs="Calibri" w:eastAsia="Calibri" w:hAnsi="Calibri"/>
          <w:b/>
          <w:bCs/>
          <w:color w:val="333A45"/>
          <w:sz w:val="21"/>
          <w:szCs w:val="21"/>
        </w:rPr>
        <w:t xml:space="preserve">not authorised by the organisation</w:t>
      </w:r>
      <w:r>
        <w:rPr>
          <w:rFonts w:ascii="Calibri" w:cs="Calibri" w:eastAsia="Calibri" w:hAnsi="Calibri"/>
          <w:color w:val="333A45"/>
          <w:sz w:val="21"/>
          <w:szCs w:val="21"/>
        </w:rPr>
        <w:t xml:space="preserve"> and the individual knew that, or was reckless as to whether it was authorised. Conviction carries a fine and a term of imprisonment.</w:t>
      </w:r>
    </w:p>
    <w:p>
      <w:pPr>
        <w:spacing w:after="110"/>
      </w:pPr>
      <w:r>
        <w:rPr>
          <w:rFonts w:ascii="Calibri" w:cs="Calibri" w:eastAsia="Calibri" w:hAnsi="Calibri"/>
          <w:color w:val="333A45"/>
          <w:sz w:val="21"/>
          <w:szCs w:val="21"/>
        </w:rPr>
        <w:t xml:space="preserve">11.2 It is a separate offence for an individual to </w:t>
      </w:r>
      <w:r>
        <w:rPr>
          <w:rFonts w:ascii="Calibri" w:cs="Calibri" w:eastAsia="Calibri" w:hAnsi="Calibri"/>
          <w:b/>
          <w:bCs/>
          <w:color w:val="333A45"/>
          <w:sz w:val="21"/>
          <w:szCs w:val="21"/>
        </w:rPr>
        <w:t xml:space="preserve">use</w:t>
      </w:r>
      <w:r>
        <w:rPr>
          <w:rFonts w:ascii="Calibri" w:cs="Calibri" w:eastAsia="Calibri" w:hAnsi="Calibri"/>
          <w:color w:val="333A45"/>
          <w:sz w:val="21"/>
          <w:szCs w:val="21"/>
        </w:rPr>
        <w:t xml:space="preserve"> personal data held by an organisation without the organisation's authorisation, knowingly or recklessly, where that use results in a gain to anyone, harm to another individual, or a loss to another person.</w:t>
      </w:r>
    </w:p>
    <w:p>
      <w:pPr>
        <w:spacing w:after="110"/>
      </w:pPr>
      <w:r>
        <w:rPr>
          <w:rFonts w:ascii="Calibri" w:cs="Calibri" w:eastAsia="Calibri" w:hAnsi="Calibri"/>
          <w:color w:val="333A45"/>
          <w:sz w:val="21"/>
          <w:szCs w:val="21"/>
        </w:rPr>
        <w:t xml:space="preserve">11.3 </w:t>
      </w:r>
      <w:r>
        <w:rPr>
          <w:rFonts w:ascii="Calibri" w:cs="Calibri" w:eastAsia="Calibri" w:hAnsi="Calibri"/>
          <w:b/>
          <w:bCs/>
          <w:color w:val="333A45"/>
          <w:sz w:val="21"/>
          <w:szCs w:val="21"/>
        </w:rPr>
        <w:t xml:space="preserve">Pasting customer or employee personal data into an AI tool that [ORGANISATION] has not approved is an unauthorised disclosure of that data to the tool's provider.</w:t>
      </w:r>
      <w:r>
        <w:rPr>
          <w:rFonts w:ascii="Calibri" w:cs="Calibri" w:eastAsia="Calibri" w:hAnsi="Calibri"/>
          <w:color w:val="333A45"/>
          <w:sz w:val="21"/>
          <w:szCs w:val="21"/>
        </w:rPr>
        <w:t xml:space="preserve"> This policy is the document by which [ORGANISATION] states what is and is not authorised. Section 3 is therefore not only an internal rule; it is the boundary of the authorisation on which the lawfulness of an individual's conduct depends.</w:t>
      </w:r>
    </w:p>
    <w:p>
      <w:pPr>
        <w:spacing w:after="110"/>
      </w:pPr>
      <w:r>
        <w:rPr>
          <w:rFonts w:ascii="Calibri" w:cs="Calibri" w:eastAsia="Calibri" w:hAnsi="Calibri"/>
          <w:color w:val="333A45"/>
          <w:sz w:val="21"/>
          <w:szCs w:val="21"/>
        </w:rPr>
        <w:t xml:space="preserve">11.4 Recklessness is enough. Not knowing whether a tool was approved, and using it anyway, is within the offence. Checking the approved list takes less time than reading this paragraph.</w:t>
      </w:r>
    </w:p>
    <w:p>
      <w:pPr>
        <w:spacing w:after="110"/>
      </w:pPr>
      <w:r>
        <w:rPr>
          <w:rFonts w:ascii="Calibri" w:cs="Calibri" w:eastAsia="Calibri" w:hAnsi="Calibri"/>
          <w:color w:val="333A45"/>
          <w:sz w:val="21"/>
          <w:szCs w:val="21"/>
        </w:rPr>
        <w:t xml:space="preserve">11.5 The defences available are narrow and mostly concern data that was already publicly available or disclosure permitted by other law. Convenience, deadline pressure, and a belief that the tool was probably fine are not among them.</w:t>
      </w:r>
    </w:p>
    <w:p>
      <w:pPr>
        <w:spacing w:after="110"/>
      </w:pPr>
      <w:r>
        <w:rPr>
          <w:rFonts w:ascii="Calibri" w:cs="Calibri" w:eastAsia="Calibri" w:hAnsi="Calibri"/>
          <w:color w:val="333A45"/>
          <w:sz w:val="21"/>
          <w:szCs w:val="21"/>
        </w:rPr>
        <w:t xml:space="preserve">11.6 [ORGANISATION] will support any member of staff who discloses a mistake promptly and in good faith. It cannot alter the law, and it does not undertake to withhold information from the authorities.</w:t>
      </w:r>
    </w:p>
    <w:p>
      <w:pPr>
        <w:keepNext/>
        <w:pBdr>
          <w:bottom w:val="single" w:color="9DB9E8" w:sz="4" w:space="3"/>
        </w:pBdr>
        <w:spacing w:after="100" w:before="260"/>
      </w:pPr>
      <w:r>
        <w:rPr>
          <w:rFonts w:ascii="Calibri" w:cs="Calibri" w:eastAsia="Calibri" w:hAnsi="Calibri"/>
          <w:b/>
          <w:bCs/>
          <w:color w:val="2E5AAC"/>
          <w:sz w:val="26"/>
          <w:szCs w:val="26"/>
        </w:rPr>
        <w:t xml:space="preserve">12. Anonymisation and re-identification</w:t>
      </w:r>
    </w:p>
    <w:p>
      <w:pPr>
        <w:spacing w:after="110"/>
      </w:pPr>
      <w:r>
        <w:rPr>
          <w:rFonts w:ascii="Calibri" w:cs="Calibri" w:eastAsia="Calibri" w:hAnsi="Calibri"/>
          <w:color w:val="333A45"/>
          <w:sz w:val="21"/>
          <w:szCs w:val="21"/>
        </w:rPr>
        <w:t xml:space="preserve">12.1 Taking action to re-identify, or to cause the re-identification of, the person to whom anonymised information relates, without the authorisation of the organisation holding it, is an offence carrying a fine and a term of imprisonment.</w:t>
      </w:r>
    </w:p>
    <w:p>
      <w:pPr>
        <w:spacing w:after="110"/>
      </w:pPr>
      <w:r>
        <w:rPr>
          <w:rFonts w:ascii="Calibri" w:cs="Calibri" w:eastAsia="Calibri" w:hAnsi="Calibri"/>
          <w:color w:val="333A45"/>
          <w:sz w:val="21"/>
          <w:szCs w:val="21"/>
        </w:rPr>
        <w:t xml:space="preserve">12.2 Re-identification is authorised at [ORGANISATION] only in writing by the data protection lead, and only for a purpose the law recognises - broadly, testing whether anonymisation actually works, testing the integrity and confidentiality of anonymised information, and assessing the systems and processes that protect it.</w:t>
      </w:r>
    </w:p>
    <w:p>
      <w:pPr>
        <w:spacing w:after="110"/>
      </w:pPr>
      <w:r>
        <w:rPr>
          <w:rFonts w:ascii="Calibri" w:cs="Calibri" w:eastAsia="Calibri" w:hAnsi="Calibri"/>
          <w:color w:val="333A45"/>
          <w:sz w:val="21"/>
          <w:szCs w:val="21"/>
        </w:rPr>
        <w:t xml:space="preserve">12.3 Testing whether a model can be made to reveal individuals in its training data falls within 12.2 and must be authorised in writing before it starts, with the scope, the data, and the disposal of the results recorded in advance.</w:t>
      </w:r>
    </w:p>
    <w:p>
      <w:pPr>
        <w:spacing w:after="110"/>
      </w:pPr>
      <w:r>
        <w:rPr>
          <w:rFonts w:ascii="Calibri" w:cs="Calibri" w:eastAsia="Calibri" w:hAnsi="Calibri"/>
          <w:color w:val="333A45"/>
          <w:sz w:val="21"/>
          <w:szCs w:val="21"/>
        </w:rPr>
        <w:t xml:space="preserve">12.4 Data described as anonymised is not treated as anonymised until [ORGANISATION] has satisfied itself that individuals cannot reasonably be identified from it, alone or in combination with other information available. </w:t>
      </w:r>
      <w:r>
        <w:rPr>
          <w:rFonts w:ascii="Calibri" w:cs="Calibri" w:eastAsia="Calibri" w:hAnsi="Calibri"/>
          <w:b/>
          <w:bCs/>
          <w:color w:val="333A45"/>
          <w:sz w:val="21"/>
          <w:szCs w:val="21"/>
        </w:rPr>
        <w:t xml:space="preserve">Removing names is not anonymisation.</w:t>
      </w:r>
      <w:r>
        <w:rPr>
          <w:rFonts w:ascii="Calibri" w:cs="Calibri" w:eastAsia="Calibri" w:hAnsi="Calibri"/>
          <w:color w:val="333A45"/>
          <w:sz w:val="21"/>
          <w:szCs w:val="21"/>
        </w:rPr>
        <w:t xml:space="preserve"> Where the position is uncertain, the data is treated as personal data.</w:t>
      </w:r>
    </w:p>
    <w:p>
      <w:pPr>
        <w:keepNext/>
        <w:pBdr>
          <w:bottom w:val="single" w:color="9DB9E8" w:sz="4" w:space="3"/>
        </w:pBdr>
        <w:spacing w:after="100" w:before="260"/>
      </w:pPr>
      <w:r>
        <w:rPr>
          <w:rFonts w:ascii="Calibri" w:cs="Calibri" w:eastAsia="Calibri" w:hAnsi="Calibri"/>
          <w:b/>
          <w:bCs/>
          <w:color w:val="2E5AAC"/>
          <w:sz w:val="26"/>
          <w:szCs w:val="26"/>
        </w:rPr>
        <w:t xml:space="preserve">13. Retention of prompts, logs and derived data</w:t>
      </w:r>
    </w:p>
    <w:p>
      <w:pPr>
        <w:spacing w:after="110"/>
      </w:pPr>
      <w:r>
        <w:rPr>
          <w:rFonts w:ascii="Calibri" w:cs="Calibri" w:eastAsia="Calibri" w:hAnsi="Calibri"/>
          <w:color w:val="333A45"/>
          <w:sz w:val="21"/>
          <w:szCs w:val="21"/>
        </w:rPr>
        <w:t xml:space="preserve">13.1 [ORGANISATION] must cease to retain documents containing personal data, or remove the means of associating the data with particular individuals, once the purpose is no longer served and there is no legal or business need to keep it.</w:t>
      </w:r>
    </w:p>
    <w:p>
      <w:pPr>
        <w:spacing w:after="110"/>
      </w:pPr>
      <w:r>
        <w:rPr>
          <w:rFonts w:ascii="Calibri" w:cs="Calibri" w:eastAsia="Calibri" w:hAnsi="Calibri"/>
          <w:color w:val="333A45"/>
          <w:sz w:val="21"/>
          <w:szCs w:val="21"/>
        </w:rPr>
        <w:t xml:space="preserve">13.2 Retention is assessed across the whole AI footprint, not only the primary record: prompts and completions; uploaded files; vector embeddings and indexes; caches; session transcripts; supplier-side logs; and any copy in a monitoring, analytics or support system.</w:t>
      </w:r>
    </w:p>
    <w:p>
      <w:pPr>
        <w:spacing w:after="110"/>
      </w:pPr>
      <w:r>
        <w:rPr>
          <w:rFonts w:ascii="Calibri" w:cs="Calibri" w:eastAsia="Calibri" w:hAnsi="Calibri"/>
          <w:color w:val="333A45"/>
          <w:sz w:val="21"/>
          <w:szCs w:val="21"/>
        </w:rPr>
        <w:t xml:space="preserve">13.3 Before approval, each tool's retention behaviour is established and recorded: what it keeps, for how long, where, and whether retention can be configured or disabled. Default vendor retention is a decision the organisation has made, not a setting it has inherited.</w:t>
      </w:r>
    </w:p>
    <w:p>
      <w:pPr>
        <w:spacing w:after="110"/>
      </w:pPr>
      <w:r>
        <w:rPr>
          <w:rFonts w:ascii="Calibri" w:cs="Calibri" w:eastAsia="Calibri" w:hAnsi="Calibri"/>
          <w:color w:val="333A45"/>
          <w:sz w:val="21"/>
          <w:szCs w:val="21"/>
        </w:rPr>
        <w:t xml:space="preserve">13.4 Where a supplier retains prompts for its own purposes, that is disclosed at approval and is a factor in the approval decision. Where a supplier uses input to train its models, personal data may not be sent to it.</w:t>
      </w:r>
    </w:p>
    <w:p>
      <w:pPr>
        <w:keepNext/>
        <w:pBdr>
          <w:bottom w:val="single" w:color="9DB9E8" w:sz="4" w:space="3"/>
        </w:pBdr>
        <w:spacing w:after="100" w:before="260"/>
      </w:pPr>
      <w:r>
        <w:rPr>
          <w:rFonts w:ascii="Calibri" w:cs="Calibri" w:eastAsia="Calibri" w:hAnsi="Calibri"/>
          <w:b/>
          <w:bCs/>
          <w:color w:val="2E5AAC"/>
          <w:sz w:val="26"/>
          <w:szCs w:val="26"/>
        </w:rPr>
        <w:t xml:space="preserve">14. Verification of output</w:t>
      </w:r>
    </w:p>
    <w:p>
      <w:pPr>
        <w:spacing w:after="110"/>
      </w:pPr>
      <w:r>
        <w:rPr>
          <w:rFonts w:ascii="Calibri" w:cs="Calibri" w:eastAsia="Calibri" w:hAnsi="Calibri"/>
          <w:color w:val="333A45"/>
          <w:sz w:val="21"/>
          <w:szCs w:val="21"/>
        </w:rPr>
        <w:t xml:space="preserve">14.1 AI output is a draft. The person who uses it is accountable for it.</w:t>
      </w:r>
    </w:p>
    <w:p>
      <w:pPr>
        <w:spacing w:after="110"/>
      </w:pPr>
      <w:r>
        <w:rPr>
          <w:rFonts w:ascii="Calibri" w:cs="Calibri" w:eastAsia="Calibri" w:hAnsi="Calibri"/>
          <w:color w:val="333A45"/>
          <w:sz w:val="21"/>
          <w:szCs w:val="21"/>
        </w:rPr>
        <w:t xml:space="preserve">14.2 Any factual claim, figure, calculation, date, quotation, citation or legal reference taken from AI output and relied on externally, or in a decision, must be verified against a primary source before use.</w:t>
      </w:r>
    </w:p>
    <w:p>
      <w:pPr>
        <w:spacing w:after="110"/>
      </w:pPr>
      <w:r>
        <w:rPr>
          <w:rFonts w:ascii="Calibri" w:cs="Calibri" w:eastAsia="Calibri" w:hAnsi="Calibri"/>
          <w:color w:val="333A45"/>
          <w:sz w:val="21"/>
          <w:szCs w:val="21"/>
        </w:rPr>
        <w:t xml:space="preserve">14.3 Code generated by AI is reviewed before merge, on the same basis as human-authored code, with attention to secrets, licence terms, and dependencies the model has introduced.</w:t>
      </w:r>
    </w:p>
    <w:p>
      <w:pPr>
        <w:spacing w:after="110"/>
      </w:pPr>
      <w:r>
        <w:rPr>
          <w:rFonts w:ascii="Calibri" w:cs="Calibri" w:eastAsia="Calibri" w:hAnsi="Calibri"/>
          <w:color w:val="333A45"/>
          <w:sz w:val="21"/>
          <w:szCs w:val="21"/>
        </w:rPr>
        <w:t xml:space="preserve">14.4 AI-generated citations are verified to exist and to say what they are said to say. This is the most common single failure of generative tools.</w:t>
      </w:r>
    </w:p>
    <w:p>
      <w:pPr>
        <w:spacing w:after="110"/>
      </w:pPr>
      <w:r>
        <w:rPr>
          <w:rFonts w:ascii="Calibri" w:cs="Calibri" w:eastAsia="Calibri" w:hAnsi="Calibri"/>
          <w:color w:val="333A45"/>
          <w:sz w:val="21"/>
          <w:szCs w:val="21"/>
        </w:rPr>
        <w:t xml:space="preserve">14.5 Where output is used substantially unchanged in an external deliverable, the verification record states who verified it and against what.</w:t>
      </w:r>
    </w:p>
    <w:p>
      <w:pPr>
        <w:keepNext/>
        <w:pBdr>
          <w:bottom w:val="single" w:color="9DB9E8" w:sz="4" w:space="3"/>
        </w:pBdr>
        <w:spacing w:after="100" w:before="260"/>
      </w:pPr>
      <w:r>
        <w:rPr>
          <w:rFonts w:ascii="Calibri" w:cs="Calibri" w:eastAsia="Calibri" w:hAnsi="Calibri"/>
          <w:b/>
          <w:bCs/>
          <w:color w:val="2E5AAC"/>
          <w:sz w:val="26"/>
          <w:szCs w:val="26"/>
        </w:rPr>
        <w:t xml:space="preserve">15. Security and confidentiality</w:t>
      </w:r>
    </w:p>
    <w:p>
      <w:pPr>
        <w:spacing w:after="110"/>
      </w:pPr>
      <w:r>
        <w:rPr>
          <w:rFonts w:ascii="Calibri" w:cs="Calibri" w:eastAsia="Calibri" w:hAnsi="Calibri"/>
          <w:color w:val="333A45"/>
          <w:sz w:val="21"/>
          <w:szCs w:val="21"/>
        </w:rPr>
        <w:t xml:space="preserve">15.1 [ORGANISATION] must protect personal data by making reasonable security arrangements against unauthorised access, collection, use, disclosure, copying, modification and disposal, and against loss of the medium it is stored on. Every control below serves that obligation.</w:t>
      </w:r>
    </w:p>
    <w:p>
      <w:pPr>
        <w:spacing w:after="110"/>
      </w:pPr>
      <w:r>
        <w:rPr>
          <w:rFonts w:ascii="Calibri" w:cs="Calibri" w:eastAsia="Calibri" w:hAnsi="Calibri"/>
          <w:color w:val="333A45"/>
          <w:sz w:val="21"/>
          <w:szCs w:val="21"/>
        </w:rPr>
        <w:t xml:space="preserve">15.2 AI tools are accessed through [ORGANISATION] accounts with single sign-on and multi-factor authentication. Personal accounts must not be used for [ORGANISATION] work.</w:t>
      </w:r>
    </w:p>
    <w:p>
      <w:pPr>
        <w:spacing w:after="110"/>
      </w:pPr>
      <w:r>
        <w:rPr>
          <w:rFonts w:ascii="Calibri" w:cs="Calibri" w:eastAsia="Calibri" w:hAnsi="Calibri"/>
          <w:color w:val="333A45"/>
          <w:sz w:val="21"/>
          <w:szCs w:val="21"/>
        </w:rPr>
        <w:t xml:space="preserve">15.3 Access to AI tools handling personal data is granted on least privilege and reviewed [quarterly]. Leavers are removed on the day of departure.</w:t>
      </w:r>
    </w:p>
    <w:p>
      <w:pPr>
        <w:spacing w:after="110"/>
      </w:pPr>
      <w:r>
        <w:rPr>
          <w:rFonts w:ascii="Calibri" w:cs="Calibri" w:eastAsia="Calibri" w:hAnsi="Calibri"/>
          <w:color w:val="333A45"/>
          <w:sz w:val="21"/>
          <w:szCs w:val="21"/>
        </w:rPr>
        <w:t xml:space="preserve">15.4 Content received from outside the organisation - documents, emails, web pages, supplier files - is treated as untrusted input when placed in front of an AI system, including any instruction embedded within it.</w:t>
      </w:r>
    </w:p>
    <w:p>
      <w:pPr>
        <w:spacing w:after="110"/>
      </w:pPr>
      <w:r>
        <w:rPr>
          <w:rFonts w:ascii="Calibri" w:cs="Calibri" w:eastAsia="Calibri" w:hAnsi="Calibri"/>
          <w:color w:val="333A45"/>
          <w:sz w:val="21"/>
          <w:szCs w:val="21"/>
        </w:rPr>
        <w:t xml:space="preserve">15.5 Confidential information belonging to a client, a supplier or a third party is not placed in an AI tool unless the contract with them permits it. Where [ORGANISATION] acts as a data intermediary, the client's instructions govern.</w:t>
      </w:r>
    </w:p>
    <w:p>
      <w:pPr>
        <w:keepNext/>
        <w:pBdr>
          <w:bottom w:val="single" w:color="9DB9E8" w:sz="4" w:space="3"/>
        </w:pBdr>
        <w:spacing w:after="100" w:before="260"/>
      </w:pPr>
      <w:r>
        <w:rPr>
          <w:rFonts w:ascii="Calibri" w:cs="Calibri" w:eastAsia="Calibri" w:hAnsi="Calibri"/>
          <w:b/>
          <w:bCs/>
          <w:color w:val="2E5AAC"/>
          <w:sz w:val="26"/>
          <w:szCs w:val="26"/>
        </w:rPr>
        <w:t xml:space="preserve">16. Breach - the clock and the assessment that starts it</w:t>
      </w:r>
    </w:p>
    <w:p>
      <w:pPr>
        <w:spacing w:after="110"/>
      </w:pPr>
      <w:r>
        <w:rPr>
          <w:rFonts w:ascii="Calibri" w:cs="Calibri" w:eastAsia="Calibri" w:hAnsi="Calibri"/>
          <w:color w:val="333A45"/>
          <w:sz w:val="21"/>
          <w:szCs w:val="21"/>
        </w:rPr>
        <w:t xml:space="preserve">16.1 Any suspected breach involving an AI tool - a wrong recipient, an unapproved tool, an exposed prompt log, a misconfigured index, a supplier notification - is reported to [SECURITY CONTACT] </w:t>
      </w:r>
      <w:r>
        <w:rPr>
          <w:rFonts w:ascii="Calibri" w:cs="Calibri" w:eastAsia="Calibri" w:hAnsi="Calibri"/>
          <w:b/>
          <w:bCs/>
          <w:color w:val="333A45"/>
          <w:sz w:val="21"/>
          <w:szCs w:val="21"/>
        </w:rPr>
        <w:t xml:space="preserve">immediately on suspicion</w:t>
      </w:r>
      <w:r>
        <w:rPr>
          <w:rFonts w:ascii="Calibri" w:cs="Calibri" w:eastAsia="Calibri" w:hAnsi="Calibri"/>
          <w:color w:val="333A45"/>
          <w:sz w:val="21"/>
          <w:szCs w:val="21"/>
        </w:rPr>
        <w:t xml:space="preserve">, not after internal investigation.</w:t>
      </w:r>
    </w:p>
    <w:p>
      <w:pPr>
        <w:spacing w:after="110"/>
      </w:pPr>
      <w:r>
        <w:rPr>
          <w:rFonts w:ascii="Calibri" w:cs="Calibri" w:eastAsia="Calibri" w:hAnsi="Calibri"/>
          <w:color w:val="333A45"/>
          <w:sz w:val="21"/>
          <w:szCs w:val="21"/>
        </w:rPr>
        <w:t xml:space="preserve">16.2 Where [ORGANISATION] has reason to believe a breach affecting personal data in its possession or control has occurred, it must </w:t>
      </w:r>
      <w:r>
        <w:rPr>
          <w:rFonts w:ascii="Calibri" w:cs="Calibri" w:eastAsia="Calibri" w:hAnsi="Calibri"/>
          <w:b/>
          <w:bCs/>
          <w:color w:val="333A45"/>
          <w:sz w:val="21"/>
          <w:szCs w:val="21"/>
        </w:rPr>
        <w:t xml:space="preserve">assess, reasonably and expeditiously, whether the breach is notifiable</w:t>
      </w:r>
      <w:r>
        <w:rPr>
          <w:rFonts w:ascii="Calibri" w:cs="Calibri" w:eastAsia="Calibri" w:hAnsi="Calibri"/>
          <w:color w:val="333A45"/>
          <w:sz w:val="21"/>
          <w:szCs w:val="21"/>
        </w:rPr>
        <w:t xml:space="preserve">. The assessment is the obligation. Delaying it delays nothing else and is itself a failure.</w:t>
      </w:r>
    </w:p>
    <w:p>
      <w:pPr>
        <w:spacing w:after="110"/>
      </w:pPr>
      <w:r>
        <w:rPr>
          <w:rFonts w:ascii="Calibri" w:cs="Calibri" w:eastAsia="Calibri" w:hAnsi="Calibri"/>
          <w:color w:val="333A45"/>
          <w:sz w:val="21"/>
          <w:szCs w:val="21"/>
        </w:rPr>
        <w:t xml:space="preserve">16.3 A breach is notifiable if it results in, or is likely to result in, significant harm to an affected individual, or is, or is likely to be, of significant scale. What counts as significant harm and significant scale is fixed by prescribed categories and a prescribed number of affected individuals, which are set out in subordinate legislation and maintained by the data protection lead. </w:t>
      </w:r>
      <w:r>
        <w:rPr>
          <w:rFonts w:ascii="Calibri" w:cs="Calibri" w:eastAsia="Calibri" w:hAnsi="Calibri"/>
          <w:b/>
          <w:bCs/>
          <w:color w:val="333A45"/>
          <w:sz w:val="21"/>
          <w:szCs w:val="21"/>
        </w:rPr>
        <w:t xml:space="preserve">Staff are not asked to make this judgement; they are asked to report immediately so that it can be made.</w:t>
      </w:r>
    </w:p>
    <w:p>
      <w:pPr>
        <w:spacing w:after="110"/>
      </w:pPr>
      <w:r>
        <w:rPr>
          <w:rFonts w:ascii="Calibri" w:cs="Calibri" w:eastAsia="Calibri" w:hAnsi="Calibri"/>
          <w:color w:val="333A45"/>
          <w:sz w:val="21"/>
          <w:szCs w:val="21"/>
        </w:rPr>
        <w:t xml:space="preserve">16.4 Where the assessment concludes the breach is notifiable, the Commission must be notified as soon as practicable and </w:t>
      </w:r>
      <w:r>
        <w:rPr>
          <w:rFonts w:ascii="Calibri" w:cs="Calibri" w:eastAsia="Calibri" w:hAnsi="Calibri"/>
          <w:b/>
          <w:bCs/>
          <w:color w:val="333A45"/>
          <w:sz w:val="21"/>
          <w:szCs w:val="21"/>
        </w:rPr>
        <w:t xml:space="preserve">in any case no later than 3 calendar days after the day the assessment is made</w:t>
      </w:r>
      <w:r>
        <w:rPr>
          <w:rFonts w:ascii="Calibri" w:cs="Calibri" w:eastAsia="Calibri" w:hAnsi="Calibri"/>
          <w:color w:val="333A45"/>
          <w:sz w:val="21"/>
          <w:szCs w:val="21"/>
        </w:rPr>
        <w:t xml:space="preserve">. Affected individuals must also be notified where the breach is notifiable on the significant-harm limb, subject to the narrow exceptions for law-enforcement instructions and for cases where remedial or pre-existing technical measures make significant harm unlikely.</w:t>
      </w:r>
    </w:p>
    <w:p>
      <w:pPr>
        <w:spacing w:after="110"/>
      </w:pPr>
      <w:r>
        <w:rPr>
          <w:rFonts w:ascii="Calibri" w:cs="Calibri" w:eastAsia="Calibri" w:hAnsi="Calibri"/>
          <w:color w:val="333A45"/>
          <w:sz w:val="21"/>
          <w:szCs w:val="21"/>
        </w:rPr>
        <w:t xml:space="preserve">16.5 </w:t>
      </w:r>
      <w:r>
        <w:rPr>
          <w:rFonts w:ascii="Calibri" w:cs="Calibri" w:eastAsia="Calibri" w:hAnsi="Calibri"/>
          <w:b/>
          <w:bCs/>
          <w:color w:val="333A45"/>
          <w:sz w:val="21"/>
          <w:szCs w:val="21"/>
        </w:rPr>
        <w:t xml:space="preserve">The 3-day clock runs from the assessment, not from discovery.</w:t>
      </w:r>
      <w:r>
        <w:rPr>
          <w:rFonts w:ascii="Calibri" w:cs="Calibri" w:eastAsia="Calibri" w:hAnsi="Calibri"/>
          <w:color w:val="333A45"/>
          <w:sz w:val="21"/>
          <w:szCs w:val="21"/>
        </w:rPr>
        <w:t xml:space="preserve"> That is not an invitation to assess slowly. An assessment that is unreasonably drawn out fails the separate obligation at 16.2, and the organisation will be judged on both.</w:t>
      </w:r>
    </w:p>
    <w:p>
      <w:pPr>
        <w:spacing w:after="110"/>
      </w:pPr>
      <w:r>
        <w:rPr>
          <w:rFonts w:ascii="Calibri" w:cs="Calibri" w:eastAsia="Calibri" w:hAnsi="Calibri"/>
          <w:color w:val="333A45"/>
          <w:sz w:val="21"/>
          <w:szCs w:val="21"/>
        </w:rPr>
        <w:t xml:space="preserve">16.6 A breach confined to unauthorised handling of personal data </w:t>
      </w:r>
      <w:r>
        <w:rPr>
          <w:rFonts w:ascii="Calibri" w:cs="Calibri" w:eastAsia="Calibri" w:hAnsi="Calibri"/>
          <w:b/>
          <w:bCs/>
          <w:color w:val="333A45"/>
          <w:sz w:val="21"/>
          <w:szCs w:val="21"/>
        </w:rPr>
        <w:t xml:space="preserve">within</w:t>
      </w:r>
      <w:r>
        <w:rPr>
          <w:rFonts w:ascii="Calibri" w:cs="Calibri" w:eastAsia="Calibri" w:hAnsi="Calibri"/>
          <w:color w:val="333A45"/>
          <w:sz w:val="21"/>
          <w:szCs w:val="21"/>
        </w:rPr>
        <w:t xml:space="preserve"> [ORGANISATION] is not a notifiable breach. It remains a disciplinary matter, may engage Section 11, and is recorded and investigated in the same way.</w:t>
      </w:r>
    </w:p>
    <w:p>
      <w:pPr>
        <w:spacing w:after="110"/>
      </w:pPr>
      <w:r>
        <w:rPr>
          <w:rFonts w:ascii="Calibri" w:cs="Calibri" w:eastAsia="Calibri" w:hAnsi="Calibri"/>
          <w:color w:val="333A45"/>
          <w:sz w:val="21"/>
          <w:szCs w:val="21"/>
        </w:rPr>
        <w:t xml:space="preserve">16.7 Where [ORGANISATION] acts as a data intermediary for another organisation and has reason to believe a breach has occurred in the data it processes for them, it must notify that organisation </w:t>
      </w:r>
      <w:r>
        <w:rPr>
          <w:rFonts w:ascii="Calibri" w:cs="Calibri" w:eastAsia="Calibri" w:hAnsi="Calibri"/>
          <w:b/>
          <w:bCs/>
          <w:color w:val="333A45"/>
          <w:sz w:val="21"/>
          <w:szCs w:val="21"/>
        </w:rPr>
        <w:t xml:space="preserve">without undue delay</w:t>
      </w:r>
      <w:r>
        <w:rPr>
          <w:rFonts w:ascii="Calibri" w:cs="Calibri" w:eastAsia="Calibri" w:hAnsi="Calibri"/>
          <w:color w:val="333A45"/>
          <w:sz w:val="21"/>
          <w:szCs w:val="21"/>
        </w:rPr>
        <w:t xml:space="preserve">. The assessment is then theirs to make; the notification is ours to make promptly. Supplier contracts must place the same duty on our AI suppliers, in terms that let [ORGANISATION] meet 16.4.</w:t>
      </w:r>
    </w:p>
    <w:p>
      <w:pPr>
        <w:spacing w:after="110"/>
      </w:pPr>
      <w:r>
        <w:rPr>
          <w:rFonts w:ascii="Calibri" w:cs="Calibri" w:eastAsia="Calibri" w:hAnsi="Calibri"/>
          <w:color w:val="333A45"/>
          <w:sz w:val="21"/>
          <w:szCs w:val="21"/>
        </w:rPr>
        <w:t xml:space="preserve">16.8 Staff who report in good faith will not face disciplinary action for reporting.</w:t>
      </w:r>
    </w:p>
    <w:p>
      <w:pPr>
        <w:keepNext/>
        <w:pBdr>
          <w:bottom w:val="single" w:color="9DB9E8" w:sz="4" w:space="3"/>
        </w:pBdr>
        <w:spacing w:after="100" w:before="260"/>
      </w:pPr>
      <w:r>
        <w:rPr>
          <w:rFonts w:ascii="Calibri" w:cs="Calibri" w:eastAsia="Calibri" w:hAnsi="Calibri"/>
          <w:b/>
          <w:bCs/>
          <w:color w:val="2E5AAC"/>
          <w:sz w:val="26"/>
          <w:szCs w:val="26"/>
        </w:rPr>
        <w:t xml:space="preserve">17. Access and correction requests</w:t>
      </w:r>
    </w:p>
    <w:p>
      <w:pPr>
        <w:spacing w:after="110"/>
      </w:pPr>
      <w:r>
        <w:rPr>
          <w:rFonts w:ascii="Calibri" w:cs="Calibri" w:eastAsia="Calibri" w:hAnsi="Calibri"/>
          <w:color w:val="333A45"/>
          <w:sz w:val="21"/>
          <w:szCs w:val="21"/>
        </w:rPr>
        <w:t xml:space="preserve">17.1 An individual may request the personal data [ORGANISATION] holds about them, and information about how it has been or may have been used or disclosed in the preceding year. The response must be provided as soon as reasonably possible.</w:t>
      </w:r>
    </w:p>
    <w:p>
      <w:pPr>
        <w:spacing w:after="110"/>
      </w:pPr>
      <w:r>
        <w:rPr>
          <w:rFonts w:ascii="Calibri" w:cs="Calibri" w:eastAsia="Calibri" w:hAnsi="Calibri"/>
          <w:color w:val="333A45"/>
          <w:sz w:val="21"/>
          <w:szCs w:val="21"/>
        </w:rPr>
        <w:t xml:space="preserve">17.2 The request reaches AI systems. Prompts, uploads, transcripts, embeddings, inferred attributes and logs are within scope where they contain the individual's personal data. A tool from which personal data cannot be retrieved on request is not approved for personal data.</w:t>
      </w:r>
    </w:p>
    <w:p>
      <w:pPr>
        <w:spacing w:after="110"/>
      </w:pPr>
      <w:r>
        <w:rPr>
          <w:rFonts w:ascii="Calibri" w:cs="Calibri" w:eastAsia="Calibri" w:hAnsi="Calibri"/>
          <w:color w:val="333A45"/>
          <w:sz w:val="21"/>
          <w:szCs w:val="21"/>
        </w:rPr>
        <w:t xml:space="preserve">17.2a Certain narrow categories are excepted from the access requirement, including opinion data kept solely for an evaluative purpose, legally privileged material, information whose disclosure would reveal confidential commercial information capable of harming [ORGANISATION]'s competitive position, and requests that are repetitious, disproportionate, trivial or vexatious. </w:t>
      </w:r>
      <w:r>
        <w:rPr>
          <w:rFonts w:ascii="Calibri" w:cs="Calibri" w:eastAsia="Calibri" w:hAnsi="Calibri"/>
          <w:b/>
          <w:bCs/>
          <w:color w:val="333A45"/>
          <w:sz w:val="21"/>
          <w:szCs w:val="21"/>
        </w:rPr>
        <w:t xml:space="preserve">These exceptions are applied by the data protection lead, on the record, and never by the team that holds the data.</w:t>
      </w:r>
      <w:r>
        <w:rPr>
          <w:rFonts w:ascii="Calibri" w:cs="Calibri" w:eastAsia="Calibri" w:hAnsi="Calibri"/>
          <w:color w:val="333A45"/>
          <w:sz w:val="21"/>
          <w:szCs w:val="21"/>
        </w:rPr>
        <w:t xml:space="preserve"> Where an exception is applied, the individual must be notified of the exclusion or of the rejection as the case requires.</w:t>
      </w:r>
    </w:p>
    <w:p>
      <w:pPr>
        <w:spacing w:after="110"/>
      </w:pPr>
      <w:r>
        <w:rPr>
          <w:rFonts w:ascii="Calibri" w:cs="Calibri" w:eastAsia="Calibri" w:hAnsi="Calibri"/>
          <w:color w:val="333A45"/>
          <w:sz w:val="21"/>
          <w:szCs w:val="21"/>
        </w:rPr>
        <w:t xml:space="preserve">17.3 An individual may request correction of an error or omission. Unless there are reasonable grounds not to, the correction is made as soon as practicable and sent to every organisation the data was disclosed to in the preceding year, unless they have no legal or business need for it. </w:t>
      </w:r>
      <w:r>
        <w:rPr>
          <w:rFonts w:ascii="Calibri" w:cs="Calibri" w:eastAsia="Calibri" w:hAnsi="Calibri"/>
          <w:b/>
          <w:bCs/>
          <w:color w:val="333A45"/>
          <w:sz w:val="21"/>
          <w:szCs w:val="21"/>
        </w:rPr>
        <w:t xml:space="preserve">AI suppliers that hold the data are such organisations.</w:t>
      </w:r>
      <w:r>
        <w:rPr>
          <w:rFonts w:ascii="Calibri" w:cs="Calibri" w:eastAsia="Calibri" w:hAnsi="Calibri"/>
          <w:color w:val="333A45"/>
          <w:sz w:val="21"/>
          <w:szCs w:val="21"/>
        </w:rPr>
        <w:t xml:space="preserve"> Where no correction is made, the data is annotated with the correction that was requested and refused.</w:t>
      </w:r>
    </w:p>
    <w:p>
      <w:pPr>
        <w:spacing w:after="110"/>
      </w:pPr>
      <w:r>
        <w:rPr>
          <w:rFonts w:ascii="Calibri" w:cs="Calibri" w:eastAsia="Calibri" w:hAnsi="Calibri"/>
          <w:color w:val="333A45"/>
          <w:sz w:val="21"/>
          <w:szCs w:val="21"/>
        </w:rPr>
        <w:t xml:space="preserve">17.4 Where access is refused, a copy of the data concerned must be preserved for the prescribed period. Deleting data in response to a request that has been refused is a distinct failure.</w:t>
      </w:r>
    </w:p>
    <w:p>
      <w:pPr>
        <w:spacing w:after="110"/>
      </w:pPr>
      <w:r>
        <w:rPr>
          <w:rFonts w:ascii="Calibri" w:cs="Calibri" w:eastAsia="Calibri" w:hAnsi="Calibri"/>
          <w:color w:val="333A45"/>
          <w:sz w:val="21"/>
          <w:szCs w:val="21"/>
        </w:rPr>
        <w:t xml:space="preserve">17.5 The correction right does not reach everything. An opinion is not required to be corrected, and neither is data [ORGANISATION] has itself derived from other personal data it holds - which is what most AI-inferred attributes and scores are.</w:t>
      </w:r>
    </w:p>
    <w:p>
      <w:pPr>
        <w:spacing w:after="110"/>
      </w:pPr>
      <w:r>
        <w:rPr>
          <w:rFonts w:ascii="Calibri" w:cs="Calibri" w:eastAsia="Calibri" w:hAnsi="Calibri"/>
          <w:b/>
          <w:bCs/>
          <w:color w:val="333A45"/>
          <w:sz w:val="21"/>
          <w:szCs w:val="21"/>
        </w:rPr>
        <w:t xml:space="preserve">[ORGANISATION] does not rely on that second exception.</w:t>
      </w:r>
      <w:r>
        <w:rPr>
          <w:rFonts w:ascii="Calibri" w:cs="Calibri" w:eastAsia="Calibri" w:hAnsi="Calibri"/>
          <w:color w:val="333A45"/>
          <w:sz w:val="21"/>
          <w:szCs w:val="21"/>
        </w:rPr>
        <w:t xml:space="preserve"> Where an individual demonstrates that derived output about them is wrong, the data protection lead determines whether to correct it, remove it, or annotate it, and records the determination. Where the derived output is wrong because the data it was derived from is wrong, that underlying data is corrected under 17.3 in the ordinary way - the exception does not travel to it.</w:t>
      </w:r>
    </w:p>
    <w:p>
      <w:pPr>
        <w:spacing w:after="110"/>
      </w:pPr>
      <w:r>
        <w:rPr>
          <w:rFonts w:ascii="Calibri" w:cs="Calibri" w:eastAsia="Calibri" w:hAnsi="Calibri"/>
          <w:color w:val="333A45"/>
          <w:sz w:val="21"/>
          <w:szCs w:val="21"/>
        </w:rPr>
        <w:t xml:space="preserve">17.6 An underlying factual error that an opinion rests on is likewise corrected.</w:t>
      </w:r>
    </w:p>
    <w:p>
      <w:pPr>
        <w:spacing w:after="110"/>
      </w:pPr>
      <w:r>
        <w:rPr>
          <w:rFonts w:ascii="Calibri" w:cs="Calibri" w:eastAsia="Calibri" w:hAnsi="Calibri"/>
          <w:color w:val="333A45"/>
          <w:sz w:val="21"/>
          <w:szCs w:val="21"/>
        </w:rPr>
        <w:t xml:space="preserve">17.7 Whether a particular derivation falls inside or outside the exception can be narrowed by subordinate legislation. The data protection lead maintains the current position; the house standard at 17.5 applies either way, so no processing depends on resolving it.</w:t>
      </w:r>
    </w:p>
    <w:p>
      <w:pPr>
        <w:keepNext/>
        <w:pBdr>
          <w:bottom w:val="single" w:color="9DB9E8" w:sz="4" w:space="3"/>
        </w:pBdr>
        <w:spacing w:after="100" w:before="260"/>
      </w:pPr>
      <w:r>
        <w:rPr>
          <w:rFonts w:ascii="Calibri" w:cs="Calibri" w:eastAsia="Calibri" w:hAnsi="Calibri"/>
          <w:b/>
          <w:bCs/>
          <w:color w:val="2E5AAC"/>
          <w:sz w:val="26"/>
          <w:szCs w:val="26"/>
        </w:rPr>
        <w:t xml:space="preserve">18. Intellectual property, transparency and records</w:t>
      </w:r>
    </w:p>
    <w:p>
      <w:pPr>
        <w:spacing w:after="110"/>
      </w:pPr>
      <w:r>
        <w:rPr>
          <w:rFonts w:ascii="Calibri" w:cs="Calibri" w:eastAsia="Calibri" w:hAnsi="Calibri"/>
          <w:color w:val="333A45"/>
          <w:sz w:val="21"/>
          <w:szCs w:val="21"/>
        </w:rPr>
        <w:t xml:space="preserve">18.1 AI-generated material used externally is reviewed for third-party rights before publication.</w:t>
      </w:r>
    </w:p>
    <w:p>
      <w:pPr>
        <w:spacing w:after="110"/>
      </w:pPr>
      <w:r>
        <w:rPr>
          <w:rFonts w:ascii="Calibri" w:cs="Calibri" w:eastAsia="Calibri" w:hAnsi="Calibri"/>
          <w:color w:val="333A45"/>
          <w:sz w:val="21"/>
          <w:szCs w:val="21"/>
        </w:rPr>
        <w:t xml:space="preserve">18.2 [ORGANISATION] material must not be placed in tools whose terms grant the supplier rights over input or output beyond what the approval decision accepted.</w:t>
      </w:r>
    </w:p>
    <w:p>
      <w:pPr>
        <w:spacing w:after="110"/>
      </w:pPr>
      <w:r>
        <w:rPr>
          <w:rFonts w:ascii="Calibri" w:cs="Calibri" w:eastAsia="Calibri" w:hAnsi="Calibri"/>
          <w:color w:val="333A45"/>
          <w:sz w:val="21"/>
          <w:szCs w:val="21"/>
        </w:rPr>
        <w:t xml:space="preserve">18.3 Where AI has made a material contribution to an external deliverable, that is disclosed where the recipient would reasonably expect to know, and always where disclosure is required by contract, by a client, or by a regulator.</w:t>
      </w:r>
    </w:p>
    <w:p>
      <w:pPr>
        <w:spacing w:after="110"/>
      </w:pPr>
      <w:r>
        <w:rPr>
          <w:rFonts w:ascii="Calibri" w:cs="Calibri" w:eastAsia="Calibri" w:hAnsi="Calibri"/>
          <w:color w:val="333A45"/>
          <w:sz w:val="21"/>
          <w:szCs w:val="21"/>
        </w:rPr>
        <w:t xml:space="preserve">18.4 Records supporting compliance - lawful bases, assessments, approvals, verification records, transfer bases, retention decisions, breach assessments - are retained for [PERIOD] and are producible on request.</w:t>
      </w:r>
    </w:p>
    <w:p>
      <w:pPr>
        <w:keepNext/>
        <w:pBdr>
          <w:bottom w:val="single" w:color="9DB9E8" w:sz="4" w:space="3"/>
        </w:pBdr>
        <w:spacing w:after="100" w:before="260"/>
      </w:pPr>
      <w:r>
        <w:rPr>
          <w:rFonts w:ascii="Calibri" w:cs="Calibri" w:eastAsia="Calibri" w:hAnsi="Calibri"/>
          <w:b/>
          <w:bCs/>
          <w:color w:val="2E5AAC"/>
          <w:sz w:val="26"/>
          <w:szCs w:val="26"/>
        </w:rPr>
        <w:t xml:space="preserve">19. Customer-facing AI</w:t>
      </w:r>
    </w:p>
    <w:p>
      <w:pPr>
        <w:spacing w:after="110"/>
      </w:pPr>
      <w:r>
        <w:rPr>
          <w:rFonts w:ascii="Calibri" w:cs="Calibri" w:eastAsia="Calibri" w:hAnsi="Calibri"/>
          <w:color w:val="333A45"/>
          <w:sz w:val="21"/>
          <w:szCs w:val="21"/>
        </w:rPr>
        <w:t xml:space="preserve">19.1 A customer-facing AI system requires approval by the AI Governance Committee before launch.</w:t>
      </w:r>
    </w:p>
    <w:p>
      <w:pPr>
        <w:spacing w:after="110"/>
      </w:pPr>
      <w:r>
        <w:rPr>
          <w:rFonts w:ascii="Calibri" w:cs="Calibri" w:eastAsia="Calibri" w:hAnsi="Calibri"/>
          <w:color w:val="333A45"/>
          <w:sz w:val="21"/>
          <w:szCs w:val="21"/>
        </w:rPr>
        <w:t xml:space="preserve">19.2 [ORGANISATION] discloses that a customer is interacting with an AI system rather than a person. This is a house standard; it is not imposed by Singapore personal data protection law.</w:t>
      </w:r>
    </w:p>
    <w:p>
      <w:pPr>
        <w:spacing w:after="110"/>
      </w:pPr>
      <w:r>
        <w:rPr>
          <w:rFonts w:ascii="Calibri" w:cs="Calibri" w:eastAsia="Calibri" w:hAnsi="Calibri"/>
          <w:color w:val="333A45"/>
          <w:sz w:val="21"/>
          <w:szCs w:val="21"/>
        </w:rPr>
        <w:t xml:space="preserve">19.3 A route to a human is available and is not made deliberately difficult to find.</w:t>
      </w:r>
    </w:p>
    <w:p>
      <w:pPr>
        <w:spacing w:after="110"/>
      </w:pPr>
      <w:r>
        <w:rPr>
          <w:rFonts w:ascii="Calibri" w:cs="Calibri" w:eastAsia="Calibri" w:hAnsi="Calibri"/>
          <w:color w:val="333A45"/>
          <w:sz w:val="21"/>
          <w:szCs w:val="21"/>
        </w:rPr>
        <w:t xml:space="preserve">19.4 What the system may commit [ORGANISATION] to is bounded and documented. Where it cannot answer, it says so rather than producing a plausible answer.</w:t>
      </w:r>
    </w:p>
    <w:p>
      <w:pPr>
        <w:spacing w:after="110"/>
      </w:pPr>
      <w:r>
        <w:rPr>
          <w:rFonts w:ascii="Calibri" w:cs="Calibri" w:eastAsia="Calibri" w:hAnsi="Calibri"/>
          <w:color w:val="333A45"/>
          <w:sz w:val="21"/>
          <w:szCs w:val="21"/>
        </w:rPr>
        <w:t xml:space="preserve">19.5 Customer-facing systems are monitored for accuracy and for complaints, and the results are reported to the committee.</w:t>
      </w:r>
    </w:p>
    <w:p>
      <w:pPr>
        <w:keepNext/>
        <w:pBdr>
          <w:bottom w:val="single" w:color="9DB9E8" w:sz="4" w:space="3"/>
        </w:pBdr>
        <w:spacing w:after="100" w:before="260"/>
      </w:pPr>
      <w:r>
        <w:rPr>
          <w:rFonts w:ascii="Calibri" w:cs="Calibri" w:eastAsia="Calibri" w:hAnsi="Calibri"/>
          <w:b/>
          <w:bCs/>
          <w:color w:val="2E5AAC"/>
          <w:sz w:val="26"/>
          <w:szCs w:val="26"/>
        </w:rPr>
        <w:t xml:space="preserve">20. Fairness</w:t>
      </w:r>
    </w:p>
    <w:p>
      <w:pPr>
        <w:spacing w:after="110"/>
      </w:pPr>
      <w:r>
        <w:rPr>
          <w:rFonts w:ascii="Calibri" w:cs="Calibri" w:eastAsia="Calibri" w:hAnsi="Calibri"/>
          <w:color w:val="333A45"/>
          <w:sz w:val="21"/>
          <w:szCs w:val="21"/>
        </w:rPr>
        <w:t xml:space="preserve">20.1 AI systems used in decisions about people must not produce unjustified differences in outcome between groups. This is a house standard carrying no citation in this policy; [ORGANISATION] adopts it because a system that behaves this way cannot satisfy the reasonable-person standard that governs the whole statute, and because other law may apply to the decision itself.</w:t>
      </w:r>
    </w:p>
    <w:p>
      <w:pPr>
        <w:spacing w:after="110"/>
      </w:pPr>
      <w:r>
        <w:rPr>
          <w:rFonts w:ascii="Calibri" w:cs="Calibri" w:eastAsia="Calibri" w:hAnsi="Calibri"/>
          <w:color w:val="333A45"/>
          <w:sz w:val="21"/>
          <w:szCs w:val="21"/>
        </w:rPr>
        <w:t xml:space="preserve">20.2 Level 4 systems are tested before deployment and at least [annually] for disparate outcomes across the groups relevant to the decision, and the results are recorded.</w:t>
      </w:r>
    </w:p>
    <w:p>
      <w:pPr>
        <w:spacing w:after="110"/>
      </w:pPr>
      <w:r>
        <w:rPr>
          <w:rFonts w:ascii="Calibri" w:cs="Calibri" w:eastAsia="Calibri" w:hAnsi="Calibri"/>
          <w:color w:val="333A45"/>
          <w:sz w:val="21"/>
          <w:szCs w:val="21"/>
        </w:rPr>
        <w:t xml:space="preserve">20.3 Where a difference is found and cannot be justified, the system is not deployed, or is withdrawn.</w:t>
      </w:r>
    </w:p>
    <w:p>
      <w:pPr>
        <w:keepNext/>
        <w:pBdr>
          <w:bottom w:val="single" w:color="9DB9E8" w:sz="4" w:space="3"/>
        </w:pBdr>
        <w:spacing w:after="100" w:before="260"/>
      </w:pPr>
      <w:r>
        <w:rPr>
          <w:rFonts w:ascii="Calibri" w:cs="Calibri" w:eastAsia="Calibri" w:hAnsi="Calibri"/>
          <w:b/>
          <w:bCs/>
          <w:color w:val="2E5AAC"/>
          <w:sz w:val="26"/>
          <w:szCs w:val="26"/>
        </w:rPr>
        <w:t xml:space="preserve">21. Monitoring</w:t>
      </w:r>
    </w:p>
    <w:p>
      <w:pPr>
        <w:spacing w:after="110"/>
      </w:pPr>
      <w:r>
        <w:rPr>
          <w:rFonts w:ascii="Calibri" w:cs="Calibri" w:eastAsia="Calibri" w:hAnsi="Calibri"/>
          <w:color w:val="333A45"/>
          <w:sz w:val="21"/>
          <w:szCs w:val="21"/>
        </w:rPr>
        <w:t xml:space="preserve">21.1 [ORGANISATION] monitors use of AI tools on its systems and accounts for compliance with this policy, proportionately and in accordance with [ORGANISATION] monitoring policy and applicable employment obligations.</w:t>
      </w:r>
    </w:p>
    <w:p>
      <w:pPr>
        <w:spacing w:after="110"/>
      </w:pPr>
      <w:r>
        <w:rPr>
          <w:rFonts w:ascii="Calibri" w:cs="Calibri" w:eastAsia="Calibri" w:hAnsi="Calibri"/>
          <w:color w:val="333A45"/>
          <w:sz w:val="21"/>
          <w:szCs w:val="21"/>
        </w:rPr>
        <w:t xml:space="preserve">21.2 Monitoring covers approved-tool use, unapproved-tool discovery, and volumes of personal data placed in AI tools. It is not used to build profiles of individual staff beyond what compliance requires.</w:t>
      </w:r>
    </w:p>
    <w:p>
      <w:pPr>
        <w:spacing w:after="110"/>
      </w:pPr>
      <w:r>
        <w:rPr>
          <w:rFonts w:ascii="Calibri" w:cs="Calibri" w:eastAsia="Calibri" w:hAnsi="Calibri"/>
          <w:color w:val="333A45"/>
          <w:sz w:val="21"/>
          <w:szCs w:val="21"/>
        </w:rPr>
        <w:t xml:space="preserve">21.3 Staff are informed that monitoring takes place, and of its purpose, before it begins.</w:t>
      </w:r>
    </w:p>
    <w:p>
      <w:pPr>
        <w:keepNext/>
        <w:pBdr>
          <w:bottom w:val="single" w:color="9DB9E8" w:sz="4" w:space="3"/>
        </w:pBdr>
        <w:spacing w:after="100" w:before="260"/>
      </w:pPr>
      <w:r>
        <w:rPr>
          <w:rFonts w:ascii="Calibri" w:cs="Calibri" w:eastAsia="Calibri" w:hAnsi="Calibri"/>
          <w:b/>
          <w:bCs/>
          <w:color w:val="2E5AAC"/>
          <w:sz w:val="26"/>
          <w:szCs w:val="26"/>
        </w:rPr>
        <w:t xml:space="preserve">22. Responsibilities</w:t>
      </w:r>
    </w:p>
    <w:p>
      <w:pPr>
        <w:spacing w:after="110"/>
      </w:pPr>
      <w:r>
        <w:rPr>
          <w:rFonts w:ascii="Calibri" w:cs="Calibri" w:eastAsia="Calibri" w:hAnsi="Calibri"/>
          <w:b/>
          <w:bCs/>
          <w:color w:val="333A45"/>
          <w:sz w:val="21"/>
          <w:szCs w:val="21"/>
        </w:rPr>
        <w:t xml:space="preserve">All staff</w:t>
      </w:r>
      <w:r>
        <w:rPr>
          <w:rFonts w:ascii="Calibri" w:cs="Calibri" w:eastAsia="Calibri" w:hAnsi="Calibri"/>
          <w:color w:val="333A45"/>
          <w:sz w:val="21"/>
          <w:szCs w:val="21"/>
        </w:rPr>
        <w:t xml:space="preserve"> - use approved tools only; apply the correct level; verify output; report suspected breaches immediately; complete the required training; </w:t>
      </w:r>
      <w:r>
        <w:rPr>
          <w:rFonts w:ascii="Calibri" w:cs="Calibri" w:eastAsia="Calibri" w:hAnsi="Calibri"/>
          <w:b/>
          <w:bCs/>
          <w:color w:val="333A45"/>
          <w:sz w:val="21"/>
          <w:szCs w:val="21"/>
        </w:rPr>
        <w:t xml:space="preserve">check the approved list before entering personal data anywhere</w:t>
      </w:r>
      <w:r>
        <w:rPr>
          <w:rFonts w:ascii="Calibri" w:cs="Calibri" w:eastAsia="Calibri" w:hAnsi="Calibri"/>
          <w:color w:val="333A45"/>
          <w:sz w:val="21"/>
          <w:szCs w:val="21"/>
        </w:rPr>
        <w:t xml:space="preserve">.</w:t>
      </w:r>
    </w:p>
    <w:p>
      <w:pPr>
        <w:spacing w:after="110"/>
      </w:pPr>
      <w:r>
        <w:rPr>
          <w:rFonts w:ascii="Calibri" w:cs="Calibri" w:eastAsia="Calibri" w:hAnsi="Calibri"/>
          <w:b/>
          <w:bCs/>
          <w:color w:val="333A45"/>
          <w:sz w:val="21"/>
          <w:szCs w:val="21"/>
        </w:rPr>
        <w:t xml:space="preserve">Managers</w:t>
      </w:r>
      <w:r>
        <w:rPr>
          <w:rFonts w:ascii="Calibri" w:cs="Calibri" w:eastAsia="Calibri" w:hAnsi="Calibri"/>
          <w:color w:val="333A45"/>
          <w:sz w:val="21"/>
          <w:szCs w:val="21"/>
        </w:rPr>
        <w:t xml:space="preserve"> - ensure their teams know this policy; approve level classifications within their area; escalate Level 4 uses.</w:t>
      </w:r>
    </w:p>
    <w:p>
      <w:pPr>
        <w:spacing w:after="110"/>
      </w:pPr>
      <w:r>
        <w:rPr>
          <w:rFonts w:ascii="Calibri" w:cs="Calibri" w:eastAsia="Calibri" w:hAnsi="Calibri"/>
          <w:b/>
          <w:bCs/>
          <w:color w:val="333A45"/>
          <w:sz w:val="21"/>
          <w:szCs w:val="21"/>
        </w:rPr>
        <w:t xml:space="preserve">Business owners of AI systems</w:t>
      </w:r>
      <w:r>
        <w:rPr>
          <w:rFonts w:ascii="Calibri" w:cs="Calibri" w:eastAsia="Calibri" w:hAnsi="Calibri"/>
          <w:color w:val="333A45"/>
          <w:sz w:val="21"/>
          <w:szCs w:val="21"/>
        </w:rPr>
        <w:t xml:space="preserve"> - maintain the inventory record; hold the lawful basis, the assessment and the transfer basis; own the retention position; own the supplier relationship.</w:t>
      </w:r>
    </w:p>
    <w:p>
      <w:pPr>
        <w:spacing w:after="110"/>
      </w:pPr>
      <w:r>
        <w:rPr>
          <w:rFonts w:ascii="Calibri" w:cs="Calibri" w:eastAsia="Calibri" w:hAnsi="Calibri"/>
          <w:b/>
          <w:bCs/>
          <w:color w:val="333A45"/>
          <w:sz w:val="21"/>
          <w:szCs w:val="21"/>
        </w:rPr>
        <w:t xml:space="preserve">Data protection lead</w:t>
      </w:r>
      <w:r>
        <w:rPr>
          <w:rFonts w:ascii="Calibri" w:cs="Calibri" w:eastAsia="Calibri" w:hAnsi="Calibri"/>
          <w:color w:val="333A45"/>
          <w:sz w:val="21"/>
          <w:szCs w:val="21"/>
        </w:rPr>
        <w:t xml:space="preserve"> - lawful bases, assessments, individuals' requests, breach assessment and notification, transfer requirements, retention standards, regulator guidance. Their business contact information is published as the law requires. They are not instructed on how to perform the role.</w:t>
      </w:r>
    </w:p>
    <w:p>
      <w:pPr>
        <w:spacing w:after="110"/>
      </w:pPr>
      <w:r>
        <w:rPr>
          <w:rFonts w:ascii="Calibri" w:cs="Calibri" w:eastAsia="Calibri" w:hAnsi="Calibri"/>
          <w:b/>
          <w:bCs/>
          <w:color w:val="333A45"/>
          <w:sz w:val="21"/>
          <w:szCs w:val="21"/>
        </w:rPr>
        <w:t xml:space="preserve">Policy owner</w:t>
      </w:r>
      <w:r>
        <w:rPr>
          <w:rFonts w:ascii="Calibri" w:cs="Calibri" w:eastAsia="Calibri" w:hAnsi="Calibri"/>
          <w:color w:val="333A45"/>
          <w:sz w:val="21"/>
          <w:szCs w:val="21"/>
        </w:rPr>
        <w:t xml:space="preserve"> - the approved tools list, security review, monitoring, exceptions, and this policy.</w:t>
      </w:r>
    </w:p>
    <w:p>
      <w:pPr>
        <w:spacing w:after="110"/>
      </w:pPr>
      <w:r>
        <w:rPr>
          <w:rFonts w:ascii="Calibri" w:cs="Calibri" w:eastAsia="Calibri" w:hAnsi="Calibri"/>
          <w:b/>
          <w:bCs/>
          <w:color w:val="333A45"/>
          <w:sz w:val="21"/>
          <w:szCs w:val="21"/>
        </w:rPr>
        <w:t xml:space="preserve">AI Governance Committee</w:t>
      </w:r>
      <w:r>
        <w:rPr>
          <w:rFonts w:ascii="Calibri" w:cs="Calibri" w:eastAsia="Calibri" w:hAnsi="Calibri"/>
          <w:color w:val="333A45"/>
          <w:sz w:val="21"/>
          <w:szCs w:val="21"/>
        </w:rPr>
        <w:t xml:space="preserve"> - Level 4 approvals, customer-facing systems, exceptions, metrics, and regulatory change.</w:t>
      </w:r>
    </w:p>
    <w:p>
      <w:pPr>
        <w:keepNext/>
        <w:pBdr>
          <w:bottom w:val="single" w:color="9DB9E8" w:sz="4" w:space="3"/>
        </w:pBdr>
        <w:spacing w:after="100" w:before="260"/>
      </w:pPr>
      <w:r>
        <w:rPr>
          <w:rFonts w:ascii="Calibri" w:cs="Calibri" w:eastAsia="Calibri" w:hAnsi="Calibri"/>
          <w:b/>
          <w:bCs/>
          <w:color w:val="2E5AAC"/>
          <w:sz w:val="26"/>
          <w:szCs w:val="26"/>
        </w:rPr>
        <w:t xml:space="preserve">23. Knowledge, skills and acknowledgement</w:t>
      </w:r>
    </w:p>
    <w:p>
      <w:pPr>
        <w:spacing w:after="110"/>
      </w:pPr>
      <w:r>
        <w:rPr>
          <w:rFonts w:ascii="Calibri" w:cs="Calibri" w:eastAsia="Calibri" w:hAnsi="Calibri"/>
          <w:color w:val="333A45"/>
          <w:sz w:val="21"/>
          <w:szCs w:val="21"/>
        </w:rPr>
        <w:t xml:space="preserve">23.1 Staff who use AI tools with personal data complete training covering this policy, the lawful bases at Section 7, and </w:t>
      </w:r>
      <w:r>
        <w:rPr>
          <w:rFonts w:ascii="Calibri" w:cs="Calibri" w:eastAsia="Calibri" w:hAnsi="Calibri"/>
          <w:b/>
          <w:bCs/>
          <w:color w:val="333A45"/>
          <w:sz w:val="21"/>
          <w:szCs w:val="21"/>
        </w:rPr>
        <w:t xml:space="preserve">Section 11</w:t>
      </w:r>
      <w:r>
        <w:rPr>
          <w:rFonts w:ascii="Calibri" w:cs="Calibri" w:eastAsia="Calibri" w:hAnsi="Calibri"/>
          <w:color w:val="333A45"/>
          <w:sz w:val="21"/>
          <w:szCs w:val="21"/>
        </w:rPr>
        <w:t xml:space="preserve">, before access is granted and at least [annually] thereafter.</w:t>
      </w:r>
    </w:p>
    <w:p>
      <w:pPr>
        <w:spacing w:after="110"/>
      </w:pPr>
      <w:r>
        <w:rPr>
          <w:rFonts w:ascii="Calibri" w:cs="Calibri" w:eastAsia="Calibri" w:hAnsi="Calibri"/>
          <w:color w:val="333A45"/>
          <w:sz w:val="21"/>
          <w:szCs w:val="21"/>
        </w:rPr>
        <w:t xml:space="preserve">23.2 Staff who make or inform Level 4 decisions complete additional training on the limits of AI output and on the determination required at Section 10.</w:t>
      </w:r>
    </w:p>
    <w:p>
      <w:pPr>
        <w:spacing w:after="110"/>
      </w:pPr>
      <w:r>
        <w:rPr>
          <w:rFonts w:ascii="Calibri" w:cs="Calibri" w:eastAsia="Calibri" w:hAnsi="Calibri"/>
          <w:color w:val="333A45"/>
          <w:sz w:val="21"/>
          <w:szCs w:val="21"/>
        </w:rPr>
        <w:t xml:space="preserve">23.3 Staff acknowledge this policy on joining, on material revision, and at least annually.</w:t>
      </w:r>
    </w:p>
    <w:p>
      <w:pPr>
        <w:spacing w:after="110"/>
      </w:pPr>
      <w:r>
        <w:rPr>
          <w:rFonts w:ascii="Calibri" w:cs="Calibri" w:eastAsia="Calibri" w:hAnsi="Calibri"/>
          <w:color w:val="333A45"/>
          <w:sz w:val="21"/>
          <w:szCs w:val="21"/>
        </w:rPr>
        <w:t xml:space="preserve">23.4 Questions go to [CONTACT]. Asking before acting is always acceptable.</w:t>
      </w:r>
    </w:p>
    <w:p>
      <w:pPr>
        <w:spacing w:after="110"/>
      </w:pPr>
      <w:r>
        <w:rPr>
          <w:rFonts w:ascii="Calibri" w:cs="Calibri" w:eastAsia="Calibri" w:hAnsi="Calibri"/>
          <w:b/>
          <w:bCs/>
          <w:color w:val="333A45"/>
          <w:sz w:val="21"/>
          <w:szCs w:val="21"/>
        </w:rPr>
        <w:t xml:space="preserve">Version history:</w:t>
      </w:r>
      <w:r>
        <w:rPr>
          <w:rFonts w:ascii="Calibri" w:cs="Calibri" w:eastAsia="Calibri" w:hAnsi="Calibri"/>
          <w:color w:val="333A45"/>
          <w:sz w:val="21"/>
          <w:szCs w:val="21"/>
        </w:rPr>
        <w:t xml:space="preserve"> 1.0 - initial policy, published 2 September 2026; every citation verified by direct reading of the enacted Act, with the prescribed figures in subordinate legislation routed per the research note rather than asserted.</w:t>
      </w:r>
    </w:p>
    <w:p>
      <w:pPr>
        <w:spacing w:after="110"/>
      </w:pPr>
      <w:r>
        <w:rPr>
          <w:rFonts w:ascii="Calibri" w:cs="Calibri" w:eastAsia="Calibri" w:hAnsi="Calibri"/>
          <w:i/>
          <w:iCs/>
          <w:color w:val="5A6472"/>
          <w:sz w:val="19"/>
          <w:szCs w:val="19"/>
        </w:rPr>
        <w:t xml:space="preserve">This document is an educational policy template and does not constitute legal advice. It reflects obligations under Singapore personal data protection law as set out in the accompanying research note, and must be reviewed by the data protection lead or qualified legal counsel before adoption.</w:t>
      </w:r>
    </w:p>
    <w:sectPr>
      <w:footerReference w:type="default" r:id="rId7"/>
      <w:pgSz w:w="11906" w:h="16838" w:orient="portrait"/>
      <w:pgMar w:top="1240" w:right="1300" w:bottom="12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DB9E8" w:sz="4" w:space="4"/>
      </w:pBdr>
      <w:jc w:val="center"/>
    </w:pPr>
    <w:r>
      <w:rPr>
        <w:rFonts w:ascii="Calibri" w:cs="Calibri" w:eastAsia="Calibri" w:hAnsi="Calibri"/>
        <w:color w:val="5A6472"/>
        <w:sz w:val="16"/>
        <w:szCs w:val="16"/>
      </w:rPr>
      <w:t xml:space="preserve">AI Acceptable Use Policy - v1.0 - Internal   |   Page </w:t>
    </w:r>
    <w:r>
      <w:rPr>
        <w:rFonts w:ascii="Calibri" w:cs="Calibri" w:eastAsia="Calibri" w:hAnsi="Calibri"/>
        <w:color w:val="5A6472"/>
        <w:sz w:val="16"/>
        <w:szCs w:val="16"/>
      </w:rPr>
      <w:fldChar w:fldCharType="begin"/>
      <w:instrText xml:space="preserve">PAGE</w:instrText>
      <w:fldChar w:fldCharType="separate"/>
      <w:fldChar w:fldCharType="end"/>
    </w:r>
    <w:r>
      <w:rPr>
        <w:rFonts w:ascii="Calibri" w:cs="Calibri" w:eastAsia="Calibri" w:hAnsi="Calibri"/>
        <w:color w:val="5A6472"/>
        <w:sz w:val="16"/>
        <w:szCs w:val="16"/>
      </w:rPr>
      <w:t xml:space="preserve"> of </w:t>
    </w:r>
    <w:r>
      <w:rPr>
        <w:rFonts w:ascii="Calibri" w:cs="Calibri" w:eastAsia="Calibri" w:hAnsi="Calibri"/>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rPr>
        <w:color w:val="2E5AA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A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Acceptable Use Policy (Singapore)</dc:title>
  <dc:creator>Narendra Karki</dc:creator>
  <cp:lastModifiedBy>Narendra Karki</cp:lastModifiedBy>
  <cp:revision>1</cp:revision>
  <dcterms:created xsi:type="dcterms:W3CDTF">2026-09-02T05:24:13.635Z</dcterms:created>
  <dcterms:modified xsi:type="dcterms:W3CDTF">2026-09-02T05:24:13.649Z</dcterms:modified>
</cp:coreProperties>
</file>

<file path=docProps/custom.xml><?xml version="1.0" encoding="utf-8"?>
<Properties xmlns="http://schemas.openxmlformats.org/officeDocument/2006/custom-properties" xmlns:vt="http://schemas.openxmlformats.org/officeDocument/2006/docPropsVTypes"/>
</file>