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2E5AAC" w:sz="12" w:space="6"/>
        </w:pBdr>
        <w:spacing w:after="60"/>
      </w:pPr>
      <w:r>
        <w:rPr>
          <w:rFonts w:ascii="Calibri" w:cs="Calibri" w:eastAsia="Calibri" w:hAnsi="Calibri"/>
          <w:b/>
          <w:bCs/>
          <w:color w:val="1F3864"/>
          <w:sz w:val="42"/>
          <w:szCs w:val="42"/>
        </w:rPr>
        <w:t xml:space="preserve">Source register - Singapore AI policy set</w:t>
      </w:r>
    </w:p>
    <w:p>
      <w:pPr>
        <w:spacing w:after="110"/>
      </w:pPr>
      <w:r>
        <w:rPr>
          <w:rFonts w:ascii="Calibri" w:cs="Calibri" w:eastAsia="Calibri" w:hAnsi="Calibri"/>
          <w:color w:val="333A45"/>
          <w:sz w:val="21"/>
          <w:szCs w:val="21"/>
        </w:rPr>
        <w:t xml:space="preserve">Every document referred to, used, or deliberately not used in producing the Singapore AI Acceptable Use Policy v1.0, the Enterprise Annex v1.0, and the research note.</w:t>
      </w:r>
    </w:p>
    <w:p>
      <w:pPr>
        <w:spacing w:after="110"/>
      </w:pPr>
      <w:r>
        <w:rPr>
          <w:rFonts w:ascii="Calibri" w:cs="Calibri" w:eastAsia="Calibri" w:hAnsi="Calibri"/>
          <w:color w:val="333A45"/>
          <w:sz w:val="21"/>
          <w:szCs w:val="21"/>
        </w:rPr>
        <w:t xml:space="preserve">State as at 31 August 2026. Hashes are SHA-256 of the file as supplied, truncated to 16 characters.</w:t>
      </w:r>
    </w:p>
    <w:p>
      <w:pPr>
        <w:keepNext/>
        <w:pBdr>
          <w:bottom w:val="single" w:color="9DB9E8" w:sz="4" w:space="3"/>
        </w:pBdr>
        <w:spacing w:after="100" w:before="260"/>
      </w:pPr>
      <w:r>
        <w:rPr>
          <w:rFonts w:ascii="Calibri" w:cs="Calibri" w:eastAsia="Calibri" w:hAnsi="Calibri"/>
          <w:b/>
          <w:bCs/>
          <w:color w:val="2E5AAC"/>
          <w:sz w:val="26"/>
          <w:szCs w:val="26"/>
        </w:rPr>
        <w:t xml:space="preserve">1. Primary law - HELD AND CITED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1800"/>
        <w:gridCol w:w="1800"/>
        <w:gridCol w:w="1800"/>
        <w:gridCol w:w="1800"/>
        <w:gridCol w:w="1800"/>
      </w:tblGrid>
      <w:tr>
        <w:trPr>
          <w:tblHeader/>
        </w:trPr>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Instrument</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c>
          <w:tcPr>
            <w:tcW w:type="dxa" w:w="18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Provisions cited</w:t>
            </w:r>
          </w:p>
        </w:tc>
      </w:tr>
      <w:tr>
        <w:trPr>
          <w:tblHeader w:val="false"/>
        </w:trPr>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w:t>
            </w:r>
          </w:p>
        </w:tc>
        <w:tc>
          <w:tcPr>
            <w:tcW w:type="dxa" w:w="18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Personal Data Protection Act 2012</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2020 Revised Edition, current to Act 19 of 2025 (commenced 5 December 2025). Full enacted text with schedules and legislative history</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d41a91872422d696</w:t>
            </w:r>
          </w:p>
        </w:tc>
        <w:tc>
          <w:tcPr>
            <w:tcW w:type="dxa" w:w="18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ss. 2(1), 4(1)-(6), 5, 11, 12, 13, 14, 15, 15A, 16, 17, 18, 20, 21, 22, 22A, 23, 24, 25, 26, 26A, 26B, 26C, 26D, 26E, 48D, 48E, 48F, 48G, 48I, 48J, 48L, 48O, 49; First Schedule Parts 3, 4, 5; Second Schedule Part 2 Divisions 2 and 3; Fifth Schedule; Sixth Schedule; Eleventh Schedule</w:t>
            </w:r>
          </w:p>
        </w:tc>
      </w:tr>
    </w:tbl>
    <w:p>
      <w:pPr>
        <w:spacing w:after="120"/>
      </w:pPr>
    </w:p>
    <w:p>
      <w:pPr>
        <w:spacing w:after="110"/>
      </w:pPr>
      <w:r>
        <w:rPr>
          <w:rFonts w:ascii="Calibri" w:cs="Calibri" w:eastAsia="Calibri" w:hAnsi="Calibri"/>
          <w:b/>
          <w:bCs/>
          <w:color w:val="333A45"/>
          <w:sz w:val="21"/>
          <w:szCs w:val="21"/>
        </w:rPr>
        <w:t xml:space="preserve">There is one instrument in this set.</w:t>
      </w:r>
      <w:r>
        <w:rPr>
          <w:rFonts w:ascii="Calibri" w:cs="Calibri" w:eastAsia="Calibri" w:hAnsi="Calibri"/>
          <w:color w:val="333A45"/>
          <w:sz w:val="21"/>
          <w:szCs w:val="21"/>
        </w:rPr>
        <w:t xml:space="preserve"> That is unusual and is stated here so it is not mistaken for an omission. Section 3 records what would be needed to make it more than one.</w:t>
      </w:r>
    </w:p>
    <w:p>
      <w:pPr>
        <w:keepNext/>
        <w:pBdr>
          <w:bottom w:val="single" w:color="9DB9E8" w:sz="4" w:space="3"/>
        </w:pBdr>
        <w:spacing w:after="100" w:before="260"/>
      </w:pPr>
      <w:r>
        <w:rPr>
          <w:rFonts w:ascii="Calibri" w:cs="Calibri" w:eastAsia="Calibri" w:hAnsi="Calibri"/>
          <w:b/>
          <w:bCs/>
          <w:color w:val="2E5AAC"/>
          <w:sz w:val="26"/>
          <w:szCs w:val="26"/>
        </w:rPr>
        <w:t xml:space="preserve">2. HELD BUT NOT CITED</w:t>
      </w:r>
    </w:p>
    <w:p>
      <w:pPr>
        <w:spacing w:after="110"/>
      </w:pPr>
      <w:r>
        <w:rPr>
          <w:rFonts w:ascii="Calibri" w:cs="Calibri" w:eastAsia="Calibri" w:hAnsi="Calibri"/>
          <w:color w:val="333A45"/>
          <w:sz w:val="21"/>
          <w:szCs w:val="21"/>
        </w:rPr>
        <w:t xml:space="preserve">None. Every document supplied for Singapore is at row 1, and every part of it that bears on the policy has been cited.</w:t>
      </w:r>
    </w:p>
    <w:p>
      <w:pPr>
        <w:keepNext/>
        <w:pBdr>
          <w:bottom w:val="single" w:color="9DB9E8" w:sz="4" w:space="3"/>
        </w:pBdr>
        <w:spacing w:after="100" w:before="260"/>
      </w:pPr>
      <w:r>
        <w:rPr>
          <w:rFonts w:ascii="Calibri" w:cs="Calibri" w:eastAsia="Calibri" w:hAnsi="Calibri"/>
          <w:b/>
          <w:bCs/>
          <w:color w:val="2E5AAC"/>
          <w:sz w:val="26"/>
          <w:szCs w:val="26"/>
        </w:rPr>
        <w:t xml:space="preserve">3. NOT HELD - the gaps that shape what these documents can say</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4500"/>
        <w:gridCol w:w="4500"/>
      </w:tblGrid>
      <w:tr>
        <w:trPr>
          <w:tblHeader/>
        </w:trPr>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What is missing</w:t>
            </w:r>
          </w:p>
        </w:tc>
        <w:tc>
          <w:tcPr>
            <w:tcW w:type="dxa" w:w="45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Consequence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Personal Data Protection Regulations 2021</w:t>
            </w:r>
          </w:p>
        </w:tc>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The largest gap.</w:t>
            </w:r>
            <w:r>
              <w:rPr>
                <w:rFonts w:ascii="Calibri" w:cs="Calibri" w:eastAsia="Calibri" w:hAnsi="Calibri"/>
                <w:color w:val="333A45"/>
                <w:sz w:val="19"/>
                <w:szCs w:val="19"/>
              </w:rPr>
              <w:t xml:space="preserve"> Carries the prescribed classes of personal data and the prescribed number of affected individuals that fix the breach-notification thresholds (s.26B(2)(a), (3)(a)); the prescribed transfer requirements (s.26(1)); the access-rejection time (s.21(6)); the preservation period for refused access requests (s.22A(1)); the notification form and content (s.26D(3)-(4)). Policy 8.5, 16.3 and 17.4 name the obligation and route the figures to the data protection lead rather than stating them</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PDPC advisory guidelines on AI recommendation and decision systems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Issued under s.49 and not held. Nothing in this set asserts what the Commission's stated interpretation is. Policy 4.3 commits to recording and assessing guidance instead</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PDPC Model AI Governance Framework</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Not held, not cited, not asserted anywhere</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Personal Data Protection (Amendment) Act 2020 and its commencement notifications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Would explain the absence of Part 6B and the Twelfth Schedule from the enacted text. Research note 4.2 states the observed fact and marks the explanation as an unverified inference</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Sector regulator instruments</w:t>
            </w:r>
            <w:r>
              <w:rPr>
                <w:rFonts w:ascii="Calibri" w:cs="Calibri" w:eastAsia="Calibri" w:hAnsi="Calibri"/>
                <w:color w:val="333A45"/>
                <w:sz w:val="19"/>
                <w:szCs w:val="19"/>
              </w:rPr>
              <w:t xml:space="preserve"> on technology risk, outsourcing and operational resilience</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 sector overlay exists. Annex A13.2 says so explicitly rather than gesturing at it</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Employment law and anti-discrimination instruments</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20 and 21 carry no citation and are house standards</w:t>
            </w:r>
          </w:p>
        </w:tc>
      </w:tr>
      <w:tr>
        <w:trPr>
          <w:tblHeader w:val="false"/>
        </w:trPr>
        <w:tc>
          <w:tcPr>
            <w:tcW w:type="dxa" w:w="45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Intellectual property law</w:t>
            </w:r>
          </w:p>
        </w:tc>
        <w:tc>
          <w:tcPr>
            <w:tcW w:type="dxa" w:w="45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Policy 18 is a house standard; no statutory basis asserted</w:t>
            </w:r>
          </w:p>
        </w:tc>
      </w:tr>
      <w:tr>
        <w:trPr>
          <w:tblHeader w:val="false"/>
        </w:trPr>
        <w:tc>
          <w:tcPr>
            <w:tcW w:type="dxa" w:w="45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Commission decisions and case law</w:t>
            </w:r>
          </w:p>
        </w:tc>
        <w:tc>
          <w:tcPr>
            <w:tcW w:type="dxa" w:w="45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No enforcement decision or judgment is relied on anywhere in the set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4. Documents supplied for other jurisdictions in the same batch, and NOT used here</w:t>
      </w:r>
    </w:p>
    <w:p>
      <w:pPr>
        <w:spacing w:after="110"/>
      </w:pPr>
      <w:r>
        <w:rPr>
          <w:rFonts w:ascii="Calibri" w:cs="Calibri" w:eastAsia="Calibri" w:hAnsi="Calibri"/>
          <w:color w:val="333A45"/>
          <w:sz w:val="21"/>
          <w:szCs w:val="21"/>
        </w:rPr>
        <w:t xml:space="preserve">These were supplied alongside the Act and have no bearing on the Singapore set. They are listed so it is clear they were read and set aside rather than overlooked.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Jurisdiction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SHA-256</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G.S.R. 846(E), 13 Nov 2025 - Digital Personal Data Protection Rules, 2025</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eabc7d05e0131446</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G.S.R. 892(E), 10 Dec 2025 - Corrigenda to G.S.R. 846(E)</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8f8d9526b5118018</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G.S.R. 845(E), 13 Nov 2025 - Data Protection Board membership</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India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812fe0ce802fe78f</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DIFC Regulation 10 Accreditation and Certification Framework</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UAE (DIFC)</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1557019ef9551bbe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NDMO Data Management and Personal Data Protection Standards v1.5</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784fdaae1ff5d9de</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Data Sharing Policy v2.0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93e843b8a20a75de</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National Data Governance Policies - Data Classification Policy v1</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Saudi Arabia</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bfad974c5343b264</w:t>
            </w:r>
          </w:p>
        </w:tc>
      </w:tr>
    </w:tbl>
    <w:p>
      <w:pPr>
        <w:spacing w:after="120"/>
      </w:pPr>
    </w:p>
    <w:p>
      <w:pPr>
        <w:spacing w:after="110"/>
      </w:pPr>
      <w:r>
        <w:rPr>
          <w:rFonts w:ascii="Calibri" w:cs="Calibri" w:eastAsia="Calibri" w:hAnsi="Calibri"/>
          <w:color w:val="333A45"/>
          <w:sz w:val="21"/>
          <w:szCs w:val="21"/>
        </w:rPr>
        <w:t xml:space="preserve">Three byte-identical copies of the NDMO standards were supplied; the duplicates were discarded.</w:t>
      </w:r>
    </w:p>
    <w:p>
      <w:pPr>
        <w:keepNext/>
        <w:pBdr>
          <w:bottom w:val="single" w:color="9DB9E8" w:sz="4" w:space="3"/>
        </w:pBdr>
        <w:spacing w:after="100" w:before="260"/>
      </w:pPr>
      <w:r>
        <w:rPr>
          <w:rFonts w:ascii="Calibri" w:cs="Calibri" w:eastAsia="Calibri" w:hAnsi="Calibri"/>
          <w:b/>
          <w:bCs/>
          <w:color w:val="2E5AAC"/>
          <w:sz w:val="26"/>
          <w:szCs w:val="26"/>
        </w:rPr>
        <w:t xml:space="preserve">5. Document architecture</w:t>
      </w:r>
    </w:p>
    <w:p>
      <w:pPr>
        <w:spacing w:after="110"/>
      </w:pPr>
      <w:r>
        <w:rPr>
          <w:rFonts w:ascii="Calibri" w:cs="Calibri" w:eastAsia="Calibri" w:hAnsi="Calibri"/>
          <w:color w:val="333A45"/>
          <w:sz w:val="21"/>
          <w:szCs w:val="21"/>
        </w:rPr>
        <w:t xml:space="preserve">[ORGANISATION] supplied an existing policy set as a structural template. Only its architecture was used: section order, tone, the convention that section numbers live in the research note rather than the policy body, and the practice of flagging house standards that exceed statute.</w:t>
      </w:r>
    </w:p>
    <w:p>
      <w:pPr>
        <w:spacing w:after="110"/>
      </w:pPr>
      <w:r>
        <w:rPr>
          <w:rFonts w:ascii="Calibri" w:cs="Calibri" w:eastAsia="Calibri" w:hAnsi="Calibri"/>
          <w:b/>
          <w:bCs/>
          <w:color w:val="333A45"/>
          <w:sz w:val="21"/>
          <w:szCs w:val="21"/>
        </w:rPr>
        <w:t xml:space="preserve">No legal source from that template was carried across.</w:t>
      </w:r>
      <w:r>
        <w:rPr>
          <w:rFonts w:ascii="Calibri" w:cs="Calibri" w:eastAsia="Calibri" w:hAnsi="Calibri"/>
          <w:color w:val="333A45"/>
          <w:sz w:val="21"/>
          <w:szCs w:val="21"/>
        </w:rPr>
        <w:t xml:space="preserve"> Every obligation in this set was derived independently from the instrument in section 1. Where the template carried a citation and no equivalent Singapore provision exists, the clause here is an unsourced house standard and is labelled as such in the policy text itself, not only in this register.</w:t>
      </w:r>
    </w:p>
    <w:p>
      <w:pPr>
        <w:keepNext/>
        <w:pBdr>
          <w:bottom w:val="single" w:color="9DB9E8" w:sz="4" w:space="3"/>
        </w:pBdr>
        <w:spacing w:after="100" w:before="260"/>
      </w:pPr>
      <w:r>
        <w:rPr>
          <w:rFonts w:ascii="Calibri" w:cs="Calibri" w:eastAsia="Calibri" w:hAnsi="Calibri"/>
          <w:b/>
          <w:bCs/>
          <w:color w:val="2E5AAC"/>
          <w:sz w:val="26"/>
          <w:szCs w:val="26"/>
        </w:rPr>
        <w:t xml:space="preserve">6. Documents PRODUCED</w:t>
      </w:r>
    </w:p>
    <w:tbl>
      <w:tblPr>
        <w:tblW w:type="dxa" w:w="9000"/>
        <w:tblBorders>
          <w:top w:val="single" w:color="9DB9E8" w:sz="4"/>
          <w:left w:val="single" w:color="9DB9E8" w:sz="4"/>
          <w:bottom w:val="single" w:color="9DB9E8" w:sz="4"/>
          <w:right w:val="single" w:color="9DB9E8" w:sz="4"/>
          <w:insideH w:val="single" w:color="9DB9E8" w:sz="4"/>
          <w:insideV w:val="single" w:color="9DB9E8" w:sz="4"/>
        </w:tblBorders>
      </w:tblPr>
      <w:tblGrid>
        <w:gridCol w:w="3000"/>
        <w:gridCol w:w="3000"/>
        <w:gridCol w:w="3000"/>
      </w:tblGrid>
      <w:tr>
        <w:trPr>
          <w:tblHeader/>
        </w:trPr>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Document</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Version</w:t>
            </w:r>
          </w:p>
        </w:tc>
        <w:tc>
          <w:tcPr>
            <w:tcW w:type="dxa" w:w="3000"/>
            <w:shd w:fill="2E5AAC" w:val="clear"/>
            <w:tcMar>
              <w:top w:type="dxa" w:w="80"/>
              <w:left w:type="dxa" w:w="110"/>
              <w:bottom w:type="dxa" w:w="80"/>
              <w:right w:type="dxa" w:w="110"/>
            </w:tcMar>
          </w:tcPr>
          <w:p>
            <w:pPr>
              <w:spacing w:after="0" w:before="0"/>
            </w:pPr>
            <w:r>
              <w:rPr>
                <w:rFonts w:ascii="Calibri" w:cs="Calibri" w:eastAsia="Calibri" w:hAnsi="Calibri"/>
                <w:b/>
                <w:bCs/>
                <w:color w:val="FFFFFF"/>
                <w:sz w:val="19"/>
                <w:szCs w:val="19"/>
              </w:rPr>
              <w:t xml:space="preserve">Status</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Singapore_AI_Acceptable_Use_Policy.md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2 Sep 2026</w:t>
            </w:r>
            <w:r>
              <w:rPr>
                <w:rFonts w:ascii="Calibri" w:cs="Calibri" w:eastAsia="Calibri" w:hAnsi="Calibri"/>
                <w:color w:val="333A45"/>
                <w:sz w:val="19"/>
                <w:szCs w:val="19"/>
              </w:rPr>
              <w:t xml:space="preserve"> - verified against the enacted Act; gates stated</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Singapore_AI_Governance_Enterprise_Annex.md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b/>
                <w:bCs/>
                <w:color w:val="333A45"/>
                <w:sz w:val="19"/>
                <w:szCs w:val="19"/>
              </w:rPr>
              <w:t xml:space="preserve">Published 2 Sep 2026</w:t>
            </w:r>
            <w:r>
              <w:rPr>
                <w:rFonts w:ascii="Calibri" w:cs="Calibri" w:eastAsia="Calibri" w:hAnsi="Calibri"/>
                <w:color w:val="333A45"/>
                <w:sz w:val="19"/>
                <w:szCs w:val="19"/>
              </w:rPr>
              <w:t xml:space="preserve"> - verified against the enacted Act; gates stated</w:t>
            </w:r>
          </w:p>
        </w:tc>
      </w:tr>
      <w:tr>
        <w:trPr>
          <w:tblHeader w:val="false"/>
        </w:trPr>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Singapore_policy_research_note.md</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1.0</w:t>
            </w:r>
          </w:p>
        </w:tc>
        <w:tc>
          <w:tcPr>
            <w:tcW w:type="dxa" w:w="3000"/>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Citations, findings, limitations</w:t>
            </w:r>
          </w:p>
        </w:tc>
      </w:tr>
      <w:tr>
        <w:trPr>
          <w:tblHeader w:val="false"/>
        </w:trPr>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Singapore_source_register.md</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1.1</w:t>
            </w:r>
          </w:p>
        </w:tc>
        <w:tc>
          <w:tcPr>
            <w:tcW w:type="dxa" w:w="3000"/>
            <w:shd w:fill="EDF2FA" w:val="clear"/>
            <w:tcMar>
              <w:top w:type="dxa" w:w="80"/>
              <w:left w:type="dxa" w:w="110"/>
              <w:bottom w:type="dxa" w:w="80"/>
              <w:right w:type="dxa" w:w="110"/>
            </w:tcMar>
          </w:tcPr>
          <w:p>
            <w:pPr>
              <w:spacing w:after="0" w:before="0"/>
            </w:pPr>
            <w:r>
              <w:rPr>
                <w:rFonts w:ascii="Calibri" w:cs="Calibri" w:eastAsia="Calibri" w:hAnsi="Calibri"/>
                <w:color w:val="333A45"/>
                <w:sz w:val="19"/>
                <w:szCs w:val="19"/>
              </w:rPr>
              <w:t xml:space="preserve">This document</w:t>
            </w:r>
          </w:p>
        </w:tc>
      </w:tr>
    </w:tbl>
    <w:p>
      <w:pPr>
        <w:spacing w:after="120"/>
      </w:pPr>
    </w:p>
    <w:p>
      <w:pPr>
        <w:keepNext/>
        <w:pBdr>
          <w:bottom w:val="single" w:color="9DB9E8" w:sz="4" w:space="3"/>
        </w:pBdr>
        <w:spacing w:after="100" w:before="260"/>
      </w:pPr>
      <w:r>
        <w:rPr>
          <w:rFonts w:ascii="Calibri" w:cs="Calibri" w:eastAsia="Calibri" w:hAnsi="Calibri"/>
          <w:b/>
          <w:bCs/>
          <w:color w:val="2E5AAC"/>
          <w:sz w:val="26"/>
          <w:szCs w:val="26"/>
        </w:rPr>
        <w:t xml:space="preserve">7. Sources NOT used, as a matter of method</w:t>
      </w:r>
    </w:p>
    <w:p>
      <w:pPr>
        <w:pStyle w:val="ListParagraph"/>
        <w:numPr>
          <w:ilvl w:val="0"/>
          <w:numId w:val="2"/>
        </w:numPr>
        <w:spacing w:after="70"/>
      </w:pPr>
      <w:r>
        <w:rPr>
          <w:rFonts w:ascii="Calibri" w:cs="Calibri" w:eastAsia="Calibri" w:hAnsi="Calibri"/>
          <w:b/>
          <w:bCs/>
          <w:color w:val="333A45"/>
          <w:sz w:val="21"/>
          <w:szCs w:val="21"/>
        </w:rPr>
        <w:t xml:space="preserve">No web content entered any obligation.</w:t>
      </w:r>
      <w:r>
        <w:rPr>
          <w:rFonts w:ascii="Calibri" w:cs="Calibri" w:eastAsia="Calibri" w:hAnsi="Calibri"/>
          <w:color w:val="333A45"/>
          <w:sz w:val="21"/>
          <w:szCs w:val="21"/>
        </w:rPr>
        <w:t xml:space="preserve"> No page was consulted as authority for anything in this set.</w:t>
      </w:r>
    </w:p>
    <w:p>
      <w:pPr>
        <w:pStyle w:val="ListParagraph"/>
        <w:numPr>
          <w:ilvl w:val="0"/>
          <w:numId w:val="2"/>
        </w:numPr>
        <w:spacing w:after="70"/>
      </w:pPr>
      <w:r>
        <w:rPr>
          <w:rFonts w:ascii="Calibri" w:cs="Calibri" w:eastAsia="Calibri" w:hAnsi="Calibri"/>
          <w:b/>
          <w:bCs/>
          <w:color w:val="333A45"/>
          <w:sz w:val="21"/>
          <w:szCs w:val="21"/>
        </w:rPr>
        <w:t xml:space="preserve">No AI-generated legal content.</w:t>
      </w:r>
      <w:r>
        <w:rPr>
          <w:rFonts w:ascii="Calibri" w:cs="Calibri" w:eastAsia="Calibri" w:hAnsi="Calibri"/>
          <w:color w:val="333A45"/>
          <w:sz w:val="21"/>
          <w:szCs w:val="21"/>
        </w:rPr>
        <w:t xml:space="preserve"> Every provision cited resolves to text in the file at section 1.</w:t>
      </w:r>
    </w:p>
    <w:p>
      <w:pPr>
        <w:pStyle w:val="ListParagraph"/>
        <w:numPr>
          <w:ilvl w:val="0"/>
          <w:numId w:val="2"/>
        </w:numPr>
        <w:spacing w:after="70"/>
      </w:pPr>
      <w:r>
        <w:rPr>
          <w:rFonts w:ascii="Calibri" w:cs="Calibri" w:eastAsia="Calibri" w:hAnsi="Calibri"/>
          <w:b/>
          <w:bCs/>
          <w:color w:val="333A45"/>
          <w:sz w:val="21"/>
          <w:szCs w:val="21"/>
        </w:rPr>
        <w:t xml:space="preserve">No secondary commentary, law-firm briefing, or comparative summary.</w:t>
      </w:r>
    </w:p>
    <w:p>
      <w:pPr>
        <w:pStyle w:val="ListParagraph"/>
        <w:numPr>
          <w:ilvl w:val="0"/>
          <w:numId w:val="2"/>
        </w:numPr>
        <w:spacing w:after="70"/>
      </w:pPr>
      <w:r>
        <w:rPr>
          <w:rFonts w:ascii="Calibri" w:cs="Calibri" w:eastAsia="Calibri" w:hAnsi="Calibri"/>
          <w:b/>
          <w:bCs/>
          <w:color w:val="333A45"/>
          <w:sz w:val="21"/>
          <w:szCs w:val="21"/>
        </w:rPr>
        <w:t xml:space="preserve">No comparison to any other jurisdiction.</w:t>
      </w:r>
      <w:r>
        <w:rPr>
          <w:rFonts w:ascii="Calibri" w:cs="Calibri" w:eastAsia="Calibri" w:hAnsi="Calibri"/>
          <w:color w:val="333A45"/>
          <w:sz w:val="21"/>
          <w:szCs w:val="21"/>
        </w:rPr>
        <w:t xml:space="preserve"> The set describes Singapore law and nothing else.</w:t>
      </w:r>
    </w:p>
    <w:p>
      <w:pPr>
        <w:keepNext/>
        <w:pBdr>
          <w:bottom w:val="single" w:color="9DB9E8" w:sz="4" w:space="3"/>
        </w:pBdr>
        <w:spacing w:after="100" w:before="260"/>
      </w:pPr>
      <w:r>
        <w:rPr>
          <w:rFonts w:ascii="Calibri" w:cs="Calibri" w:eastAsia="Calibri" w:hAnsi="Calibri"/>
          <w:b/>
          <w:bCs/>
          <w:color w:val="2E5AAC"/>
          <w:sz w:val="26"/>
          <w:szCs w:val="26"/>
        </w:rPr>
        <w:t xml:space="preserve">8. The verification that mattered most</w:t>
      </w:r>
    </w:p>
    <w:p>
      <w:pPr>
        <w:spacing w:after="110"/>
      </w:pPr>
      <w:r>
        <w:rPr>
          <w:rFonts w:ascii="Calibri" w:cs="Calibri" w:eastAsia="Calibri" w:hAnsi="Calibri"/>
          <w:color w:val="333A45"/>
          <w:sz w:val="21"/>
          <w:szCs w:val="21"/>
        </w:rPr>
        <w:t xml:space="preserve">Three. The first two pull in opposite directions; the third was nearly missed.</w:t>
      </w:r>
    </w:p>
    <w:p>
      <w:pPr>
        <w:spacing w:after="110"/>
      </w:pPr>
      <w:r>
        <w:rPr>
          <w:rFonts w:ascii="Calibri" w:cs="Calibri" w:eastAsia="Calibri" w:hAnsi="Calibri"/>
          <w:b/>
          <w:bCs/>
          <w:color w:val="333A45"/>
          <w:sz w:val="21"/>
          <w:szCs w:val="21"/>
        </w:rPr>
        <w:t xml:space="preserve">The first is an absence.</w:t>
      </w:r>
      <w:r>
        <w:rPr>
          <w:rFonts w:ascii="Calibri" w:cs="Calibri" w:eastAsia="Calibri" w:hAnsi="Calibri"/>
          <w:color w:val="333A45"/>
          <w:sz w:val="21"/>
          <w:szCs w:val="21"/>
        </w:rPr>
        <w:t xml:space="preserve"> A full-text search of the enacted Act returns no occurrence of "artificial intelligence", "automated decision", "profiling", or "algorithm". It would have been easy - and wrong - to write a Singapore AI policy around obligations imported from elsewhere: a prohibited-practice list, a risk classification, a right to an explanation. None of that is in this statute. Every such clause in the policy is labelled a house standard </w:t>
      </w:r>
      <w:r>
        <w:rPr>
          <w:rFonts w:ascii="Calibri" w:cs="Calibri" w:eastAsia="Calibri" w:hAnsi="Calibri"/>
          <w:b/>
          <w:bCs/>
          <w:color w:val="333A45"/>
          <w:sz w:val="21"/>
          <w:szCs w:val="21"/>
        </w:rPr>
        <w:t xml:space="preserve">in the policy text</w:t>
      </w:r>
      <w:r>
        <w:rPr>
          <w:rFonts w:ascii="Calibri" w:cs="Calibri" w:eastAsia="Calibri" w:hAnsi="Calibri"/>
          <w:color w:val="333A45"/>
          <w:sz w:val="21"/>
          <w:szCs w:val="21"/>
        </w:rPr>
        <w:t xml:space="preserve">, where a reader will see it, not only in this register.</w:t>
      </w:r>
    </w:p>
    <w:p>
      <w:pPr>
        <w:spacing w:after="110"/>
      </w:pPr>
      <w:r>
        <w:rPr>
          <w:rFonts w:ascii="Calibri" w:cs="Calibri" w:eastAsia="Calibri" w:hAnsi="Calibri"/>
          <w:b/>
          <w:bCs/>
          <w:color w:val="333A45"/>
          <w:sz w:val="21"/>
          <w:szCs w:val="21"/>
        </w:rPr>
        <w:t xml:space="preserve">The second is a presence that is easy to miss.</w:t>
      </w:r>
      <w:r>
        <w:rPr>
          <w:rFonts w:ascii="Calibri" w:cs="Calibri" w:eastAsia="Calibri" w:hAnsi="Calibri"/>
          <w:color w:val="333A45"/>
          <w:sz w:val="21"/>
          <w:szCs w:val="21"/>
        </w:rPr>
        <w:t xml:space="preserve"> ss.48D, 48E and 48F make an individual personally liable, with imprisonment available, for disclosing or using personal data without the organisation's authorisation, or for re-identifying anonymised information. The offences turn on the word </w:t>
      </w:r>
      <w:r>
        <w:rPr>
          <w:rFonts w:ascii="Calibri" w:cs="Calibri" w:eastAsia="Calibri" w:hAnsi="Calibri"/>
          <w:i/>
          <w:iCs/>
          <w:color w:val="333A45"/>
          <w:sz w:val="21"/>
          <w:szCs w:val="21"/>
        </w:rPr>
        <w:t xml:space="preserve">authorised</w:t>
      </w:r>
      <w:r>
        <w:rPr>
          <w:rFonts w:ascii="Calibri" w:cs="Calibri" w:eastAsia="Calibri" w:hAnsi="Calibri"/>
          <w:color w:val="333A45"/>
          <w:sz w:val="21"/>
          <w:szCs w:val="21"/>
        </w:rPr>
        <w:t xml:space="preserve">, and the Act leaves the organisation to define it. That converts an acceptable use policy from an internal control document into the instrument that sets the boundary of an individual's criminal exposure.</w:t>
      </w:r>
    </w:p>
    <w:p>
      <w:pPr>
        <w:spacing w:after="110"/>
      </w:pPr>
      <w:r>
        <w:rPr>
          <w:rFonts w:ascii="Calibri" w:cs="Calibri" w:eastAsia="Calibri" w:hAnsi="Calibri"/>
          <w:color w:val="333A45"/>
          <w:sz w:val="21"/>
          <w:szCs w:val="21"/>
        </w:rPr>
        <w:t xml:space="preserve">That is why policy Section 11 exists, why the approved tools list at policy Section 3 is described as the boundary of authorisation, and why annex A7.3 requires every exception to state precisely whom and what it covers.</w:t>
      </w:r>
    </w:p>
    <w:p>
      <w:pPr>
        <w:spacing w:after="110"/>
      </w:pPr>
      <w:r>
        <w:rPr>
          <w:rFonts w:ascii="Calibri" w:cs="Calibri" w:eastAsia="Calibri" w:hAnsi="Calibri"/>
          <w:b/>
          <w:bCs/>
          <w:color w:val="333A45"/>
          <w:sz w:val="21"/>
          <w:szCs w:val="21"/>
        </w:rPr>
        <w:t xml:space="preserve">The third was a correction to a draft.</w:t>
      </w:r>
      <w:r>
        <w:rPr>
          <w:rFonts w:ascii="Calibri" w:cs="Calibri" w:eastAsia="Calibri" w:hAnsi="Calibri"/>
          <w:color w:val="333A45"/>
          <w:sz w:val="21"/>
          <w:szCs w:val="21"/>
        </w:rPr>
        <w:t xml:space="preserve"> An earlier draft of policy 9.3 stated that AI-inferred data about a person is subject to every obligation "including access and correction". Reading the Fifth and Sixth Schedules against each other showed that to be wrong: </w:t>
      </w:r>
      <w:r>
        <w:rPr>
          <w:rFonts w:ascii="Calibri" w:cs="Calibri" w:eastAsia="Calibri" w:hAnsi="Calibri"/>
          <w:b/>
          <w:bCs/>
          <w:color w:val="333A45"/>
          <w:sz w:val="21"/>
          <w:szCs w:val="21"/>
        </w:rPr>
        <w:t xml:space="preserve">derived personal data is excepted from the correction right at Sixth Schedule para 1(f) and is not excepted from the access right at all.</w:t>
      </w:r>
      <w:r>
        <w:rPr>
          <w:rFonts w:ascii="Calibri" w:cs="Calibri" w:eastAsia="Calibri" w:hAnsi="Calibri"/>
          <w:color w:val="333A45"/>
          <w:sz w:val="21"/>
          <w:szCs w:val="21"/>
        </w:rPr>
        <w:t xml:space="preserve"> The clause was rewritten. Research note 4.4 sets out the position and why [ORGANISATION] declines to rely on the exception.</w:t>
      </w:r>
    </w:p>
    <w:p>
      <w:pPr>
        <w:spacing w:after="110"/>
      </w:pPr>
      <w:r>
        <w:rPr>
          <w:rFonts w:ascii="Calibri" w:cs="Calibri" w:eastAsia="Calibri" w:hAnsi="Calibri"/>
          <w:color w:val="333A45"/>
          <w:sz w:val="21"/>
          <w:szCs w:val="21"/>
        </w:rPr>
        <w:t xml:space="preserve">The general lesson is worth stating, because it applies beyond this set: </w:t>
      </w:r>
      <w:r>
        <w:rPr>
          <w:rFonts w:ascii="Calibri" w:cs="Calibri" w:eastAsia="Calibri" w:hAnsi="Calibri"/>
          <w:b/>
          <w:bCs/>
          <w:color w:val="333A45"/>
          <w:sz w:val="21"/>
          <w:szCs w:val="21"/>
        </w:rPr>
        <w:t xml:space="preserve">the provision that decides an AI question was not in a section about decisions or about data quality. It was one line in a schedule of exceptions.</w:t>
      </w:r>
      <w:r>
        <w:rPr>
          <w:rFonts w:ascii="Calibri" w:cs="Calibri" w:eastAsia="Calibri" w:hAnsi="Calibri"/>
          <w:color w:val="333A45"/>
          <w:sz w:val="21"/>
          <w:szCs w:val="21"/>
        </w:rPr>
        <w:t xml:space="preserve"> Reading the operative sections and stopping there would have produced a policy that was wrong in the direction of overpromising - which is the direction that gets an organisation into difficulty when it cannot deliver what its own policy said it would.</w:t>
      </w:r>
    </w:p>
    <w:p>
      <w:pPr>
        <w:keepNext/>
        <w:pBdr>
          <w:bottom w:val="single" w:color="9DB9E8" w:sz="4" w:space="3"/>
        </w:pBdr>
        <w:spacing w:after="100" w:before="260"/>
      </w:pPr>
      <w:r>
        <w:rPr>
          <w:rFonts w:ascii="Calibri" w:cs="Calibri" w:eastAsia="Calibri" w:hAnsi="Calibri"/>
          <w:b/>
          <w:bCs/>
          <w:color w:val="2E5AAC"/>
          <w:sz w:val="26"/>
          <w:szCs w:val="26"/>
        </w:rPr>
        <w:t xml:space="preserve">9. Standing caveat</w:t>
      </w:r>
    </w:p>
    <w:p>
      <w:pPr>
        <w:spacing w:after="110"/>
      </w:pPr>
      <w:r>
        <w:rPr>
          <w:rFonts w:ascii="Calibri" w:cs="Calibri" w:eastAsia="Calibri" w:hAnsi="Calibri"/>
          <w:color w:val="333A45"/>
          <w:sz w:val="21"/>
          <w:szCs w:val="21"/>
        </w:rPr>
        <w:t xml:space="preserve">No provision cited in this set has been reviewed by qualified counsel. These documents are educational templates and do not constitute legal advice.</w:t>
      </w:r>
    </w:p>
    <w:sectPr>
      <w:footerReference w:type="default" r:id="rId7"/>
      <w:pgSz w:w="11906" w:h="16838" w:orient="portrait"/>
      <w:pgMar w:top="1240" w:right="1300" w:bottom="12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DB9E8" w:sz="4" w:space="4"/>
      </w:pBdr>
      <w:jc w:val="center"/>
    </w:pPr>
    <w:r>
      <w:rPr>
        <w:rFonts w:ascii="Calibri" w:cs="Calibri" w:eastAsia="Calibri" w:hAnsi="Calibri"/>
        <w:color w:val="5A6472"/>
        <w:sz w:val="16"/>
        <w:szCs w:val="16"/>
      </w:rPr>
      <w:t xml:space="preserve">Singapore AI policy set - source register - v1.1   |   Page </w:t>
    </w:r>
    <w:r>
      <w:rPr>
        <w:rFonts w:ascii="Calibri" w:cs="Calibri" w:eastAsia="Calibri" w:hAnsi="Calibri"/>
        <w:color w:val="5A6472"/>
        <w:sz w:val="16"/>
        <w:szCs w:val="16"/>
      </w:rPr>
      <w:fldChar w:fldCharType="begin"/>
      <w:instrText xml:space="preserve">PAGE</w:instrText>
      <w:fldChar w:fldCharType="separate"/>
      <w:fldChar w:fldCharType="end"/>
    </w:r>
    <w:r>
      <w:rPr>
        <w:rFonts w:ascii="Calibri" w:cs="Calibri" w:eastAsia="Calibri" w:hAnsi="Calibri"/>
        <w:color w:val="5A6472"/>
        <w:sz w:val="16"/>
        <w:szCs w:val="16"/>
      </w:rPr>
      <w:t xml:space="preserve"> of </w:t>
    </w:r>
    <w:r>
      <w:rPr>
        <w:rFonts w:ascii="Calibri" w:cs="Calibri" w:eastAsia="Calibri" w:hAnsi="Calibri"/>
        <w:color w:val="5A6472"/>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30"/>
      </w:pPr>
      <w:rPr>
        <w:color w:val="2E5AAC"/>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3A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Source Register - Singapore AI Policy Set</dc:title>
  <dc:creator>Narendra Karki</dc:creator>
  <cp:lastModifiedBy>Narendra Karki</cp:lastModifiedBy>
  <cp:revision>1</cp:revision>
  <dcterms:created xsi:type="dcterms:W3CDTF">2026-09-02T05:24:13.922Z</dcterms:created>
  <dcterms:modified xsi:type="dcterms:W3CDTF">2026-09-02T05:24:13.922Z</dcterms:modified>
</cp:coreProperties>
</file>

<file path=docProps/custom.xml><?xml version="1.0" encoding="utf-8"?>
<Properties xmlns="http://schemas.openxmlformats.org/officeDocument/2006/custom-properties" xmlns:vt="http://schemas.openxmlformats.org/officeDocument/2006/docPropsVTypes"/>
</file>