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eastAsia="Calibri"/>
          <w:b/>
          <w:color w:val="1F6F6A"/>
          <w:sz w:val="22"/>
        </w:rPr>
        <w:t>EQUITY ANALYSIS REPORT</w:t>
      </w:r>
    </w:p>
    <w:p>
      <w:pPr>
        <w:spacing w:before="40" w:after="40"/>
      </w:pPr>
      <w:r>
        <w:rPr>
          <w:rFonts w:ascii="Calibri" w:hAnsi="Calibri" w:eastAsia="Calibri"/>
          <w:b/>
          <w:color w:val="1B3A4B"/>
          <w:sz w:val="44"/>
        </w:rPr>
        <w:t>Six Indian stocks, 1 January 2015 to 31 July 2018</w:t>
      </w:r>
    </w:p>
    <w:p>
      <w:pPr>
        <w:spacing w:after="160"/>
      </w:pPr>
      <w:r>
        <w:rPr>
          <w:rFonts w:ascii="Calibri" w:hAnsi="Calibri" w:eastAsia="Calibri"/>
          <w:b w:val="0"/>
          <w:color w:val="444444"/>
          <w:sz w:val="22"/>
        </w:rPr>
        <w:t>Insights from the MySQL analysis of Bajaj Auto, Eicher Motors, Hero Motocorp, TVS Motors, TCS, and Infosys.</w:t>
      </w:r>
    </w:p>
    <w:p>
      <w:pPr>
        <w:spacing w:before="280" w:after="80"/>
      </w:pPr>
      <w:r>
        <w:rPr>
          <w:rFonts w:ascii="Calibri" w:hAnsi="Calibri" w:eastAsia="Calibri"/>
          <w:b/>
          <w:color w:val="1B3A4B"/>
          <w:sz w:val="32"/>
        </w:rPr>
        <w:t>1.  Purpose</w:t>
      </w:r>
    </w:p>
    <w:p>
      <w:pPr>
        <w:spacing w:before="40" w:after="120" w:line="269" w:lineRule="auto"/>
      </w:pPr>
      <w:r>
        <w:rPr>
          <w:rFonts w:ascii="Calibri" w:hAnsi="Calibri" w:eastAsia="Calibri"/>
          <w:b w:val="0"/>
          <w:color w:val="222222"/>
          <w:sz w:val="22"/>
        </w:rPr>
        <w:t>This report answers the seven questions in problemstatement.md. The figures are the result sets documented as comments in implementation.md: full-period return, return by year, auto versus IT, volatility, liquidity, delivery, and the extreme close and extreme day for each name.</w:t>
      </w:r>
    </w:p>
    <w:p>
      <w:pPr>
        <w:spacing w:before="40" w:after="120" w:line="269" w:lineRule="auto"/>
      </w:pPr>
      <w:r>
        <w:rPr>
          <w:rFonts w:ascii="Calibri" w:hAnsi="Calibri" w:eastAsia="Calibri"/>
          <w:b w:val="0"/>
          <w:color w:val="222222"/>
          <w:sz w:val="22"/>
        </w:rPr>
        <w:t>The series is the recorded daily price. A bonus or a split is left in the file. Where that changes the meaning of a return, the report says so. Nothing here is a forecast or a recommendation to buy or sell.</w:t>
      </w:r>
    </w:p>
    <w:p>
      <w:pPr>
        <w:spacing w:before="280" w:after="80"/>
      </w:pPr>
      <w:r>
        <w:rPr>
          <w:rFonts w:ascii="Calibri" w:hAnsi="Calibri" w:eastAsia="Calibri"/>
          <w:b/>
          <w:color w:val="1B3A4B"/>
          <w:sz w:val="32"/>
        </w:rPr>
        <w:t>2.  What was measured</w:t>
      </w:r>
    </w:p>
    <w:p>
      <w:pPr>
        <w:spacing w:before="40" w:after="120" w:line="269" w:lineRule="auto"/>
      </w:pPr>
      <w:r>
        <w:rPr>
          <w:rFonts w:ascii="Calibri" w:hAnsi="Calibri" w:eastAsia="Calibri"/>
          <w:b w:val="0"/>
          <w:color w:val="222222"/>
          <w:sz w:val="22"/>
        </w:rPr>
        <w:t>Each company has 889 trading days, from 1 January 2015 through 31 July 2018. Total return is the last close divided by the first close, minus one. A yearly return uses the first and last close inside that calendar year. 2018 stops on 31 July 2018. The daily range is the high-low spread divided by that day’s close. A day-to-day move is the close divided by the previous close, minus one.</w:t>
      </w:r>
    </w:p>
    <w:p>
      <w:pPr>
        <w:spacing w:before="40" w:after="120" w:line="269" w:lineRule="auto"/>
      </w:pPr>
      <w:r>
        <w:rPr>
          <w:rFonts w:ascii="Calibri" w:hAnsi="Calibri" w:eastAsia="Calibri"/>
          <w:b w:val="0"/>
          <w:color w:val="222222"/>
          <w:sz w:val="22"/>
        </w:rPr>
        <w:t>Six rows have a blank delivery quantity and a blank delivery percentage: Eicher Motors, Hero Motocorp, TVS Motors, and TCS on 9 December 2015, and Bajaj Auto and Infosys on 31 August 2017. Those days stay in the price and turnover calculations. They are left out of the delivery averages. No duplicate company-date pairs are present, and no row has a high below its low, open, or close.</w:t>
      </w:r>
    </w:p>
    <w:p>
      <w:pPr>
        <w:spacing w:before="280" w:after="80"/>
      </w:pPr>
      <w:r>
        <w:rPr>
          <w:rFonts w:ascii="Calibri" w:hAnsi="Calibri" w:eastAsia="Calibri"/>
          <w:b/>
          <w:color w:val="1B3A4B"/>
          <w:sz w:val="32"/>
        </w:rPr>
        <w:t>3.  Headline results</w:t>
      </w:r>
    </w:p>
    <w:p>
      <w:pPr>
        <w:spacing w:before="20" w:after="40" w:line="259" w:lineRule="auto"/>
        <w:ind w:left="425" w:hanging="198"/>
      </w:pPr>
      <w:r>
        <w:rPr>
          <w:rFonts w:ascii="Calibri" w:hAnsi="Calibri" w:eastAsia="Calibri"/>
          <w:b w:val="0"/>
          <w:color w:val="222222"/>
          <w:sz w:val="22"/>
        </w:rPr>
        <w:t>•  TVS Motors gained the most on the recorded close, 86.91 percent, from 276.85 to 517.45. Eicher Motors was close behind at 82.56 percent, from 15,239.15 to 27,820.95.</w:t>
      </w:r>
    </w:p>
    <w:p>
      <w:pPr>
        <w:spacing w:before="20" w:after="40" w:line="259" w:lineRule="auto"/>
        <w:ind w:left="425" w:hanging="198"/>
      </w:pPr>
      <w:r>
        <w:rPr>
          <w:rFonts w:ascii="Calibri" w:hAnsi="Calibri" w:eastAsia="Calibri"/>
          <w:b w:val="0"/>
          <w:color w:val="222222"/>
          <w:sz w:val="22"/>
        </w:rPr>
        <w:t>•  Bajaj Auto gained 10.05 percent and Hero Motocorp gained 6.00 percent. Both finished the period higher, and both lagged the other two auto names by a wide margin.</w:t>
      </w:r>
    </w:p>
    <w:p>
      <w:pPr>
        <w:spacing w:before="20" w:after="40" w:line="259" w:lineRule="auto"/>
        <w:ind w:left="425" w:hanging="198"/>
      </w:pPr>
      <w:r>
        <w:rPr>
          <w:rFonts w:ascii="Calibri" w:hAnsi="Calibri" w:eastAsia="Calibri"/>
          <w:b w:val="0"/>
          <w:color w:val="222222"/>
          <w:sz w:val="22"/>
        </w:rPr>
        <w:t>•  On the same unadjusted basis, TCS fell 23.82 percent and Infosys fell 30.91 percent. Each of those declines contains one session in which the price roughly halved and then stayed at the new level.</w:t>
      </w:r>
    </w:p>
    <w:p>
      <w:pPr>
        <w:spacing w:before="20" w:after="40" w:line="259" w:lineRule="auto"/>
        <w:ind w:left="425" w:hanging="198"/>
      </w:pPr>
      <w:r>
        <w:rPr>
          <w:rFonts w:ascii="Calibri" w:hAnsi="Calibri" w:eastAsia="Calibri"/>
          <w:b w:val="0"/>
          <w:color w:val="222222"/>
          <w:sz w:val="22"/>
        </w:rPr>
        <w:t>•  The yearly leaders were Eicher Motors in 2015 (10.60 percent), TVS Motors in 2016 (25.62 percent) and 2017 (110.65 percent), and Infosys in 2018 year-to-date (31.94 percent).</w:t>
      </w:r>
    </w:p>
    <w:p>
      <w:pPr>
        <w:spacing w:before="20" w:after="40" w:line="259" w:lineRule="auto"/>
        <w:ind w:left="425" w:hanging="198"/>
      </w:pPr>
      <w:r>
        <w:rPr>
          <w:rFonts w:ascii="Calibri" w:hAnsi="Calibri" w:eastAsia="Calibri"/>
          <w:b w:val="0"/>
          <w:color w:val="222222"/>
          <w:sz w:val="22"/>
        </w:rPr>
        <w:t>•  Infosys was the most heavily traded name by rupees, at about 30.41 crore of average daily turnover. TVS Motors was the least, at about 6.53 crore, and it also had the widest typical daily range.</w:t>
      </w:r>
    </w:p>
    <w:p>
      <w:pPr>
        <w:spacing w:before="20" w:after="40" w:line="259" w:lineRule="auto"/>
        <w:ind w:left="425" w:hanging="198"/>
      </w:pPr>
      <w:r>
        <w:rPr>
          <w:rFonts w:ascii="Calibri" w:hAnsi="Calibri" w:eastAsia="Calibri"/>
          <w:b w:val="0"/>
          <w:color w:val="222222"/>
          <w:sz w:val="22"/>
        </w:rPr>
        <w:t>•  Infosys had the highest average delivery percentage, 41.86. TVS Motors had the lowest, 23.56.</w:t>
      </w:r>
    </w:p>
    <w:p>
      <w:pPr>
        <w:spacing w:before="280" w:after="80"/>
      </w:pPr>
      <w:r>
        <w:rPr>
          <w:rFonts w:ascii="Calibri" w:hAnsi="Calibri" w:eastAsia="Calibri"/>
          <w:b/>
          <w:color w:val="1B3A4B"/>
          <w:sz w:val="32"/>
        </w:rPr>
        <w:t>4.  Full-period returns</w:t>
      </w:r>
    </w:p>
    <w:p>
      <w:pPr>
        <w:spacing w:before="40" w:after="120" w:line="269" w:lineRule="auto"/>
      </w:pPr>
      <w:r>
        <w:rPr>
          <w:rFonts w:ascii="Calibri" w:hAnsi="Calibri" w:eastAsia="Calibri"/>
          <w:b w:val="0"/>
          <w:color w:val="222222"/>
          <w:sz w:val="22"/>
        </w:rPr>
        <w:t>Ranked by recorded close-to-close change from the first session to the last. The two strongest auto names account for almost all of the auto sector’s average.</w:t>
      </w:r>
    </w:p>
    <w:tbl>
      <w:tblPr>
        <w:tblW w:type="auto" w:w="0"/>
        <w:tblLayout w:type="autofit"/>
        <w:tblLook w:firstColumn="1" w:firstRow="1" w:lastColumn="0" w:lastRow="0" w:noHBand="0" w:noVBand="1" w:val="04A0"/>
      </w:tblPr>
      <w:tblGrid>
        <w:gridCol w:w="1950"/>
        <w:gridCol w:w="1950"/>
        <w:gridCol w:w="1950"/>
        <w:gridCol w:w="1950"/>
        <w:gridCol w:w="1950"/>
      </w:tblGrid>
      <w:tr>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Company</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Sector</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First close</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Last close</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Return</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TVS Motors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276.85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517.45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86.91%</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Eicher Motors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15,239.15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27,820.95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82.56%</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Bajaj Auto</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2,454.10</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2,700.70</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10.05%</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Hero Motocorp</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3,107.30</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3,293.80</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6.00%</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TCS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IT</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2,548.20</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1,941.25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−23.82%</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Infosys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IT</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1,975.80</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1,365.00</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−30.91%</w:t>
            </w:r>
          </w:p>
        </w:tc>
      </w:tr>
    </w:tbl>
    <w:p/>
    <w:p>
      <w:pPr>
        <w:spacing w:before="40" w:after="120" w:line="269" w:lineRule="auto"/>
      </w:pPr>
      <w:r>
        <w:rPr>
          <w:rFonts w:ascii="Calibri" w:hAnsi="Calibri" w:eastAsia="Calibri"/>
          <w:b w:val="0"/>
          <w:color w:val="222222"/>
          <w:sz w:val="22"/>
        </w:rPr>
        <w:t>TVS Motors and Eicher Motors are in a pair at the top. Bajaj Auto and Hero Motocorp are in a second pair, with single-digit to low-double-digit gains. The two IT names are the only full-period declines in the set, and section 9 explains why those two percentages should not be read as the shareholder’s economic loss.</w:t>
      </w:r>
    </w:p>
    <w:p>
      <w:pPr>
        <w:spacing w:before="280" w:after="80"/>
      </w:pPr>
      <w:r>
        <w:rPr>
          <w:rFonts w:ascii="Calibri" w:hAnsi="Calibri" w:eastAsia="Calibri"/>
          <w:b/>
          <w:color w:val="1B3A4B"/>
          <w:sz w:val="32"/>
        </w:rPr>
        <w:t>5.  The path by year</w:t>
      </w:r>
    </w:p>
    <w:p>
      <w:pPr>
        <w:spacing w:before="40" w:after="120" w:line="269" w:lineRule="auto"/>
      </w:pPr>
      <w:r>
        <w:rPr>
          <w:rFonts w:ascii="Calibri" w:hAnsi="Calibri" w:eastAsia="Calibri"/>
          <w:b w:val="0"/>
          <w:color w:val="222222"/>
          <w:sz w:val="22"/>
        </w:rPr>
        <w:t>2017 was the strongest year for five of the six names. TVS Motors more than doubled on the recorded close that year, from 366.15 on 2 January 2017 to 771.30 on 29 December 2017. 2018, through July, reversed that: every auto name was down, and TVS Motors gave back 32.48 percent of its year-opening close. Infosys was the only gain in 2018 year-to-date.</w:t>
      </w:r>
    </w:p>
    <w:tbl>
      <w:tblPr>
        <w:tblW w:type="auto" w:w="0"/>
        <w:tblLayout w:type="autofit"/>
        <w:tblLook w:firstColumn="1" w:firstRow="1" w:lastColumn="0" w:lastRow="0" w:noHBand="0" w:noVBand="1" w:val="04A0"/>
      </w:tblPr>
      <w:tblGrid>
        <w:gridCol w:w="1950"/>
        <w:gridCol w:w="1950"/>
        <w:gridCol w:w="1950"/>
        <w:gridCol w:w="1950"/>
        <w:gridCol w:w="1950"/>
      </w:tblGrid>
      <w:tr>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Company</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2015</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2016</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2017</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2018 YTD</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Eicher Motors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10.60%</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25.61%</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34.56%</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−6.96%</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TVS Motors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4.62%</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25.62%</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110.65%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−32.48%</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Bajaj Auto</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3.24%</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4.52%</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27.97%</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−18.00%</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TCS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−4.28%</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−2.25%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14.47%</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−26.87%</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Hero Motocorp</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−13.26%</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13.28%</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25.01%</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−12.60%</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Infosys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−44.10%</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−8.38%</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3.76%</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31.94%</w:t>
            </w:r>
          </w:p>
        </w:tc>
      </w:tr>
    </w:tbl>
    <w:p/>
    <w:p>
      <w:pPr>
        <w:spacing w:before="40" w:after="120" w:line="269" w:lineRule="auto"/>
      </w:pPr>
      <w:r>
        <w:rPr>
          <w:rFonts w:ascii="Calibri" w:hAnsi="Calibri" w:eastAsia="Calibri"/>
          <w:b w:val="0"/>
          <w:color w:val="222222"/>
          <w:sz w:val="22"/>
        </w:rPr>
        <w:t>Eicher Motors led 2015 and was the only name with a double-digit gain that year. In 2016, TVS Motors led Eicher Motors by one basis point of return, 25.62 percent against 25.61 percent, so the lead is real on the rounded figure and economically a tie. TVS Motors then led 2017 by a long way. Infosys led 2018 year-to-date, and it is the only positive figure in that column.</w:t>
      </w:r>
    </w:p>
    <w:p>
      <w:pPr>
        <w:spacing w:before="40" w:after="120" w:line="269" w:lineRule="auto"/>
      </w:pPr>
      <w:r>
        <w:rPr>
          <w:rFonts w:ascii="Calibri" w:hAnsi="Calibri" w:eastAsia="Calibri"/>
          <w:b w:val="0"/>
          <w:color w:val="222222"/>
          <w:sz w:val="22"/>
        </w:rPr>
        <w:t>Infosys in 2015, at −44.10 percent, is the weakest single year in the table. That year contains the 15 June 2015 session described in section 9. TCS in 2018, at −26.87 percent, contains the 31 May 2018 session of the same kind.</w:t>
      </w:r>
    </w:p>
    <w:p>
      <w:pPr>
        <w:spacing w:before="280" w:after="80"/>
      </w:pPr>
      <w:r>
        <w:rPr>
          <w:rFonts w:ascii="Calibri" w:hAnsi="Calibri" w:eastAsia="Calibri"/>
          <w:b/>
          <w:color w:val="1B3A4B"/>
          <w:sz w:val="32"/>
        </w:rPr>
        <w:t>6.  Auto and IT as groups</w:t>
      </w:r>
    </w:p>
    <w:p>
      <w:pPr>
        <w:spacing w:before="40" w:after="120" w:line="269" w:lineRule="auto"/>
      </w:pPr>
      <w:r>
        <w:rPr>
          <w:rFonts w:ascii="Calibri" w:hAnsi="Calibri" w:eastAsia="Calibri"/>
          <w:b w:val="0"/>
          <w:color w:val="222222"/>
          <w:sz w:val="22"/>
        </w:rPr>
        <w:t>The auto average is the mean of four company returns. The IT average is the mean of two. Turnover is the mean of each company’s own average daily turnover, then averaged inside the sector. A crore here is 10 million rupees, shown only as a reading of the same rupee figure.</w:t>
      </w:r>
    </w:p>
    <w:tbl>
      <w:tblPr>
        <w:tblW w:type="auto" w:w="0"/>
        <w:tblLayout w:type="autofit"/>
        <w:tblLook w:firstColumn="1" w:firstRow="1" w:lastColumn="0" w:lastRow="0" w:noHBand="0" w:noVBand="1" w:val="04A0"/>
      </w:tblPr>
      <w:tblGrid>
        <w:gridCol w:w="2438"/>
        <w:gridCol w:w="2438"/>
        <w:gridCol w:w="2438"/>
        <w:gridCol w:w="2438"/>
      </w:tblGrid>
      <w:tr>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Sector</w:t>
            </w:r>
          </w:p>
        </w:tc>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Companies</w:t>
            </w:r>
          </w:p>
        </w:tc>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Average total return</w:t>
            </w:r>
          </w:p>
        </w:tc>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Average daily turnover</w:t>
            </w:r>
          </w:p>
        </w:tc>
      </w:tr>
      <w:tr>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46.38%</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10.86 crore  (108,619,004.67)</w:t>
            </w:r>
          </w:p>
        </w:tc>
      </w:tr>
      <w:tr>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IT</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−27.37%</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28.14 crore  (281,433,335.95)</w:t>
            </w:r>
          </w:p>
        </w:tc>
      </w:tr>
    </w:tbl>
    <w:p/>
    <w:p>
      <w:pPr>
        <w:spacing w:before="40" w:after="120" w:line="269" w:lineRule="auto"/>
      </w:pPr>
      <w:r>
        <w:rPr>
          <w:rFonts w:ascii="Calibri" w:hAnsi="Calibri" w:eastAsia="Calibri"/>
          <w:b w:val="0"/>
          <w:color w:val="222222"/>
          <w:sz w:val="22"/>
        </w:rPr>
        <w:t>On the recorded series, auto gained and IT declined, while IT traded in larger rupee size. The return gap is not a clean comparison of the two businesses. TVS Motors and Eicher Motors pull the auto average up, and the two unadjusted one-day halvings pull the IT average down. The turnover gap is on firmer ground: both IT names sit above every auto name in average daily rupee turnover.</w:t>
      </w:r>
    </w:p>
    <w:p>
      <w:pPr>
        <w:spacing w:before="280" w:after="80"/>
      </w:pPr>
      <w:r>
        <w:rPr>
          <w:rFonts w:ascii="Calibri" w:hAnsi="Calibri" w:eastAsia="Calibri"/>
          <w:b/>
          <w:color w:val="1B3A4B"/>
          <w:sz w:val="32"/>
        </w:rPr>
        <w:t>7.  Volatility</w:t>
      </w:r>
    </w:p>
    <w:p>
      <w:pPr>
        <w:spacing w:before="40" w:after="120" w:line="269" w:lineRule="auto"/>
      </w:pPr>
      <w:r>
        <w:rPr>
          <w:rFonts w:ascii="Calibri" w:hAnsi="Calibri" w:eastAsia="Calibri"/>
          <w:b w:val="0"/>
          <w:color w:val="222222"/>
          <w:sz w:val="22"/>
        </w:rPr>
        <w:t>The typical day is a different fact from the single worst day. TVS Motors had the widest average intraday range, 3.010 percent of the close, and the largest average absolute close-to-close move, 1.375 percent. TCS had the tightest average range, 1.933 percent. Hero Motocorp had the mildest worst day among the six, −6.20 percent.</w:t>
      </w:r>
    </w:p>
    <w:tbl>
      <w:tblPr>
        <w:tblW w:type="auto" w:w="0"/>
        <w:tblLayout w:type="autofit"/>
        <w:tblLook w:firstColumn="1" w:firstRow="1" w:lastColumn="0" w:lastRow="0" w:noHBand="0" w:noVBand="1" w:val="04A0"/>
      </w:tblPr>
      <w:tblGrid>
        <w:gridCol w:w="1950"/>
        <w:gridCol w:w="1950"/>
        <w:gridCol w:w="1950"/>
        <w:gridCol w:w="1950"/>
        <w:gridCol w:w="1950"/>
      </w:tblGrid>
      <w:tr>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Company</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Avg daily range</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Avg absolute day move</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Best day</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Worst day</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TVS Motors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3.010%</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1.375%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13.15%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−9.66%</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Eicher Motors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2.598%</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1.355%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7.01%</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−9.33%</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Bajaj Auto</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2.209%</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1.048%</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7.40%</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−9.09%</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Hero Motocorp</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2.175%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1.045%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6.69%</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−6.20%</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Infosys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2.112%</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1.141%</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11.05%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−49.86%</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TCS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1.933%</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1.046%</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6.76%</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−50.40%</w:t>
            </w:r>
          </w:p>
        </w:tc>
      </w:tr>
    </w:tbl>
    <w:p/>
    <w:p>
      <w:pPr>
        <w:spacing w:before="40" w:after="120" w:line="269" w:lineRule="auto"/>
      </w:pPr>
      <w:r>
        <w:rPr>
          <w:rFonts w:ascii="Calibri" w:hAnsi="Calibri" w:eastAsia="Calibri"/>
          <w:b w:val="0"/>
          <w:color w:val="222222"/>
          <w:sz w:val="22"/>
        </w:rPr>
        <w:t>Infosys and TCS look calm on the average range and extreme on the worst day. Those worst days are the one-session halvings, not a run of wide ordinary sessions. Removing the meaning of those two sessions from the comparison, the auto names, especially TVS Motors and Eicher Motors, were the more volatile stocks day to day.</w:t>
      </w:r>
    </w:p>
    <w:p>
      <w:pPr>
        <w:spacing w:before="280" w:after="80"/>
      </w:pPr>
      <w:r>
        <w:rPr>
          <w:rFonts w:ascii="Calibri" w:hAnsi="Calibri" w:eastAsia="Calibri"/>
          <w:b/>
          <w:color w:val="1B3A4B"/>
          <w:sz w:val="32"/>
        </w:rPr>
        <w:t>8.  Liquidity, and whether turnover lined up with tighter ranges</w:t>
      </w:r>
    </w:p>
    <w:p>
      <w:pPr>
        <w:spacing w:before="40" w:after="120" w:line="269" w:lineRule="auto"/>
      </w:pPr>
      <w:r>
        <w:rPr>
          <w:rFonts w:ascii="Calibri" w:hAnsi="Calibri" w:eastAsia="Calibri"/>
          <w:b w:val="0"/>
          <w:color w:val="222222"/>
          <w:sz w:val="22"/>
        </w:rPr>
        <w:t>Liquidity is compared three ways, because a high share price makes share-count look small. Eicher Motors averaged only 8,288 shares a day and still ranked third in rupee turnover, because the share itself traded in the tens of thousands. TVS Motors averaged 182,805 shares and ranked last in rupee turnover, because the share price was a few hundred rupees.</w:t>
      </w:r>
    </w:p>
    <w:tbl>
      <w:tblPr>
        <w:tblW w:type="auto" w:w="0"/>
        <w:tblLayout w:type="autofit"/>
        <w:tblLook w:firstColumn="1" w:firstRow="1" w:lastColumn="0" w:lastRow="0" w:noHBand="0" w:noVBand="1" w:val="04A0"/>
      </w:tblPr>
      <w:tblGrid>
        <w:gridCol w:w="1950"/>
        <w:gridCol w:w="1950"/>
        <w:gridCol w:w="1950"/>
        <w:gridCol w:w="1950"/>
        <w:gridCol w:w="1950"/>
      </w:tblGrid>
      <w:tr>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Company</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Avg shares</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Avg trades</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Avg turnover (Rs.)</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Avg daily range</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Infosys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266,669</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7,742</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304,146,432.34</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2.112%</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TCS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104,137</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5,024</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258,720,239.55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1.933%</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Eicher Motors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8,288</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1,669</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166,438,113.24</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2.598%</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Hero Motocorp</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37,109</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2,329</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116,218,585.99</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2.175%</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Bajaj Auto</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32,645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2,010</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86,514,505.71</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2.209%</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TVS Motors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182,805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3,447</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65,304,813.76</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3.010%</w:t>
            </w:r>
          </w:p>
        </w:tc>
      </w:tr>
    </w:tbl>
    <w:p/>
    <w:p>
      <w:pPr>
        <w:spacing w:before="40" w:after="120" w:line="269" w:lineRule="auto"/>
      </w:pPr>
      <w:r>
        <w:rPr>
          <w:rFonts w:ascii="Calibri" w:hAnsi="Calibri" w:eastAsia="Calibri"/>
          <w:b w:val="0"/>
          <w:color w:val="222222"/>
          <w:sz w:val="22"/>
        </w:rPr>
        <w:t>Sorted by turnover, the range column mostly widens as turnover falls. Infosys and TCS are the two largest pools of rupee turnover and two of the three tightest ranges. TVS Motors is the smallest pool and the widest range. Eicher Motors breaks the line: third in turnover, second-widest range, and the thinnest share count. Higher turnover lined up with a tighter range for the other five names. It did not for Eicher Motors.</w:t>
      </w:r>
    </w:p>
    <w:p>
      <w:pPr>
        <w:spacing w:before="280" w:after="80"/>
      </w:pPr>
      <w:r>
        <w:rPr>
          <w:rFonts w:ascii="Calibri" w:hAnsi="Calibri" w:eastAsia="Calibri"/>
          <w:b/>
          <w:color w:val="1B3A4B"/>
          <w:sz w:val="32"/>
        </w:rPr>
        <w:t>9.  Delivery</w:t>
      </w:r>
    </w:p>
    <w:p>
      <w:pPr>
        <w:spacing w:before="40" w:after="120" w:line="269" w:lineRule="auto"/>
      </w:pPr>
      <w:r>
        <w:rPr>
          <w:rFonts w:ascii="Calibri" w:hAnsi="Calibri" w:eastAsia="Calibri"/>
          <w:b w:val="0"/>
          <w:color w:val="222222"/>
          <w:sz w:val="22"/>
        </w:rPr>
        <w:t>The delivery percentage is the share of traded quantity that was marked deliverable. A higher figure is read here only as a larger delivered portion of volume, which is the problem statement’s rough marker of delivery-based rather than intraday trading. The simple average treats each day equally. The share-weighted figure gives more weight to days with more shares traded.</w:t>
      </w:r>
    </w:p>
    <w:tbl>
      <w:tblPr>
        <w:tblW w:type="auto" w:w="0"/>
        <w:tblLayout w:type="autofit"/>
        <w:tblLook w:firstColumn="1" w:firstRow="1" w:lastColumn="0" w:lastRow="0" w:noHBand="0" w:noVBand="1" w:val="04A0"/>
      </w:tblPr>
      <w:tblGrid>
        <w:gridCol w:w="2438"/>
        <w:gridCol w:w="2438"/>
        <w:gridCol w:w="2438"/>
        <w:gridCol w:w="2438"/>
      </w:tblGrid>
      <w:tr>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Company</w:t>
            </w:r>
          </w:p>
        </w:tc>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Sector</w:t>
            </w:r>
          </w:p>
        </w:tc>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Average delivery %</w:t>
            </w:r>
          </w:p>
        </w:tc>
        <w:tc>
          <w:tcPr>
            <w:tcW w:type="dxa" w:w="2438"/>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Share-weighted delivery %</w:t>
            </w:r>
          </w:p>
        </w:tc>
      </w:tr>
      <w:tr>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Infosys</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IT</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41.86</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48.98</w:t>
            </w:r>
          </w:p>
        </w:tc>
      </w:tr>
      <w:tr>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TCS</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IT</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40.09</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51.69</w:t>
            </w:r>
          </w:p>
        </w:tc>
      </w:tr>
      <w:tr>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Hero Motocorp</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37.05</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54.66</w:t>
            </w:r>
          </w:p>
        </w:tc>
      </w:tr>
      <w:tr>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Eicher Motors</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33.27</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57.44</w:t>
            </w:r>
          </w:p>
        </w:tc>
      </w:tr>
      <w:tr>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Bajaj Auto</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31.00</w:t>
            </w:r>
          </w:p>
        </w:tc>
        <w:tc>
          <w:tcPr>
            <w:tcW w:type="dxa" w:w="2438"/>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48.23</w:t>
            </w:r>
          </w:p>
        </w:tc>
      </w:tr>
      <w:tr>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TVS Motors</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Auto</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23.56</w:t>
            </w:r>
          </w:p>
        </w:tc>
        <w:tc>
          <w:tcPr>
            <w:tcW w:type="dxa" w:w="2438"/>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28.61</w:t>
            </w:r>
          </w:p>
        </w:tc>
      </w:tr>
    </w:tbl>
    <w:p/>
    <w:p>
      <w:pPr>
        <w:spacing w:before="40" w:after="120" w:line="269" w:lineRule="auto"/>
      </w:pPr>
      <w:r>
        <w:rPr>
          <w:rFonts w:ascii="Calibri" w:hAnsi="Calibri" w:eastAsia="Calibri"/>
          <w:b w:val="0"/>
          <w:color w:val="222222"/>
          <w:sz w:val="22"/>
        </w:rPr>
        <w:t>On the simple average, the two IT names lead and TVS Motors is clearly last. On the share-weighted measure, Eicher Motors leads at 57.44 percent and Hero Motocorp is second at 54.66 percent. For every company, the weighted figure is higher than the simple average, so the busier days carried a larger delivered share than the quiet days. The gap is widest for Eicher Motors, 33.27 against 57.44. TVS Motors stays last on both measures, which fits its wider daily range: more of its volume did not go through as delivery.</w:t>
      </w:r>
    </w:p>
    <w:p>
      <w:pPr>
        <w:spacing w:before="280" w:after="80"/>
      </w:pPr>
      <w:r>
        <w:rPr>
          <w:rFonts w:ascii="Calibri" w:hAnsi="Calibri" w:eastAsia="Calibri"/>
          <w:b/>
          <w:color w:val="1B3A4B"/>
          <w:sz w:val="32"/>
        </w:rPr>
        <w:t>10.  Highest close, lowest close, and the extreme days</w:t>
      </w:r>
    </w:p>
    <w:tbl>
      <w:tblPr>
        <w:tblW w:type="auto" w:w="0"/>
        <w:tblLayout w:type="autofit"/>
        <w:tblLook w:firstColumn="1" w:firstRow="1" w:lastColumn="0" w:lastRow="0" w:noHBand="0" w:noVBand="1" w:val="04A0"/>
      </w:tblPr>
      <w:tblGrid>
        <w:gridCol w:w="1950"/>
        <w:gridCol w:w="1950"/>
        <w:gridCol w:w="1950"/>
        <w:gridCol w:w="1950"/>
        <w:gridCol w:w="1950"/>
      </w:tblGrid>
      <w:tr>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Company</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Highest close</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Lowest close</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Largest up day</w:t>
            </w:r>
          </w:p>
        </w:tc>
        <w:tc>
          <w:tcPr>
            <w:tcW w:type="dxa" w:w="1950"/>
            <w:shd w:fill="1B3A4B" w:val="clear"/>
            <w:tcBorders>
              <w:top w:val="single" w:sz="4" w:color="D0D7DE"/>
              <w:left w:val="single" w:sz="4" w:color="D0D7DE"/>
              <w:bottom w:val="single" w:sz="4" w:color="D0D7DE"/>
              <w:right w:val="single" w:sz="4" w:color="D0D7DE"/>
            </w:tcBorders>
          </w:tcPr>
          <w:p>
            <w:pPr>
              <w:spacing w:before="40" w:after="40"/>
            </w:pPr>
            <w:r/>
            <w:r>
              <w:rPr>
                <w:rFonts w:ascii="Calibri" w:hAnsi="Calibri" w:eastAsia="Calibri"/>
                <w:b/>
                <w:color w:val="FFFFFF"/>
                <w:sz w:val="18"/>
              </w:rPr>
              <w:t>Largest down day</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Bajaj Auto</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3,409.50 on 1 Feb 2018</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1,949.40 on 30 Apr 2015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+7.40% on 4 May 2015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−9.09% on 24 Aug 2015</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Eicher Motors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32,786.40 on 7 Sep 2017</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14,320.60 on 21 Apr 2015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+7.01% on 5 Feb 2016</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−9.33% on 24 Aug 2015</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Hero Motocorp</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4,047.30 on 1 Sep 2017</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2,279.80 on 7 Sep 2015</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+6.69% on 1 Mar 2016</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−6.20% on 23 Jul 2018</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Infosys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2,326.60 on 19 Feb 2015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873.50 on 21 Aug 2017</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+11.05% on 21 Jul 2015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−49.86% on 15 Jun 2015</w:t>
            </w:r>
          </w:p>
        </w:tc>
      </w:tr>
      <w:tr>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TCS</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3,604.80 on 24 May 2018</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1,721.20 on 5 Jun 2018</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+6.76% on 20 Apr 2018</w:t>
            </w:r>
          </w:p>
        </w:tc>
        <w:tc>
          <w:tcPr>
            <w:tcW w:type="dxa" w:w="1950"/>
            <w:shd w:fill="FFFFFF"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−50.40% on 31 May 2018</w:t>
            </w:r>
          </w:p>
        </w:tc>
      </w:tr>
      <w:tr>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TVS Motors</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785.30 on 19 Dec 2017</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213.55 on 24 Aug 2015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+13.15% on 27 Oct 2015</w:t>
            </w:r>
          </w:p>
        </w:tc>
        <w:tc>
          <w:tcPr>
            <w:tcW w:type="dxa" w:w="1950"/>
            <w:shd w:fill="F7F5F2" w:val="clear"/>
            <w:tcBorders>
              <w:top w:val="single" w:sz="4" w:color="D0D7DE"/>
              <w:left w:val="single" w:sz="4" w:color="D0D7DE"/>
              <w:bottom w:val="single" w:sz="4" w:color="D0D7DE"/>
              <w:right w:val="single" w:sz="4" w:color="D0D7DE"/>
            </w:tcBorders>
          </w:tcPr>
          <w:p>
            <w:pPr>
              <w:spacing w:before="20" w:after="20"/>
            </w:pPr>
            <w:r/>
            <w:r>
              <w:rPr>
                <w:rFonts w:ascii="Calibri" w:hAnsi="Calibri" w:eastAsia="Calibri"/>
                <w:b w:val="0"/>
                <w:color w:val="222222"/>
                <w:sz w:val="18"/>
              </w:rPr>
              <w:t>−9.66% on 3 May 2016</w:t>
            </w:r>
          </w:p>
        </w:tc>
      </w:tr>
    </w:tbl>
    <w:p/>
    <w:p>
      <w:pPr>
        <w:spacing w:before="40" w:after="120" w:line="269" w:lineRule="auto"/>
      </w:pPr>
      <w:r>
        <w:rPr>
          <w:rFonts w:ascii="Calibri" w:hAnsi="Calibri" w:eastAsia="Calibri"/>
          <w:b w:val="0"/>
          <w:color w:val="222222"/>
          <w:sz w:val="22"/>
        </w:rPr>
        <w:t>24 August 2015 is the largest down day for both Bajaj Auto and Eicher Motors, and it is the day TVS Motors printed its lowest close, 213.55. The same date on three names points to a shared market session rather than a single-company event.</w:t>
      </w:r>
    </w:p>
    <w:p>
      <w:pPr>
        <w:spacing w:before="40" w:after="120" w:line="269" w:lineRule="auto"/>
      </w:pPr>
      <w:r>
        <w:rPr>
          <w:rFonts w:ascii="Calibri" w:hAnsi="Calibri" w:eastAsia="Calibri"/>
          <w:b w:val="0"/>
          <w:color w:val="222222"/>
          <w:sz w:val="22"/>
        </w:rPr>
        <w:t>The TCS high and low cannot be set side by side as a range for one share. The high, 3,604.80, was on 24 May 2018. The low, 1,721.20, was on 5 June 2018, after the close had already fallen from 3,517.75 on 30 May to 1,744.80 on 31 May. The Infosys high, 2,326.60 on 19 February 2015, sits before its own halving, and the low, 873.50 on 21 August 2017, sits after it.</w:t>
      </w:r>
    </w:p>
    <w:p>
      <w:pPr>
        <w:spacing w:before="280" w:after="80"/>
      </w:pPr>
      <w:r>
        <w:rPr>
          <w:rFonts w:ascii="Calibri" w:hAnsi="Calibri" w:eastAsia="Calibri"/>
          <w:b/>
          <w:color w:val="1B3A4B"/>
          <w:sz w:val="32"/>
        </w:rPr>
        <w:t>11.  How to read the two IT price series</w:t>
      </w:r>
    </w:p>
    <w:p>
      <w:pPr>
        <w:spacing w:before="40" w:after="120" w:line="269" w:lineRule="auto"/>
      </w:pPr>
      <w:r>
        <w:rPr>
          <w:rFonts w:ascii="Calibri" w:hAnsi="Calibri" w:eastAsia="Calibri"/>
          <w:b w:val="0"/>
          <w:color w:val="222222"/>
          <w:sz w:val="22"/>
        </w:rPr>
        <w:t>Infosys closed at 1,976.65 on 12 June 2015, opened at 980.00 on 15 June 2015, and closed that day at 991.10. The next session stayed near 1,000. The recorded day move is −49.86 percent. TCS closed at 3,517.75 on 30 May 2018, opened at 1,742.30 on 31 May 2018, and closed at 1,744.80. The recorded day move is −50.40 percent. In both cases the price stepped down by about half in one session and continued from the new level.</w:t>
      </w:r>
    </w:p>
    <w:p>
      <w:pPr>
        <w:spacing w:before="40" w:after="120" w:line="269" w:lineRule="auto"/>
      </w:pPr>
      <w:r>
        <w:rPr>
          <w:rFonts w:ascii="Calibri" w:hAnsi="Calibri" w:eastAsia="Calibri"/>
          <w:b w:val="0"/>
          <w:color w:val="222222"/>
          <w:sz w:val="22"/>
        </w:rPr>
        <w:t>That is what an unadjusted one-for-one bonus or split looks like in a daily price file. This study does not adjust for it, which is the rule set in the problem statement. The practical consequence is limited and specific. The Infosys full-period return of −30.91 percent, the Infosys 2015 return of −44.10 percent, the TCS full-period return of −23.82 percent, the TCS 2018 return of −26.87 percent, the IT sector average of −27.37 percent, and the high-versus-low comparison for those two names all mix a change in the price level with a change in what one share represents. The auto returns do not contain a move of that shape.</w:t>
      </w:r>
    </w:p>
    <w:p>
      <w:pPr>
        <w:spacing w:before="40" w:after="120" w:line="269" w:lineRule="auto"/>
      </w:pPr>
      <w:r>
        <w:rPr>
          <w:rFonts w:ascii="Calibri" w:hAnsi="Calibri" w:eastAsia="Calibri"/>
          <w:b w:val="0"/>
          <w:color w:val="222222"/>
          <w:sz w:val="22"/>
        </w:rPr>
        <w:t>The ordinary trading picture for the IT names is still usable. Their average daily ranges, 2.112 percent and 1.933 percent, their rupee turnover, and their delivery percentages are not created by those two sessions.</w:t>
      </w:r>
    </w:p>
    <w:p>
      <w:pPr>
        <w:spacing w:before="280" w:after="80"/>
      </w:pPr>
      <w:r>
        <w:rPr>
          <w:rFonts w:ascii="Calibri" w:hAnsi="Calibri" w:eastAsia="Calibri"/>
          <w:b/>
          <w:color w:val="1B3A4B"/>
          <w:sz w:val="32"/>
        </w:rPr>
        <w:t>12.  What the figures support</w:t>
      </w:r>
    </w:p>
    <w:p>
      <w:pPr>
        <w:spacing w:before="20" w:after="40" w:line="259" w:lineRule="auto"/>
        <w:ind w:left="425" w:hanging="198"/>
      </w:pPr>
      <w:r>
        <w:rPr>
          <w:rFonts w:ascii="Calibri" w:hAnsi="Calibri" w:eastAsia="Calibri"/>
          <w:b w:val="0"/>
          <w:color w:val="222222"/>
          <w:sz w:val="22"/>
        </w:rPr>
        <w:t>•  Among these six recorded series, TVS Motors and Eicher Motors were the strong compounders, Bajaj Auto and Hero Motocorp were modest gainers, and the two IT series finished lower because each file contains one unadjusted halving.</w:t>
      </w:r>
    </w:p>
    <w:p>
      <w:pPr>
        <w:spacing w:before="20" w:after="40" w:line="259" w:lineRule="auto"/>
        <w:ind w:left="425" w:hanging="198"/>
      </w:pPr>
      <w:r>
        <w:rPr>
          <w:rFonts w:ascii="Calibri" w:hAnsi="Calibri" w:eastAsia="Calibri"/>
          <w:b w:val="0"/>
          <w:color w:val="222222"/>
          <w:sz w:val="22"/>
        </w:rPr>
        <w:t>•  Leadership rotated. Eicher Motors led 2015, TVS Motors led 2016 and 2017, and Infosys led the partial year 2018. The 2017 TVS Motors gain of 110.65 percent is the single largest yearly move, and the 2018 TVS Motors decline of 32.48 percent is the sharpest give-back.</w:t>
      </w:r>
    </w:p>
    <w:p>
      <w:pPr>
        <w:spacing w:before="20" w:after="40" w:line="259" w:lineRule="auto"/>
        <w:ind w:left="425" w:hanging="198"/>
      </w:pPr>
      <w:r>
        <w:rPr>
          <w:rFonts w:ascii="Calibri" w:hAnsi="Calibri" w:eastAsia="Calibri"/>
          <w:b w:val="0"/>
          <w:color w:val="222222"/>
          <w:sz w:val="22"/>
        </w:rPr>
        <w:t>•  IT was the deeper market in rupees. Infosys, then TCS, led average turnover and trade count. Delivery percentages put the same two names at the top of the simple average.</w:t>
      </w:r>
    </w:p>
    <w:p>
      <w:pPr>
        <w:spacing w:before="20" w:after="40" w:line="259" w:lineRule="auto"/>
        <w:ind w:left="425" w:hanging="198"/>
      </w:pPr>
      <w:r>
        <w:rPr>
          <w:rFonts w:ascii="Calibri" w:hAnsi="Calibri" w:eastAsia="Calibri"/>
          <w:b w:val="0"/>
          <w:color w:val="222222"/>
          <w:sz w:val="22"/>
        </w:rPr>
        <w:t>•  TVS Motors combined the largest full-period gain with the widest daily range, the lowest delivery percentage, and the smallest rupee turnover. The gain and the trading character are both in the data.</w:t>
      </w:r>
    </w:p>
    <w:p>
      <w:pPr>
        <w:spacing w:before="20" w:after="40" w:line="259" w:lineRule="auto"/>
        <w:ind w:left="425" w:hanging="198"/>
      </w:pPr>
      <w:r>
        <w:rPr>
          <w:rFonts w:ascii="Calibri" w:hAnsi="Calibri" w:eastAsia="Calibri"/>
          <w:b w:val="0"/>
          <w:color w:val="222222"/>
          <w:sz w:val="22"/>
        </w:rPr>
        <w:t>•  Eicher Motors combined a large gain with a high share price, a thin share count, solid rupee turnover, and the highest share-weighted delivery. Its range stayed wide despite that turnover.</w:t>
      </w:r>
    </w:p>
    <w:p>
      <w:pPr>
        <w:spacing w:before="280" w:after="80"/>
      </w:pPr>
      <w:r>
        <w:rPr>
          <w:rFonts w:ascii="Calibri" w:hAnsi="Calibri" w:eastAsia="Calibri"/>
          <w:b/>
          <w:color w:val="1B3A4B"/>
          <w:sz w:val="32"/>
        </w:rPr>
        <w:t>13.  Limits</w:t>
      </w:r>
    </w:p>
    <w:p>
      <w:pPr>
        <w:spacing w:before="40" w:after="120" w:line="269" w:lineRule="auto"/>
      </w:pPr>
      <w:r>
        <w:rPr>
          <w:rFonts w:ascii="Calibri" w:hAnsi="Calibri" w:eastAsia="Calibri"/>
          <w:b w:val="0"/>
          <w:color w:val="222222"/>
          <w:sz w:val="22"/>
        </w:rPr>
        <w:t>The window ends on 31 July 2018, so 2018 is a partial year. Prices are not adjusted for bonuses, splits, or dividends. The six names are not a sample of the market, and the auto average gives equal weight to four companies while the IT average gives equal weight to two. Turnover is compared in rupees as published, not scaled by shares outstanding. The report stops at these measurements.</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Figures match the commented query outputs in implementation.md.  Prices are unadjusted.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