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7473A" w14:textId="77777777" w:rsidR="003C3F3C" w:rsidRDefault="00000000">
      <w:pPr>
        <w:spacing w:before="1200"/>
      </w:pPr>
      <w:r>
        <w:rPr>
          <w:b/>
          <w:bCs/>
          <w:color w:val="C2185B"/>
          <w:sz w:val="24"/>
          <w:szCs w:val="24"/>
        </w:rPr>
        <w:t>RAVENSTACK</w:t>
      </w:r>
    </w:p>
    <w:p w14:paraId="3B97473B" w14:textId="77777777" w:rsidR="003C3F3C" w:rsidRDefault="00000000">
      <w:pPr>
        <w:spacing w:before="200" w:after="200"/>
      </w:pPr>
      <w:r>
        <w:rPr>
          <w:b/>
          <w:bCs/>
          <w:color w:val="1F2937"/>
          <w:sz w:val="52"/>
          <w:szCs w:val="52"/>
        </w:rPr>
        <w:t>Customer Retention &amp; Churn Analysis</w:t>
      </w:r>
    </w:p>
    <w:p w14:paraId="3B97473C" w14:textId="77777777" w:rsidR="003C3F3C" w:rsidRDefault="00000000">
      <w:pPr>
        <w:spacing w:after="800"/>
      </w:pPr>
      <w:r>
        <w:rPr>
          <w:color w:val="6B7280"/>
          <w:sz w:val="24"/>
          <w:szCs w:val="24"/>
        </w:rPr>
        <w:t>Findings, drivers, and recommendations based on a merged analysis of accounts, subscriptions, churn events, feature usage, and support ticket data.</w:t>
      </w:r>
    </w:p>
    <w:p w14:paraId="4DC2D16D" w14:textId="0926343D" w:rsidR="002A1EB2" w:rsidRPr="002A1EB2" w:rsidRDefault="00000000">
      <w:pPr>
        <w:rPr>
          <w:color w:val="6B7280"/>
        </w:rPr>
      </w:pPr>
      <w:r>
        <w:rPr>
          <w:color w:val="6B7280"/>
        </w:rPr>
        <w:t>Prepared by</w:t>
      </w:r>
      <w:r w:rsidR="002A1EB2">
        <w:rPr>
          <w:color w:val="6B7280"/>
        </w:rPr>
        <w:t>: Narendra Kumar</w:t>
      </w:r>
    </w:p>
    <w:p w14:paraId="3B97473E" w14:textId="005AAE23" w:rsidR="003C3F3C" w:rsidRDefault="00000000">
      <w:r>
        <w:rPr>
          <w:color w:val="6B7280"/>
        </w:rPr>
        <w:t>Tools: Python (</w:t>
      </w:r>
      <w:r w:rsidR="00BC55BA">
        <w:rPr>
          <w:color w:val="6B7280"/>
        </w:rPr>
        <w:t>P</w:t>
      </w:r>
      <w:r>
        <w:rPr>
          <w:color w:val="6B7280"/>
        </w:rPr>
        <w:t>andas</w:t>
      </w:r>
      <w:r w:rsidR="00BC55BA">
        <w:rPr>
          <w:color w:val="6B7280"/>
        </w:rPr>
        <w:t>, Matplotlib</w:t>
      </w:r>
      <w:r>
        <w:rPr>
          <w:color w:val="6B7280"/>
        </w:rPr>
        <w:t>) + Power BI</w:t>
      </w:r>
    </w:p>
    <w:p w14:paraId="3B97473F" w14:textId="77777777" w:rsidR="003C3F3C" w:rsidRDefault="00000000">
      <w:r>
        <w:br w:type="page"/>
      </w:r>
    </w:p>
    <w:p w14:paraId="3B974740" w14:textId="77777777" w:rsidR="003C3F3C" w:rsidRDefault="00000000">
      <w:pPr>
        <w:pStyle w:val="Heading1"/>
        <w:spacing w:before="300" w:after="150"/>
      </w:pPr>
      <w:r>
        <w:rPr>
          <w:b/>
          <w:bCs/>
          <w:color w:val="1F2937"/>
          <w:sz w:val="30"/>
          <w:szCs w:val="30"/>
        </w:rPr>
        <w:lastRenderedPageBreak/>
        <w:t>Executive Summary</w:t>
      </w:r>
    </w:p>
    <w:p w14:paraId="3B974741" w14:textId="77777777" w:rsidR="003C3F3C" w:rsidRDefault="00000000">
      <w:pPr>
        <w:spacing w:after="140" w:line="300" w:lineRule="auto"/>
      </w:pPr>
      <w:r>
        <w:rPr>
          <w:color w:val="1F2937"/>
          <w:sz w:val="22"/>
          <w:szCs w:val="22"/>
        </w:rPr>
        <w:t>RavenStack currently manages 500 customer accounts totaling approximately $1M in monthly recurring revenue (MRR). Of these, 390 customers remain active and 110 have churned, putting the overall churn rate at 22.00% — above what is typically considered healthy for a subscription business.</w:t>
      </w:r>
    </w:p>
    <w:p w14:paraId="3B974742" w14:textId="77777777" w:rsidR="003C3F3C" w:rsidRDefault="00000000">
      <w:pPr>
        <w:spacing w:after="140" w:line="300" w:lineRule="auto"/>
      </w:pPr>
      <w:r>
        <w:rPr>
          <w:color w:val="1F2937"/>
          <w:sz w:val="22"/>
          <w:szCs w:val="22"/>
        </w:rPr>
        <w:t>This report merges five source datasets (accounts, subscriptions, churn events, feature usage, and support tickets) into a single master dataset and analyzes churn across time, geography, industry, referral channel, and customer behavior. The analysis identifies where churn concentrates, which signals do and do not predict it, and what actions are likely to improve retention.</w:t>
      </w:r>
    </w:p>
    <w:p w14:paraId="3B974743" w14:textId="77777777" w:rsidR="003C3F3C" w:rsidRDefault="00000000">
      <w:pPr>
        <w:pStyle w:val="Heading1"/>
        <w:spacing w:before="300" w:after="150"/>
      </w:pPr>
      <w:r>
        <w:rPr>
          <w:b/>
          <w:bCs/>
          <w:color w:val="1F2937"/>
          <w:sz w:val="30"/>
          <w:szCs w:val="30"/>
        </w:rPr>
        <w:t>1. Methodology</w:t>
      </w:r>
    </w:p>
    <w:p w14:paraId="3B974744" w14:textId="77777777" w:rsidR="003C3F3C" w:rsidRDefault="00000000">
      <w:pPr>
        <w:spacing w:after="140" w:line="300" w:lineRule="auto"/>
      </w:pPr>
      <w:r>
        <w:rPr>
          <w:color w:val="1F2937"/>
          <w:sz w:val="22"/>
          <w:szCs w:val="22"/>
        </w:rPr>
        <w:t>Five raw source tables were used as the foundation for this analysis:</w:t>
      </w:r>
    </w:p>
    <w:p w14:paraId="3B974745" w14:textId="77777777" w:rsidR="003C3F3C" w:rsidRDefault="00000000">
      <w:pPr>
        <w:pStyle w:val="ListParagraph"/>
        <w:numPr>
          <w:ilvl w:val="0"/>
          <w:numId w:val="2"/>
        </w:numPr>
        <w:spacing w:after="90" w:line="290" w:lineRule="auto"/>
      </w:pPr>
      <w:r>
        <w:rPr>
          <w:color w:val="1F2937"/>
          <w:sz w:val="22"/>
          <w:szCs w:val="22"/>
        </w:rPr>
        <w:t>ravenstack_accounts — customer/account information (industry, country, plan tier, signup date)</w:t>
      </w:r>
    </w:p>
    <w:p w14:paraId="3B974746" w14:textId="77777777" w:rsidR="003C3F3C" w:rsidRDefault="00000000">
      <w:pPr>
        <w:pStyle w:val="ListParagraph"/>
        <w:numPr>
          <w:ilvl w:val="0"/>
          <w:numId w:val="2"/>
        </w:numPr>
        <w:spacing w:after="90" w:line="290" w:lineRule="auto"/>
      </w:pPr>
      <w:r>
        <w:rPr>
          <w:color w:val="1F2937"/>
          <w:sz w:val="22"/>
          <w:szCs w:val="22"/>
        </w:rPr>
        <w:t>ravenstack_subscriptions — plan tier, billing frequency, auto-renew flag, MRR</w:t>
      </w:r>
    </w:p>
    <w:p w14:paraId="3B974747" w14:textId="77777777" w:rsidR="003C3F3C" w:rsidRDefault="00000000">
      <w:pPr>
        <w:pStyle w:val="ListParagraph"/>
        <w:numPr>
          <w:ilvl w:val="0"/>
          <w:numId w:val="2"/>
        </w:numPr>
        <w:spacing w:after="90" w:line="290" w:lineRule="auto"/>
      </w:pPr>
      <w:r>
        <w:rPr>
          <w:color w:val="1F2937"/>
          <w:sz w:val="22"/>
          <w:szCs w:val="22"/>
        </w:rPr>
        <w:t>ravenstack_churn_events — churn date, churn reason, is_churned flag</w:t>
      </w:r>
    </w:p>
    <w:p w14:paraId="3B974748" w14:textId="77777777" w:rsidR="003C3F3C" w:rsidRDefault="00000000">
      <w:pPr>
        <w:pStyle w:val="ListParagraph"/>
        <w:numPr>
          <w:ilvl w:val="0"/>
          <w:numId w:val="2"/>
        </w:numPr>
        <w:spacing w:after="90" w:line="290" w:lineRule="auto"/>
      </w:pPr>
      <w:r>
        <w:rPr>
          <w:color w:val="1F2937"/>
          <w:sz w:val="22"/>
          <w:szCs w:val="22"/>
        </w:rPr>
        <w:t>ravenstack_feature_usage — features used, active days, usage volume</w:t>
      </w:r>
    </w:p>
    <w:p w14:paraId="3B974749" w14:textId="77777777" w:rsidR="003C3F3C" w:rsidRDefault="00000000">
      <w:pPr>
        <w:pStyle w:val="ListParagraph"/>
        <w:numPr>
          <w:ilvl w:val="0"/>
          <w:numId w:val="2"/>
        </w:numPr>
        <w:spacing w:after="90" w:line="290" w:lineRule="auto"/>
      </w:pPr>
      <w:r>
        <w:rPr>
          <w:color w:val="1F2937"/>
          <w:sz w:val="22"/>
          <w:szCs w:val="22"/>
        </w:rPr>
        <w:t>ravenstack_support_tickets — ticket counts, CSAT scores</w:t>
      </w:r>
    </w:p>
    <w:p w14:paraId="3B97474A" w14:textId="77777777" w:rsidR="003C3F3C" w:rsidRDefault="00000000">
      <w:pPr>
        <w:spacing w:after="140" w:line="300" w:lineRule="auto"/>
      </w:pPr>
      <w:r>
        <w:rPr>
          <w:color w:val="1F2937"/>
          <w:sz w:val="22"/>
          <w:szCs w:val="22"/>
        </w:rPr>
        <w:t>Each file was cleaned in Python (pandas): duplicates were removed, missing values handled, dates standardized, and categorical fields normalized. The five cleaned tables were then merged on customer_id into a single master table (df_master), which was imported into Power BI to build three interactive dashboards used as the basis for this report.</w:t>
      </w:r>
    </w:p>
    <w:p w14:paraId="3B97474B" w14:textId="77777777" w:rsidR="003C3F3C" w:rsidRDefault="00000000">
      <w:pPr>
        <w:pStyle w:val="Heading1"/>
        <w:spacing w:before="300" w:after="150"/>
      </w:pPr>
      <w:r>
        <w:rPr>
          <w:b/>
          <w:bCs/>
          <w:color w:val="1F2937"/>
          <w:sz w:val="30"/>
          <w:szCs w:val="30"/>
        </w:rPr>
        <w:t>2. Headline Metrics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00"/>
      </w:tblGrid>
      <w:tr w:rsidR="003C3F3C" w14:paraId="3B97474E" w14:textId="77777777">
        <w:tblPrEx>
          <w:tblCellMar>
            <w:top w:w="0" w:type="dxa"/>
            <w:bottom w:w="0" w:type="dxa"/>
          </w:tblCellMar>
        </w:tblPrEx>
        <w:tc>
          <w:tcPr>
            <w:tcW w:w="5000" w:type="dxa"/>
            <w:shd w:val="clear" w:color="auto" w:fill="C2185B"/>
            <w:tcMar>
              <w:top w:w="100" w:type="dxa"/>
              <w:left w:w="120" w:type="dxa"/>
              <w:bottom w:w="100" w:type="dxa"/>
              <w:right w:w="120" w:type="dxa"/>
            </w:tcMar>
          </w:tcPr>
          <w:p w14:paraId="3B97474C" w14:textId="77777777" w:rsidR="003C3F3C" w:rsidRDefault="00000000">
            <w:r>
              <w:rPr>
                <w:b/>
                <w:bCs/>
                <w:color w:val="FFFFFF"/>
                <w:sz w:val="21"/>
                <w:szCs w:val="21"/>
              </w:rPr>
              <w:t>Metric</w:t>
            </w:r>
          </w:p>
        </w:tc>
        <w:tc>
          <w:tcPr>
            <w:tcW w:w="4000" w:type="dxa"/>
            <w:shd w:val="clear" w:color="auto" w:fill="C2185B"/>
            <w:tcMar>
              <w:top w:w="100" w:type="dxa"/>
              <w:left w:w="120" w:type="dxa"/>
              <w:bottom w:w="100" w:type="dxa"/>
              <w:right w:w="120" w:type="dxa"/>
            </w:tcMar>
          </w:tcPr>
          <w:p w14:paraId="3B97474D" w14:textId="77777777" w:rsidR="003C3F3C" w:rsidRDefault="00000000">
            <w:r>
              <w:rPr>
                <w:b/>
                <w:bCs/>
                <w:color w:val="FFFFFF"/>
                <w:sz w:val="21"/>
                <w:szCs w:val="21"/>
              </w:rPr>
              <w:t>Value</w:t>
            </w:r>
          </w:p>
        </w:tc>
      </w:tr>
      <w:tr w:rsidR="003C3F3C" w14:paraId="3B974751" w14:textId="77777777">
        <w:tblPrEx>
          <w:tblCellMar>
            <w:top w:w="0" w:type="dxa"/>
            <w:bottom w:w="0" w:type="dxa"/>
          </w:tblCellMar>
        </w:tblPrEx>
        <w:tc>
          <w:tcPr>
            <w:tcW w:w="5000" w:type="dxa"/>
            <w:shd w:val="clear" w:color="auto" w:fill="FFFFFF"/>
            <w:tcMar>
              <w:top w:w="100" w:type="dxa"/>
              <w:left w:w="120" w:type="dxa"/>
              <w:bottom w:w="100" w:type="dxa"/>
              <w:right w:w="120" w:type="dxa"/>
            </w:tcMar>
          </w:tcPr>
          <w:p w14:paraId="3B97474F" w14:textId="77777777" w:rsidR="003C3F3C" w:rsidRDefault="00000000">
            <w:r>
              <w:rPr>
                <w:color w:val="1F2937"/>
                <w:sz w:val="21"/>
                <w:szCs w:val="21"/>
              </w:rPr>
              <w:t>Total Customers</w:t>
            </w:r>
          </w:p>
        </w:tc>
        <w:tc>
          <w:tcPr>
            <w:tcW w:w="4000" w:type="dxa"/>
            <w:shd w:val="clear" w:color="auto" w:fill="FFFFFF"/>
            <w:tcMar>
              <w:top w:w="100" w:type="dxa"/>
              <w:left w:w="120" w:type="dxa"/>
              <w:bottom w:w="100" w:type="dxa"/>
              <w:right w:w="120" w:type="dxa"/>
            </w:tcMar>
          </w:tcPr>
          <w:p w14:paraId="3B974750" w14:textId="77777777" w:rsidR="003C3F3C" w:rsidRDefault="00000000">
            <w:r>
              <w:rPr>
                <w:color w:val="1F2937"/>
                <w:sz w:val="21"/>
                <w:szCs w:val="21"/>
              </w:rPr>
              <w:t>500</w:t>
            </w:r>
          </w:p>
        </w:tc>
      </w:tr>
      <w:tr w:rsidR="003C3F3C" w14:paraId="3B974754" w14:textId="77777777">
        <w:tblPrEx>
          <w:tblCellMar>
            <w:top w:w="0" w:type="dxa"/>
            <w:bottom w:w="0" w:type="dxa"/>
          </w:tblCellMar>
        </w:tblPrEx>
        <w:tc>
          <w:tcPr>
            <w:tcW w:w="5000" w:type="dxa"/>
            <w:shd w:val="clear" w:color="auto" w:fill="F7F7F9"/>
            <w:tcMar>
              <w:top w:w="100" w:type="dxa"/>
              <w:left w:w="120" w:type="dxa"/>
              <w:bottom w:w="100" w:type="dxa"/>
              <w:right w:w="120" w:type="dxa"/>
            </w:tcMar>
          </w:tcPr>
          <w:p w14:paraId="3B974752" w14:textId="77777777" w:rsidR="003C3F3C" w:rsidRDefault="00000000">
            <w:r>
              <w:rPr>
                <w:color w:val="1F2937"/>
                <w:sz w:val="21"/>
                <w:szCs w:val="21"/>
              </w:rPr>
              <w:t>Total MRR</w:t>
            </w:r>
          </w:p>
        </w:tc>
        <w:tc>
          <w:tcPr>
            <w:tcW w:w="4000" w:type="dxa"/>
            <w:shd w:val="clear" w:color="auto" w:fill="F7F7F9"/>
            <w:tcMar>
              <w:top w:w="100" w:type="dxa"/>
              <w:left w:w="120" w:type="dxa"/>
              <w:bottom w:w="100" w:type="dxa"/>
              <w:right w:w="120" w:type="dxa"/>
            </w:tcMar>
          </w:tcPr>
          <w:p w14:paraId="3B974753" w14:textId="77777777" w:rsidR="003C3F3C" w:rsidRDefault="00000000">
            <w:r>
              <w:rPr>
                <w:color w:val="1F2937"/>
                <w:sz w:val="21"/>
                <w:szCs w:val="21"/>
              </w:rPr>
              <w:t>$1M</w:t>
            </w:r>
          </w:p>
        </w:tc>
      </w:tr>
      <w:tr w:rsidR="003C3F3C" w14:paraId="3B974757" w14:textId="77777777">
        <w:tblPrEx>
          <w:tblCellMar>
            <w:top w:w="0" w:type="dxa"/>
            <w:bottom w:w="0" w:type="dxa"/>
          </w:tblCellMar>
        </w:tblPrEx>
        <w:tc>
          <w:tcPr>
            <w:tcW w:w="5000" w:type="dxa"/>
            <w:shd w:val="clear" w:color="auto" w:fill="FFFFFF"/>
            <w:tcMar>
              <w:top w:w="100" w:type="dxa"/>
              <w:left w:w="120" w:type="dxa"/>
              <w:bottom w:w="100" w:type="dxa"/>
              <w:right w:w="120" w:type="dxa"/>
            </w:tcMar>
          </w:tcPr>
          <w:p w14:paraId="3B974755" w14:textId="77777777" w:rsidR="003C3F3C" w:rsidRDefault="00000000">
            <w:r>
              <w:rPr>
                <w:color w:val="1F2937"/>
                <w:sz w:val="21"/>
                <w:szCs w:val="21"/>
              </w:rPr>
              <w:t>Total Support Tickets</w:t>
            </w:r>
          </w:p>
        </w:tc>
        <w:tc>
          <w:tcPr>
            <w:tcW w:w="4000" w:type="dxa"/>
            <w:shd w:val="clear" w:color="auto" w:fill="FFFFFF"/>
            <w:tcMar>
              <w:top w:w="100" w:type="dxa"/>
              <w:left w:w="120" w:type="dxa"/>
              <w:bottom w:w="100" w:type="dxa"/>
              <w:right w:w="120" w:type="dxa"/>
            </w:tcMar>
          </w:tcPr>
          <w:p w14:paraId="3B974756" w14:textId="77777777" w:rsidR="003C3F3C" w:rsidRDefault="00000000">
            <w:r>
              <w:rPr>
                <w:color w:val="1F2937"/>
                <w:sz w:val="21"/>
                <w:szCs w:val="21"/>
              </w:rPr>
              <w:t>2K</w:t>
            </w:r>
          </w:p>
        </w:tc>
      </w:tr>
      <w:tr w:rsidR="003C3F3C" w14:paraId="3B97475A" w14:textId="77777777">
        <w:tblPrEx>
          <w:tblCellMar>
            <w:top w:w="0" w:type="dxa"/>
            <w:bottom w:w="0" w:type="dxa"/>
          </w:tblCellMar>
        </w:tblPrEx>
        <w:tc>
          <w:tcPr>
            <w:tcW w:w="5000" w:type="dxa"/>
            <w:shd w:val="clear" w:color="auto" w:fill="F7F7F9"/>
            <w:tcMar>
              <w:top w:w="100" w:type="dxa"/>
              <w:left w:w="120" w:type="dxa"/>
              <w:bottom w:w="100" w:type="dxa"/>
              <w:right w:w="120" w:type="dxa"/>
            </w:tcMar>
          </w:tcPr>
          <w:p w14:paraId="3B974758" w14:textId="77777777" w:rsidR="003C3F3C" w:rsidRDefault="00000000">
            <w:r>
              <w:rPr>
                <w:color w:val="1F2937"/>
                <w:sz w:val="21"/>
                <w:szCs w:val="21"/>
              </w:rPr>
              <w:t>Retained Customers</w:t>
            </w:r>
          </w:p>
        </w:tc>
        <w:tc>
          <w:tcPr>
            <w:tcW w:w="4000" w:type="dxa"/>
            <w:shd w:val="clear" w:color="auto" w:fill="F7F7F9"/>
            <w:tcMar>
              <w:top w:w="100" w:type="dxa"/>
              <w:left w:w="120" w:type="dxa"/>
              <w:bottom w:w="100" w:type="dxa"/>
              <w:right w:w="120" w:type="dxa"/>
            </w:tcMar>
          </w:tcPr>
          <w:p w14:paraId="3B974759" w14:textId="77777777" w:rsidR="003C3F3C" w:rsidRDefault="00000000">
            <w:r>
              <w:rPr>
                <w:color w:val="1F2937"/>
                <w:sz w:val="21"/>
                <w:szCs w:val="21"/>
              </w:rPr>
              <w:t>390</w:t>
            </w:r>
          </w:p>
        </w:tc>
      </w:tr>
      <w:tr w:rsidR="003C3F3C" w14:paraId="3B97475D" w14:textId="77777777">
        <w:tblPrEx>
          <w:tblCellMar>
            <w:top w:w="0" w:type="dxa"/>
            <w:bottom w:w="0" w:type="dxa"/>
          </w:tblCellMar>
        </w:tblPrEx>
        <w:tc>
          <w:tcPr>
            <w:tcW w:w="5000" w:type="dxa"/>
            <w:shd w:val="clear" w:color="auto" w:fill="FFFFFF"/>
            <w:tcMar>
              <w:top w:w="100" w:type="dxa"/>
              <w:left w:w="120" w:type="dxa"/>
              <w:bottom w:w="100" w:type="dxa"/>
              <w:right w:w="120" w:type="dxa"/>
            </w:tcMar>
          </w:tcPr>
          <w:p w14:paraId="3B97475B" w14:textId="77777777" w:rsidR="003C3F3C" w:rsidRDefault="00000000">
            <w:r>
              <w:rPr>
                <w:color w:val="1F2937"/>
                <w:sz w:val="21"/>
                <w:szCs w:val="21"/>
              </w:rPr>
              <w:t>Churned Customers</w:t>
            </w:r>
          </w:p>
        </w:tc>
        <w:tc>
          <w:tcPr>
            <w:tcW w:w="4000" w:type="dxa"/>
            <w:shd w:val="clear" w:color="auto" w:fill="FFFFFF"/>
            <w:tcMar>
              <w:top w:w="100" w:type="dxa"/>
              <w:left w:w="120" w:type="dxa"/>
              <w:bottom w:w="100" w:type="dxa"/>
              <w:right w:w="120" w:type="dxa"/>
            </w:tcMar>
          </w:tcPr>
          <w:p w14:paraId="3B97475C" w14:textId="77777777" w:rsidR="003C3F3C" w:rsidRDefault="00000000">
            <w:r>
              <w:rPr>
                <w:color w:val="1F2937"/>
                <w:sz w:val="21"/>
                <w:szCs w:val="21"/>
              </w:rPr>
              <w:t>110</w:t>
            </w:r>
          </w:p>
        </w:tc>
      </w:tr>
      <w:tr w:rsidR="003C3F3C" w14:paraId="3B974760" w14:textId="77777777">
        <w:tblPrEx>
          <w:tblCellMar>
            <w:top w:w="0" w:type="dxa"/>
            <w:bottom w:w="0" w:type="dxa"/>
          </w:tblCellMar>
        </w:tblPrEx>
        <w:tc>
          <w:tcPr>
            <w:tcW w:w="5000" w:type="dxa"/>
            <w:shd w:val="clear" w:color="auto" w:fill="F7F7F9"/>
            <w:tcMar>
              <w:top w:w="100" w:type="dxa"/>
              <w:left w:w="120" w:type="dxa"/>
              <w:bottom w:w="100" w:type="dxa"/>
              <w:right w:w="120" w:type="dxa"/>
            </w:tcMar>
          </w:tcPr>
          <w:p w14:paraId="3B97475E" w14:textId="77777777" w:rsidR="003C3F3C" w:rsidRDefault="00000000">
            <w:r>
              <w:rPr>
                <w:color w:val="1F2937"/>
                <w:sz w:val="21"/>
                <w:szCs w:val="21"/>
              </w:rPr>
              <w:t>Overall Churn Rate</w:t>
            </w:r>
          </w:p>
        </w:tc>
        <w:tc>
          <w:tcPr>
            <w:tcW w:w="4000" w:type="dxa"/>
            <w:shd w:val="clear" w:color="auto" w:fill="F7F7F9"/>
            <w:tcMar>
              <w:top w:w="100" w:type="dxa"/>
              <w:left w:w="120" w:type="dxa"/>
              <w:bottom w:w="100" w:type="dxa"/>
              <w:right w:w="120" w:type="dxa"/>
            </w:tcMar>
          </w:tcPr>
          <w:p w14:paraId="3B97475F" w14:textId="77777777" w:rsidR="003C3F3C" w:rsidRDefault="00000000">
            <w:r>
              <w:rPr>
                <w:b/>
                <w:bCs/>
                <w:color w:val="C62828"/>
                <w:sz w:val="21"/>
                <w:szCs w:val="21"/>
              </w:rPr>
              <w:t>22.00%</w:t>
            </w:r>
          </w:p>
        </w:tc>
      </w:tr>
      <w:tr w:rsidR="003C3F3C" w14:paraId="3B974763" w14:textId="77777777">
        <w:tblPrEx>
          <w:tblCellMar>
            <w:top w:w="0" w:type="dxa"/>
            <w:bottom w:w="0" w:type="dxa"/>
          </w:tblCellMar>
        </w:tblPrEx>
        <w:tc>
          <w:tcPr>
            <w:tcW w:w="5000" w:type="dxa"/>
            <w:shd w:val="clear" w:color="auto" w:fill="FFFFFF"/>
            <w:tcMar>
              <w:top w:w="100" w:type="dxa"/>
              <w:left w:w="120" w:type="dxa"/>
              <w:bottom w:w="100" w:type="dxa"/>
              <w:right w:w="120" w:type="dxa"/>
            </w:tcMar>
          </w:tcPr>
          <w:p w14:paraId="3B974761" w14:textId="77777777" w:rsidR="003C3F3C" w:rsidRDefault="00000000">
            <w:r>
              <w:rPr>
                <w:color w:val="1F2937"/>
                <w:sz w:val="21"/>
                <w:szCs w:val="21"/>
              </w:rPr>
              <w:t>Lifetime Median</w:t>
            </w:r>
          </w:p>
        </w:tc>
        <w:tc>
          <w:tcPr>
            <w:tcW w:w="4000" w:type="dxa"/>
            <w:shd w:val="clear" w:color="auto" w:fill="FFFFFF"/>
            <w:tcMar>
              <w:top w:w="100" w:type="dxa"/>
              <w:left w:w="120" w:type="dxa"/>
              <w:bottom w:w="100" w:type="dxa"/>
              <w:right w:w="120" w:type="dxa"/>
            </w:tcMar>
          </w:tcPr>
          <w:p w14:paraId="3B974762" w14:textId="77777777" w:rsidR="003C3F3C" w:rsidRDefault="00000000">
            <w:r>
              <w:rPr>
                <w:color w:val="1F2937"/>
                <w:sz w:val="21"/>
                <w:szCs w:val="21"/>
              </w:rPr>
              <w:t>3.91</w:t>
            </w:r>
          </w:p>
        </w:tc>
      </w:tr>
      <w:tr w:rsidR="003C3F3C" w14:paraId="3B974766" w14:textId="77777777">
        <w:tblPrEx>
          <w:tblCellMar>
            <w:top w:w="0" w:type="dxa"/>
            <w:bottom w:w="0" w:type="dxa"/>
          </w:tblCellMar>
        </w:tblPrEx>
        <w:tc>
          <w:tcPr>
            <w:tcW w:w="5000" w:type="dxa"/>
            <w:shd w:val="clear" w:color="auto" w:fill="F7F7F9"/>
            <w:tcMar>
              <w:top w:w="100" w:type="dxa"/>
              <w:left w:w="120" w:type="dxa"/>
              <w:bottom w:w="100" w:type="dxa"/>
              <w:right w:w="120" w:type="dxa"/>
            </w:tcMar>
          </w:tcPr>
          <w:p w14:paraId="3B974764" w14:textId="77777777" w:rsidR="003C3F3C" w:rsidRDefault="00000000">
            <w:r>
              <w:rPr>
                <w:color w:val="1F2937"/>
                <w:sz w:val="21"/>
                <w:szCs w:val="21"/>
              </w:rPr>
              <w:t>Reactivated Customers</w:t>
            </w:r>
          </w:p>
        </w:tc>
        <w:tc>
          <w:tcPr>
            <w:tcW w:w="4000" w:type="dxa"/>
            <w:shd w:val="clear" w:color="auto" w:fill="F7F7F9"/>
            <w:tcMar>
              <w:top w:w="100" w:type="dxa"/>
              <w:left w:w="120" w:type="dxa"/>
              <w:bottom w:w="100" w:type="dxa"/>
              <w:right w:w="120" w:type="dxa"/>
            </w:tcMar>
          </w:tcPr>
          <w:p w14:paraId="3B974765" w14:textId="77777777" w:rsidR="003C3F3C" w:rsidRDefault="00000000">
            <w:r>
              <w:rPr>
                <w:color w:val="1F2937"/>
                <w:sz w:val="21"/>
                <w:szCs w:val="21"/>
              </w:rPr>
              <w:t>55</w:t>
            </w:r>
          </w:p>
        </w:tc>
      </w:tr>
      <w:tr w:rsidR="003C3F3C" w14:paraId="3B974769" w14:textId="77777777">
        <w:tblPrEx>
          <w:tblCellMar>
            <w:top w:w="0" w:type="dxa"/>
            <w:bottom w:w="0" w:type="dxa"/>
          </w:tblCellMar>
        </w:tblPrEx>
        <w:tc>
          <w:tcPr>
            <w:tcW w:w="5000" w:type="dxa"/>
            <w:shd w:val="clear" w:color="auto" w:fill="FFFFFF"/>
            <w:tcMar>
              <w:top w:w="100" w:type="dxa"/>
              <w:left w:w="120" w:type="dxa"/>
              <w:bottom w:w="100" w:type="dxa"/>
              <w:right w:w="120" w:type="dxa"/>
            </w:tcMar>
          </w:tcPr>
          <w:p w14:paraId="3B974767" w14:textId="77777777" w:rsidR="003C3F3C" w:rsidRDefault="00000000">
            <w:r>
              <w:rPr>
                <w:color w:val="1F2937"/>
                <w:sz w:val="21"/>
                <w:szCs w:val="21"/>
              </w:rPr>
              <w:t>Average Usage</w:t>
            </w:r>
          </w:p>
        </w:tc>
        <w:tc>
          <w:tcPr>
            <w:tcW w:w="4000" w:type="dxa"/>
            <w:shd w:val="clear" w:color="auto" w:fill="FFFFFF"/>
            <w:tcMar>
              <w:top w:w="100" w:type="dxa"/>
              <w:left w:w="120" w:type="dxa"/>
              <w:bottom w:w="100" w:type="dxa"/>
              <w:right w:w="120" w:type="dxa"/>
            </w:tcMar>
          </w:tcPr>
          <w:p w14:paraId="3B974768" w14:textId="77777777" w:rsidR="003C3F3C" w:rsidRDefault="00000000">
            <w:r>
              <w:rPr>
                <w:color w:val="1F2937"/>
                <w:sz w:val="21"/>
                <w:szCs w:val="21"/>
              </w:rPr>
              <w:t>501.05</w:t>
            </w:r>
          </w:p>
        </w:tc>
      </w:tr>
      <w:tr w:rsidR="003C3F3C" w14:paraId="3B97476C" w14:textId="77777777">
        <w:tblPrEx>
          <w:tblCellMar>
            <w:top w:w="0" w:type="dxa"/>
            <w:bottom w:w="0" w:type="dxa"/>
          </w:tblCellMar>
        </w:tblPrEx>
        <w:tc>
          <w:tcPr>
            <w:tcW w:w="5000" w:type="dxa"/>
            <w:shd w:val="clear" w:color="auto" w:fill="F7F7F9"/>
            <w:tcMar>
              <w:top w:w="100" w:type="dxa"/>
              <w:left w:w="120" w:type="dxa"/>
              <w:bottom w:w="100" w:type="dxa"/>
              <w:right w:w="120" w:type="dxa"/>
            </w:tcMar>
          </w:tcPr>
          <w:p w14:paraId="3B97476A" w14:textId="77777777" w:rsidR="003C3F3C" w:rsidRDefault="00000000">
            <w:r>
              <w:rPr>
                <w:color w:val="1F2937"/>
                <w:sz w:val="21"/>
                <w:szCs w:val="21"/>
              </w:rPr>
              <w:t>Average Active Days</w:t>
            </w:r>
          </w:p>
        </w:tc>
        <w:tc>
          <w:tcPr>
            <w:tcW w:w="4000" w:type="dxa"/>
            <w:shd w:val="clear" w:color="auto" w:fill="F7F7F9"/>
            <w:tcMar>
              <w:top w:w="100" w:type="dxa"/>
              <w:left w:w="120" w:type="dxa"/>
              <w:bottom w:w="100" w:type="dxa"/>
              <w:right w:w="120" w:type="dxa"/>
            </w:tcMar>
          </w:tcPr>
          <w:p w14:paraId="3B97476B" w14:textId="77777777" w:rsidR="003C3F3C" w:rsidRDefault="00000000">
            <w:r>
              <w:rPr>
                <w:color w:val="1F2937"/>
                <w:sz w:val="21"/>
                <w:szCs w:val="21"/>
              </w:rPr>
              <w:t>48.22</w:t>
            </w:r>
          </w:p>
        </w:tc>
      </w:tr>
      <w:tr w:rsidR="003C3F3C" w14:paraId="3B97476F" w14:textId="77777777">
        <w:tblPrEx>
          <w:tblCellMar>
            <w:top w:w="0" w:type="dxa"/>
            <w:bottom w:w="0" w:type="dxa"/>
          </w:tblCellMar>
        </w:tblPrEx>
        <w:tc>
          <w:tcPr>
            <w:tcW w:w="5000" w:type="dxa"/>
            <w:shd w:val="clear" w:color="auto" w:fill="FFFFFF"/>
            <w:tcMar>
              <w:top w:w="100" w:type="dxa"/>
              <w:left w:w="120" w:type="dxa"/>
              <w:bottom w:w="100" w:type="dxa"/>
              <w:right w:w="120" w:type="dxa"/>
            </w:tcMar>
          </w:tcPr>
          <w:p w14:paraId="3B97476D" w14:textId="77777777" w:rsidR="003C3F3C" w:rsidRDefault="00000000">
            <w:r>
              <w:rPr>
                <w:color w:val="1F2937"/>
                <w:sz w:val="21"/>
                <w:szCs w:val="21"/>
              </w:rPr>
              <w:t>Average CSAT</w:t>
            </w:r>
          </w:p>
        </w:tc>
        <w:tc>
          <w:tcPr>
            <w:tcW w:w="4000" w:type="dxa"/>
            <w:shd w:val="clear" w:color="auto" w:fill="FFFFFF"/>
            <w:tcMar>
              <w:top w:w="100" w:type="dxa"/>
              <w:left w:w="120" w:type="dxa"/>
              <w:bottom w:w="100" w:type="dxa"/>
              <w:right w:w="120" w:type="dxa"/>
            </w:tcMar>
          </w:tcPr>
          <w:p w14:paraId="3B97476E" w14:textId="77777777" w:rsidR="003C3F3C" w:rsidRDefault="00000000">
            <w:r>
              <w:rPr>
                <w:color w:val="1F2937"/>
                <w:sz w:val="21"/>
                <w:szCs w:val="21"/>
              </w:rPr>
              <w:t>3.97</w:t>
            </w:r>
          </w:p>
        </w:tc>
      </w:tr>
      <w:tr w:rsidR="003C3F3C" w14:paraId="3B974772" w14:textId="77777777">
        <w:tblPrEx>
          <w:tblCellMar>
            <w:top w:w="0" w:type="dxa"/>
            <w:bottom w:w="0" w:type="dxa"/>
          </w:tblCellMar>
        </w:tblPrEx>
        <w:tc>
          <w:tcPr>
            <w:tcW w:w="5000" w:type="dxa"/>
            <w:shd w:val="clear" w:color="auto" w:fill="F7F7F9"/>
            <w:tcMar>
              <w:top w:w="100" w:type="dxa"/>
              <w:left w:w="120" w:type="dxa"/>
              <w:bottom w:w="100" w:type="dxa"/>
              <w:right w:w="120" w:type="dxa"/>
            </w:tcMar>
          </w:tcPr>
          <w:p w14:paraId="3B974770" w14:textId="77777777" w:rsidR="003C3F3C" w:rsidRDefault="00000000">
            <w:r>
              <w:rPr>
                <w:color w:val="1F2937"/>
                <w:sz w:val="21"/>
                <w:szCs w:val="21"/>
              </w:rPr>
              <w:t>Average Features Used</w:t>
            </w:r>
          </w:p>
        </w:tc>
        <w:tc>
          <w:tcPr>
            <w:tcW w:w="4000" w:type="dxa"/>
            <w:shd w:val="clear" w:color="auto" w:fill="F7F7F9"/>
            <w:tcMar>
              <w:top w:w="100" w:type="dxa"/>
              <w:left w:w="120" w:type="dxa"/>
              <w:bottom w:w="100" w:type="dxa"/>
              <w:right w:w="120" w:type="dxa"/>
            </w:tcMar>
          </w:tcPr>
          <w:p w14:paraId="3B974771" w14:textId="77777777" w:rsidR="003C3F3C" w:rsidRDefault="00000000">
            <w:r>
              <w:rPr>
                <w:color w:val="1F2937"/>
                <w:sz w:val="21"/>
                <w:szCs w:val="21"/>
              </w:rPr>
              <w:t>27.62</w:t>
            </w:r>
          </w:p>
        </w:tc>
      </w:tr>
    </w:tbl>
    <w:p w14:paraId="3B974773" w14:textId="77777777" w:rsidR="003C3F3C" w:rsidRDefault="003C3F3C">
      <w:pPr>
        <w:spacing w:before="200"/>
      </w:pPr>
    </w:p>
    <w:p w14:paraId="3B974774" w14:textId="77777777" w:rsidR="003C3F3C" w:rsidRDefault="00000000">
      <w:pPr>
        <w:spacing w:after="140" w:line="300" w:lineRule="auto"/>
      </w:pPr>
      <w:r>
        <w:rPr>
          <w:color w:val="1F2937"/>
          <w:sz w:val="22"/>
          <w:szCs w:val="22"/>
        </w:rPr>
        <w:t>The monthly churn trend shows a sharp spike in March (35 churned customers) against a baseline of roughly 5–15 per month for the rest of the year, followed by a second, smaller rise in September–December. The top stated churn reasons, after an unclassified 'Others' bucket, are budget, pricing, features, and support — pointing to value and cost concerns as leading drivers over product dissatisfaction alone.</w:t>
      </w:r>
    </w:p>
    <w:p w14:paraId="3B974775" w14:textId="77777777" w:rsidR="003C3F3C" w:rsidRDefault="00000000">
      <w:pPr>
        <w:pStyle w:val="Heading1"/>
        <w:spacing w:before="300" w:after="150"/>
      </w:pPr>
      <w:r>
        <w:rPr>
          <w:b/>
          <w:bCs/>
          <w:color w:val="1F2937"/>
          <w:sz w:val="30"/>
          <w:szCs w:val="30"/>
        </w:rPr>
        <w:t>3. Cohort &amp; Segment Findings</w:t>
      </w:r>
    </w:p>
    <w:p w14:paraId="3B974776" w14:textId="77777777" w:rsidR="003C3F3C" w:rsidRDefault="00000000">
      <w:pPr>
        <w:spacing w:after="140" w:line="300" w:lineRule="auto"/>
      </w:pPr>
      <w:r>
        <w:rPr>
          <w:color w:val="1F2937"/>
          <w:sz w:val="22"/>
          <w:szCs w:val="22"/>
        </w:rPr>
        <w:t>Churn is not evenly distributed. It concentrates strongly in specific countries, industries, referral sources, and signup cohorts: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000"/>
      </w:tblGrid>
      <w:tr w:rsidR="003C3F3C" w14:paraId="3B97477A" w14:textId="77777777">
        <w:tblPrEx>
          <w:tblCellMar>
            <w:top w:w="0" w:type="dxa"/>
            <w:bottom w:w="0" w:type="dxa"/>
          </w:tblCellMar>
        </w:tblPrEx>
        <w:tc>
          <w:tcPr>
            <w:tcW w:w="2500" w:type="dxa"/>
            <w:shd w:val="clear" w:color="auto" w:fill="C2185B"/>
            <w:tcMar>
              <w:top w:w="100" w:type="dxa"/>
              <w:left w:w="120" w:type="dxa"/>
              <w:bottom w:w="100" w:type="dxa"/>
              <w:right w:w="120" w:type="dxa"/>
            </w:tcMar>
          </w:tcPr>
          <w:p w14:paraId="3B974777" w14:textId="77777777" w:rsidR="003C3F3C" w:rsidRDefault="00000000">
            <w:r>
              <w:rPr>
                <w:b/>
                <w:bCs/>
                <w:color w:val="FFFFFF"/>
                <w:sz w:val="21"/>
                <w:szCs w:val="21"/>
              </w:rPr>
              <w:t>Segment</w:t>
            </w:r>
          </w:p>
        </w:tc>
        <w:tc>
          <w:tcPr>
            <w:tcW w:w="3500" w:type="dxa"/>
            <w:shd w:val="clear" w:color="auto" w:fill="C2185B"/>
            <w:tcMar>
              <w:top w:w="100" w:type="dxa"/>
              <w:left w:w="120" w:type="dxa"/>
              <w:bottom w:w="100" w:type="dxa"/>
              <w:right w:w="120" w:type="dxa"/>
            </w:tcMar>
          </w:tcPr>
          <w:p w14:paraId="3B974778" w14:textId="77777777" w:rsidR="003C3F3C" w:rsidRDefault="00000000">
            <w:r>
              <w:rPr>
                <w:b/>
                <w:bCs/>
                <w:color w:val="FFFFFF"/>
                <w:sz w:val="21"/>
                <w:szCs w:val="21"/>
              </w:rPr>
              <w:t>Highest Churn</w:t>
            </w:r>
          </w:p>
        </w:tc>
        <w:tc>
          <w:tcPr>
            <w:tcW w:w="3000" w:type="dxa"/>
            <w:shd w:val="clear" w:color="auto" w:fill="C2185B"/>
            <w:tcMar>
              <w:top w:w="100" w:type="dxa"/>
              <w:left w:w="120" w:type="dxa"/>
              <w:bottom w:w="100" w:type="dxa"/>
              <w:right w:w="120" w:type="dxa"/>
            </w:tcMar>
          </w:tcPr>
          <w:p w14:paraId="3B974779" w14:textId="77777777" w:rsidR="003C3F3C" w:rsidRDefault="00000000">
            <w:r>
              <w:rPr>
                <w:b/>
                <w:bCs/>
                <w:color w:val="FFFFFF"/>
                <w:sz w:val="21"/>
                <w:szCs w:val="21"/>
              </w:rPr>
              <w:t>Lowest Churn</w:t>
            </w:r>
          </w:p>
        </w:tc>
      </w:tr>
      <w:tr w:rsidR="003C3F3C" w14:paraId="3B97477E" w14:textId="77777777">
        <w:tblPrEx>
          <w:tblCellMar>
            <w:top w:w="0" w:type="dxa"/>
            <w:bottom w:w="0" w:type="dxa"/>
          </w:tblCellMar>
        </w:tblPrEx>
        <w:tc>
          <w:tcPr>
            <w:tcW w:w="2500" w:type="dxa"/>
            <w:shd w:val="clear" w:color="auto" w:fill="FFFFFF"/>
            <w:tcMar>
              <w:top w:w="100" w:type="dxa"/>
              <w:left w:w="120" w:type="dxa"/>
              <w:bottom w:w="100" w:type="dxa"/>
              <w:right w:w="120" w:type="dxa"/>
            </w:tcMar>
          </w:tcPr>
          <w:p w14:paraId="3B97477B" w14:textId="77777777" w:rsidR="003C3F3C" w:rsidRDefault="00000000">
            <w:r>
              <w:rPr>
                <w:b/>
                <w:bCs/>
                <w:color w:val="1F2937"/>
                <w:sz w:val="21"/>
                <w:szCs w:val="21"/>
              </w:rPr>
              <w:t>Country</w:t>
            </w:r>
          </w:p>
        </w:tc>
        <w:tc>
          <w:tcPr>
            <w:tcW w:w="3500" w:type="dxa"/>
            <w:shd w:val="clear" w:color="auto" w:fill="FFFFFF"/>
            <w:tcMar>
              <w:top w:w="100" w:type="dxa"/>
              <w:left w:w="120" w:type="dxa"/>
              <w:bottom w:w="100" w:type="dxa"/>
              <w:right w:w="120" w:type="dxa"/>
            </w:tcMar>
          </w:tcPr>
          <w:p w14:paraId="3B97477C" w14:textId="77777777" w:rsidR="003C3F3C" w:rsidRDefault="00000000">
            <w:r>
              <w:rPr>
                <w:color w:val="C62828"/>
                <w:sz w:val="21"/>
                <w:szCs w:val="21"/>
              </w:rPr>
              <w:t>Germany — 32.00%</w:t>
            </w:r>
          </w:p>
        </w:tc>
        <w:tc>
          <w:tcPr>
            <w:tcW w:w="3000" w:type="dxa"/>
            <w:shd w:val="clear" w:color="auto" w:fill="FFFFFF"/>
            <w:tcMar>
              <w:top w:w="100" w:type="dxa"/>
              <w:left w:w="120" w:type="dxa"/>
              <w:bottom w:w="100" w:type="dxa"/>
              <w:right w:w="120" w:type="dxa"/>
            </w:tcMar>
          </w:tcPr>
          <w:p w14:paraId="3B97477D" w14:textId="77777777" w:rsidR="003C3F3C" w:rsidRDefault="00000000">
            <w:r>
              <w:rPr>
                <w:color w:val="2E7D32"/>
                <w:sz w:val="21"/>
                <w:szCs w:val="21"/>
              </w:rPr>
              <w:t>Australia — 12.50%</w:t>
            </w:r>
          </w:p>
        </w:tc>
      </w:tr>
      <w:tr w:rsidR="003C3F3C" w14:paraId="3B974782" w14:textId="77777777">
        <w:tblPrEx>
          <w:tblCellMar>
            <w:top w:w="0" w:type="dxa"/>
            <w:bottom w:w="0" w:type="dxa"/>
          </w:tblCellMar>
        </w:tblPrEx>
        <w:tc>
          <w:tcPr>
            <w:tcW w:w="2500" w:type="dxa"/>
            <w:shd w:val="clear" w:color="auto" w:fill="F7F7F9"/>
            <w:tcMar>
              <w:top w:w="100" w:type="dxa"/>
              <w:left w:w="120" w:type="dxa"/>
              <w:bottom w:w="100" w:type="dxa"/>
              <w:right w:w="120" w:type="dxa"/>
            </w:tcMar>
          </w:tcPr>
          <w:p w14:paraId="3B97477F" w14:textId="77777777" w:rsidR="003C3F3C" w:rsidRDefault="00000000">
            <w:r>
              <w:rPr>
                <w:b/>
                <w:bCs/>
                <w:color w:val="1F2937"/>
                <w:sz w:val="21"/>
                <w:szCs w:val="21"/>
              </w:rPr>
              <w:t>Industry</w:t>
            </w:r>
          </w:p>
        </w:tc>
        <w:tc>
          <w:tcPr>
            <w:tcW w:w="3500" w:type="dxa"/>
            <w:shd w:val="clear" w:color="auto" w:fill="F7F7F9"/>
            <w:tcMar>
              <w:top w:w="100" w:type="dxa"/>
              <w:left w:w="120" w:type="dxa"/>
              <w:bottom w:w="100" w:type="dxa"/>
              <w:right w:w="120" w:type="dxa"/>
            </w:tcMar>
          </w:tcPr>
          <w:p w14:paraId="3B974780" w14:textId="77777777" w:rsidR="003C3F3C" w:rsidRDefault="00000000">
            <w:r>
              <w:rPr>
                <w:color w:val="C62828"/>
                <w:sz w:val="21"/>
                <w:szCs w:val="21"/>
              </w:rPr>
              <w:t>DevTools — 30.97%</w:t>
            </w:r>
          </w:p>
        </w:tc>
        <w:tc>
          <w:tcPr>
            <w:tcW w:w="3000" w:type="dxa"/>
            <w:shd w:val="clear" w:color="auto" w:fill="F7F7F9"/>
            <w:tcMar>
              <w:top w:w="100" w:type="dxa"/>
              <w:left w:w="120" w:type="dxa"/>
              <w:bottom w:w="100" w:type="dxa"/>
              <w:right w:w="120" w:type="dxa"/>
            </w:tcMar>
          </w:tcPr>
          <w:p w14:paraId="3B974781" w14:textId="77777777" w:rsidR="003C3F3C" w:rsidRDefault="00000000">
            <w:r>
              <w:rPr>
                <w:color w:val="2E7D32"/>
                <w:sz w:val="21"/>
                <w:szCs w:val="21"/>
              </w:rPr>
              <w:t>EdTech / Cybersecurity — ~16%</w:t>
            </w:r>
          </w:p>
        </w:tc>
      </w:tr>
      <w:tr w:rsidR="003C3F3C" w14:paraId="3B974786" w14:textId="77777777">
        <w:tblPrEx>
          <w:tblCellMar>
            <w:top w:w="0" w:type="dxa"/>
            <w:bottom w:w="0" w:type="dxa"/>
          </w:tblCellMar>
        </w:tblPrEx>
        <w:tc>
          <w:tcPr>
            <w:tcW w:w="2500" w:type="dxa"/>
            <w:shd w:val="clear" w:color="auto" w:fill="FFFFFF"/>
            <w:tcMar>
              <w:top w:w="100" w:type="dxa"/>
              <w:left w:w="120" w:type="dxa"/>
              <w:bottom w:w="100" w:type="dxa"/>
              <w:right w:w="120" w:type="dxa"/>
            </w:tcMar>
          </w:tcPr>
          <w:p w14:paraId="3B974783" w14:textId="77777777" w:rsidR="003C3F3C" w:rsidRDefault="00000000">
            <w:r>
              <w:rPr>
                <w:b/>
                <w:bCs/>
                <w:color w:val="1F2937"/>
                <w:sz w:val="21"/>
                <w:szCs w:val="21"/>
              </w:rPr>
              <w:t>Referral Source</w:t>
            </w:r>
          </w:p>
        </w:tc>
        <w:tc>
          <w:tcPr>
            <w:tcW w:w="3500" w:type="dxa"/>
            <w:shd w:val="clear" w:color="auto" w:fill="FFFFFF"/>
            <w:tcMar>
              <w:top w:w="100" w:type="dxa"/>
              <w:left w:w="120" w:type="dxa"/>
              <w:bottom w:w="100" w:type="dxa"/>
              <w:right w:w="120" w:type="dxa"/>
            </w:tcMar>
          </w:tcPr>
          <w:p w14:paraId="3B974784" w14:textId="77777777" w:rsidR="003C3F3C" w:rsidRDefault="00000000">
            <w:r>
              <w:rPr>
                <w:color w:val="C62828"/>
                <w:sz w:val="21"/>
                <w:szCs w:val="21"/>
              </w:rPr>
              <w:t>Event — 30.21%</w:t>
            </w:r>
          </w:p>
        </w:tc>
        <w:tc>
          <w:tcPr>
            <w:tcW w:w="3000" w:type="dxa"/>
            <w:shd w:val="clear" w:color="auto" w:fill="FFFFFF"/>
            <w:tcMar>
              <w:top w:w="100" w:type="dxa"/>
              <w:left w:w="120" w:type="dxa"/>
              <w:bottom w:w="100" w:type="dxa"/>
              <w:right w:w="120" w:type="dxa"/>
            </w:tcMar>
          </w:tcPr>
          <w:p w14:paraId="3B974785" w14:textId="77777777" w:rsidR="003C3F3C" w:rsidRDefault="00000000">
            <w:r>
              <w:rPr>
                <w:color w:val="2E7D32"/>
                <w:sz w:val="21"/>
                <w:szCs w:val="21"/>
              </w:rPr>
              <w:t>Partner — 14.61%</w:t>
            </w:r>
          </w:p>
        </w:tc>
      </w:tr>
      <w:tr w:rsidR="003C3F3C" w14:paraId="3B97478A" w14:textId="77777777">
        <w:tblPrEx>
          <w:tblCellMar>
            <w:top w:w="0" w:type="dxa"/>
            <w:bottom w:w="0" w:type="dxa"/>
          </w:tblCellMar>
        </w:tblPrEx>
        <w:tc>
          <w:tcPr>
            <w:tcW w:w="2500" w:type="dxa"/>
            <w:shd w:val="clear" w:color="auto" w:fill="F7F7F9"/>
            <w:tcMar>
              <w:top w:w="100" w:type="dxa"/>
              <w:left w:w="120" w:type="dxa"/>
              <w:bottom w:w="100" w:type="dxa"/>
              <w:right w:w="120" w:type="dxa"/>
            </w:tcMar>
          </w:tcPr>
          <w:p w14:paraId="3B974787" w14:textId="77777777" w:rsidR="003C3F3C" w:rsidRDefault="00000000">
            <w:r>
              <w:rPr>
                <w:b/>
                <w:bCs/>
                <w:color w:val="1F2937"/>
                <w:sz w:val="21"/>
                <w:szCs w:val="21"/>
              </w:rPr>
              <w:t>Signup Month</w:t>
            </w:r>
          </w:p>
        </w:tc>
        <w:tc>
          <w:tcPr>
            <w:tcW w:w="3500" w:type="dxa"/>
            <w:shd w:val="clear" w:color="auto" w:fill="F7F7F9"/>
            <w:tcMar>
              <w:top w:w="100" w:type="dxa"/>
              <w:left w:w="120" w:type="dxa"/>
              <w:bottom w:w="100" w:type="dxa"/>
              <w:right w:w="120" w:type="dxa"/>
            </w:tcMar>
          </w:tcPr>
          <w:p w14:paraId="3B974788" w14:textId="77777777" w:rsidR="003C3F3C" w:rsidRDefault="00000000">
            <w:r>
              <w:rPr>
                <w:color w:val="C62828"/>
                <w:sz w:val="21"/>
                <w:szCs w:val="21"/>
              </w:rPr>
              <w:t>February — 35.48%, September — 29.17%</w:t>
            </w:r>
          </w:p>
        </w:tc>
        <w:tc>
          <w:tcPr>
            <w:tcW w:w="3000" w:type="dxa"/>
            <w:shd w:val="clear" w:color="auto" w:fill="F7F7F9"/>
            <w:tcMar>
              <w:top w:w="100" w:type="dxa"/>
              <w:left w:w="120" w:type="dxa"/>
              <w:bottom w:w="100" w:type="dxa"/>
              <w:right w:w="120" w:type="dxa"/>
            </w:tcMar>
          </w:tcPr>
          <w:p w14:paraId="3B974789" w14:textId="77777777" w:rsidR="003C3F3C" w:rsidRDefault="00000000">
            <w:r>
              <w:rPr>
                <w:color w:val="2E7D32"/>
                <w:sz w:val="21"/>
                <w:szCs w:val="21"/>
              </w:rPr>
              <w:t>August — 13.51%</w:t>
            </w:r>
          </w:p>
        </w:tc>
      </w:tr>
    </w:tbl>
    <w:p w14:paraId="3B97478B" w14:textId="77777777" w:rsidR="003C3F3C" w:rsidRDefault="003C3F3C">
      <w:pPr>
        <w:spacing w:before="200"/>
      </w:pPr>
    </w:p>
    <w:p w14:paraId="3B97478C" w14:textId="77777777" w:rsidR="003C3F3C" w:rsidRDefault="00000000">
      <w:pPr>
        <w:spacing w:after="140" w:line="300" w:lineRule="auto"/>
      </w:pPr>
      <w:r>
        <w:rPr>
          <w:color w:val="1F2937"/>
          <w:sz w:val="22"/>
          <w:szCs w:val="22"/>
        </w:rPr>
        <w:t>The gap between the highest- and lowest-churn segment is roughly 2–3x in every category, which suggests churn is being driven by identifiable, addressable segment-level factors rather than being random or evenly spread across the customer base.</w:t>
      </w:r>
    </w:p>
    <w:p w14:paraId="3B97478D" w14:textId="77777777" w:rsidR="003C3F3C" w:rsidRDefault="00000000">
      <w:pPr>
        <w:pStyle w:val="Heading1"/>
        <w:spacing w:before="300" w:after="150"/>
      </w:pPr>
      <w:r>
        <w:rPr>
          <w:b/>
          <w:bCs/>
          <w:color w:val="1F2937"/>
          <w:sz w:val="30"/>
          <w:szCs w:val="30"/>
        </w:rPr>
        <w:t>4. Retention Drivers &amp; Customer Behavior</w:t>
      </w:r>
    </w:p>
    <w:p w14:paraId="3B97478E" w14:textId="77777777" w:rsidR="003C3F3C" w:rsidRDefault="00000000">
      <w:pPr>
        <w:pStyle w:val="Heading2"/>
        <w:spacing w:before="260" w:after="120"/>
      </w:pPr>
      <w:r>
        <w:rPr>
          <w:b/>
          <w:bCs/>
          <w:color w:val="C2185B"/>
          <w:sz w:val="24"/>
          <w:szCs w:val="24"/>
        </w:rPr>
        <w:t>Weak or inconclusive signals</w:t>
      </w:r>
    </w:p>
    <w:p w14:paraId="3B97478F" w14:textId="77777777" w:rsidR="003C3F3C" w:rsidRDefault="00000000">
      <w:pPr>
        <w:pStyle w:val="ListParagraph"/>
        <w:numPr>
          <w:ilvl w:val="0"/>
          <w:numId w:val="2"/>
        </w:numPr>
        <w:spacing w:after="90" w:line="290" w:lineRule="auto"/>
      </w:pPr>
      <w:r>
        <w:rPr>
          <w:color w:val="1F2937"/>
          <w:sz w:val="22"/>
          <w:szCs w:val="22"/>
        </w:rPr>
        <w:t>CSAT is nearly identical for churned and retained customers (4.0 vs 4.0) — satisfaction scores alone do not predict churn in this dataset.</w:t>
      </w:r>
    </w:p>
    <w:p w14:paraId="3B974790" w14:textId="77777777" w:rsidR="003C3F3C" w:rsidRDefault="00000000">
      <w:pPr>
        <w:pStyle w:val="ListParagraph"/>
        <w:numPr>
          <w:ilvl w:val="0"/>
          <w:numId w:val="2"/>
        </w:numPr>
        <w:spacing w:after="90" w:line="290" w:lineRule="auto"/>
      </w:pPr>
      <w:r>
        <w:rPr>
          <w:color w:val="1F2937"/>
          <w:sz w:val="22"/>
          <w:szCs w:val="22"/>
        </w:rPr>
        <w:t>Average active days (48 vs 50) and features used (27 vs 28) show only minor gaps between churned and retained customers.</w:t>
      </w:r>
    </w:p>
    <w:p w14:paraId="3B974791" w14:textId="77777777" w:rsidR="003C3F3C" w:rsidRDefault="00000000">
      <w:pPr>
        <w:pStyle w:val="ListParagraph"/>
        <w:numPr>
          <w:ilvl w:val="0"/>
          <w:numId w:val="2"/>
        </w:numPr>
        <w:spacing w:after="90" w:line="290" w:lineRule="auto"/>
      </w:pPr>
      <w:r>
        <w:rPr>
          <w:color w:val="1F2937"/>
          <w:sz w:val="22"/>
          <w:szCs w:val="22"/>
        </w:rPr>
        <w:t>Auto-renew status has minimal effect on churn rate (22.14% vs 21.35%).</w:t>
      </w:r>
    </w:p>
    <w:p w14:paraId="3B974792" w14:textId="77777777" w:rsidR="003C3F3C" w:rsidRDefault="00000000">
      <w:pPr>
        <w:pStyle w:val="Heading2"/>
        <w:spacing w:before="260" w:after="120"/>
      </w:pPr>
      <w:r>
        <w:rPr>
          <w:b/>
          <w:bCs/>
          <w:color w:val="C2185B"/>
          <w:sz w:val="24"/>
          <w:szCs w:val="24"/>
        </w:rPr>
        <w:t>Stronger signals</w:t>
      </w:r>
    </w:p>
    <w:p w14:paraId="3B974793" w14:textId="77777777" w:rsidR="003C3F3C" w:rsidRDefault="00000000">
      <w:pPr>
        <w:pStyle w:val="ListParagraph"/>
        <w:numPr>
          <w:ilvl w:val="0"/>
          <w:numId w:val="2"/>
        </w:numPr>
        <w:spacing w:after="90" w:line="290" w:lineRule="auto"/>
      </w:pPr>
      <w:r>
        <w:rPr>
          <w:color w:val="1F2937"/>
          <w:sz w:val="22"/>
          <w:szCs w:val="22"/>
        </w:rPr>
        <w:t>Customers who downgraded their plan show a noticeably higher tendency to churn — this is the clearest behavioral early-warning signal in the data.</w:t>
      </w:r>
    </w:p>
    <w:p w14:paraId="3B974794" w14:textId="77777777" w:rsidR="003C3F3C" w:rsidRDefault="00000000">
      <w:pPr>
        <w:pStyle w:val="ListParagraph"/>
        <w:numPr>
          <w:ilvl w:val="0"/>
          <w:numId w:val="2"/>
        </w:numPr>
        <w:spacing w:after="90" w:line="290" w:lineRule="auto"/>
      </w:pPr>
      <w:r>
        <w:rPr>
          <w:color w:val="1F2937"/>
          <w:sz w:val="22"/>
          <w:szCs w:val="22"/>
        </w:rPr>
        <w:t>Stated churn reasons point to pricing and budget as leading, addressable causes.</w:t>
      </w:r>
    </w:p>
    <w:p w14:paraId="3B974795" w14:textId="77777777" w:rsidR="003C3F3C" w:rsidRDefault="00000000">
      <w:pPr>
        <w:pStyle w:val="ListParagraph"/>
        <w:numPr>
          <w:ilvl w:val="0"/>
          <w:numId w:val="2"/>
        </w:numPr>
        <w:spacing w:after="90" w:line="290" w:lineRule="auto"/>
      </w:pPr>
      <w:r>
        <w:rPr>
          <w:color w:val="1F2937"/>
          <w:sz w:val="22"/>
          <w:szCs w:val="22"/>
        </w:rPr>
        <w:t>Segment-level factors (country, industry, referral source, signup cohort) show 2–3x variation in churn rate.</w:t>
      </w:r>
    </w:p>
    <w:p w14:paraId="3B974796" w14:textId="77777777" w:rsidR="003C3F3C" w:rsidRDefault="00000000">
      <w:pPr>
        <w:spacing w:after="140" w:line="300" w:lineRule="auto"/>
      </w:pPr>
      <w:r>
        <w:rPr>
          <w:color w:val="1F2937"/>
          <w:sz w:val="22"/>
          <w:szCs w:val="22"/>
        </w:rPr>
        <w:t>Because standard engagement metrics (CSAT, active days, feature usage) do not clearly separate churned from retained customers, they should not be relied on alone as churn predictors. Downgrade activity and stated churn reason are more actionable signals for a retention program.</w:t>
      </w:r>
    </w:p>
    <w:p w14:paraId="3B974797" w14:textId="77777777" w:rsidR="003C3F3C" w:rsidRDefault="00000000">
      <w:pPr>
        <w:pStyle w:val="Heading1"/>
        <w:spacing w:before="300" w:after="150"/>
      </w:pPr>
      <w:r>
        <w:rPr>
          <w:b/>
          <w:bCs/>
          <w:color w:val="1F2937"/>
          <w:sz w:val="30"/>
          <w:szCs w:val="30"/>
        </w:rPr>
        <w:t>5. Data Quality Note</w:t>
      </w:r>
    </w:p>
    <w:p w14:paraId="3B974798" w14:textId="77777777" w:rsidR="003C3F3C" w:rsidRDefault="00000000">
      <w:pPr>
        <w:spacing w:after="140" w:line="300" w:lineRule="auto"/>
      </w:pPr>
      <w:r>
        <w:rPr>
          <w:color w:val="1F2937"/>
          <w:sz w:val="22"/>
          <w:szCs w:val="22"/>
        </w:rPr>
        <w:t>One measure on the Power BI dashboard — "Churn Rate by Is_Churned" — currently shows 23.65% for False and 21.31% for True. Since Is_Churned is the churn flag itself, a customer where this flag is True should show a 100% churn rate, and False should show 0%. This indicates either a miscalculated DAX measure (likely computing churn rate within the wrong filter context) or a mislabeled chart that is actually plotting a different dimension. This should be corrected before the dashboard is shared more broadly, as it currently reads as contradictory to the rest of the report.</w:t>
      </w:r>
    </w:p>
    <w:p w14:paraId="3B974799" w14:textId="77777777" w:rsidR="003C3F3C" w:rsidRDefault="00000000">
      <w:pPr>
        <w:pStyle w:val="Heading1"/>
        <w:spacing w:before="300" w:after="150"/>
      </w:pPr>
      <w:r>
        <w:rPr>
          <w:b/>
          <w:bCs/>
          <w:color w:val="1F2937"/>
          <w:sz w:val="30"/>
          <w:szCs w:val="30"/>
        </w:rPr>
        <w:t>6. Recommendations</w:t>
      </w:r>
    </w:p>
    <w:p w14:paraId="3B97479A" w14:textId="77777777" w:rsidR="003C3F3C" w:rsidRDefault="00000000">
      <w:pPr>
        <w:pStyle w:val="ListParagraph"/>
        <w:numPr>
          <w:ilvl w:val="0"/>
          <w:numId w:val="2"/>
        </w:numPr>
        <w:spacing w:after="90" w:line="290" w:lineRule="auto"/>
      </w:pPr>
      <w:r>
        <w:rPr>
          <w:color w:val="1F2937"/>
          <w:sz w:val="22"/>
          <w:szCs w:val="22"/>
        </w:rPr>
        <w:t>Investigate the March churn spike (35 customers) — check for a pricing change, service disruption, or campaign end date around that period.</w:t>
      </w:r>
    </w:p>
    <w:p w14:paraId="3B97479B" w14:textId="77777777" w:rsidR="003C3F3C" w:rsidRDefault="00000000">
      <w:pPr>
        <w:pStyle w:val="ListParagraph"/>
        <w:numPr>
          <w:ilvl w:val="0"/>
          <w:numId w:val="2"/>
        </w:numPr>
        <w:spacing w:after="90" w:line="290" w:lineRule="auto"/>
      </w:pPr>
      <w:r>
        <w:rPr>
          <w:color w:val="1F2937"/>
          <w:sz w:val="22"/>
          <w:szCs w:val="22"/>
        </w:rPr>
        <w:t>Address pricing and budget concerns directly, since these are the leading stated churn reasons after "Others" — review pricing tiers and packaging.</w:t>
      </w:r>
    </w:p>
    <w:p w14:paraId="3B97479C" w14:textId="77777777" w:rsidR="003C3F3C" w:rsidRDefault="00000000">
      <w:pPr>
        <w:pStyle w:val="ListParagraph"/>
        <w:numPr>
          <w:ilvl w:val="0"/>
          <w:numId w:val="2"/>
        </w:numPr>
        <w:spacing w:after="90" w:line="290" w:lineRule="auto"/>
      </w:pPr>
      <w:r>
        <w:rPr>
          <w:color w:val="1F2937"/>
          <w:sz w:val="22"/>
          <w:szCs w:val="22"/>
        </w:rPr>
        <w:t>Grow the partner referral channel, since partner-referred customers churn least (14.61%) — consider reallocating acquisition spend away from event-driven acquisition (30.21% churn).</w:t>
      </w:r>
    </w:p>
    <w:p w14:paraId="3B97479D" w14:textId="77777777" w:rsidR="003C3F3C" w:rsidRDefault="00000000">
      <w:pPr>
        <w:pStyle w:val="ListParagraph"/>
        <w:numPr>
          <w:ilvl w:val="0"/>
          <w:numId w:val="2"/>
        </w:numPr>
        <w:spacing w:after="90" w:line="290" w:lineRule="auto"/>
      </w:pPr>
      <w:r>
        <w:rPr>
          <w:color w:val="1F2937"/>
          <w:sz w:val="22"/>
          <w:szCs w:val="22"/>
        </w:rPr>
        <w:t>Treat plan downgrades as an early-warning signal and trigger proactive retention outreach when a downgrade occurs.</w:t>
      </w:r>
    </w:p>
    <w:p w14:paraId="3B97479E" w14:textId="77777777" w:rsidR="003C3F3C" w:rsidRDefault="00000000">
      <w:pPr>
        <w:pStyle w:val="ListParagraph"/>
        <w:numPr>
          <w:ilvl w:val="0"/>
          <w:numId w:val="2"/>
        </w:numPr>
        <w:spacing w:after="90" w:line="290" w:lineRule="auto"/>
      </w:pPr>
      <w:r>
        <w:rPr>
          <w:color w:val="1F2937"/>
          <w:sz w:val="22"/>
          <w:szCs w:val="22"/>
        </w:rPr>
        <w:t>Audit onboarding and offer terms for the February and September signup cohorts, which show the highest cohort-level churn.</w:t>
      </w:r>
    </w:p>
    <w:p w14:paraId="3B97479F" w14:textId="77777777" w:rsidR="003C3F3C" w:rsidRDefault="00000000">
      <w:pPr>
        <w:pStyle w:val="ListParagraph"/>
        <w:numPr>
          <w:ilvl w:val="0"/>
          <w:numId w:val="2"/>
        </w:numPr>
        <w:spacing w:after="90" w:line="290" w:lineRule="auto"/>
      </w:pPr>
      <w:r>
        <w:rPr>
          <w:color w:val="1F2937"/>
          <w:sz w:val="22"/>
          <w:szCs w:val="22"/>
        </w:rPr>
        <w:t>Correct the "Churn Rate by Is_Churned" measure in Power BI before further distribution of the dashboard.</w:t>
      </w:r>
    </w:p>
    <w:p w14:paraId="3B9747A0" w14:textId="77777777" w:rsidR="003C3F3C" w:rsidRDefault="00000000">
      <w:pPr>
        <w:pStyle w:val="Heading1"/>
        <w:spacing w:before="300" w:after="150"/>
      </w:pPr>
      <w:r>
        <w:rPr>
          <w:b/>
          <w:bCs/>
          <w:color w:val="1F2937"/>
          <w:sz w:val="30"/>
          <w:szCs w:val="30"/>
        </w:rPr>
        <w:t>Conclusion</w:t>
      </w:r>
    </w:p>
    <w:p w14:paraId="3B9747A1" w14:textId="77777777" w:rsidR="003C3F3C" w:rsidRDefault="00000000">
      <w:pPr>
        <w:spacing w:after="140" w:line="300" w:lineRule="auto"/>
      </w:pPr>
      <w:r>
        <w:rPr>
          <w:color w:val="1F2937"/>
          <w:sz w:val="22"/>
          <w:szCs w:val="22"/>
        </w:rPr>
        <w:t>RavenStack's 22% churn rate is concentrated in identifiable segments — specific countries, industries, referral sources, and signup cohorts — rather than spread evenly across the customer base. Standard engagement and satisfaction metrics do not explain churn well on their own, but downgrade behavior and stated reasons (pricing, budget) point clearly toward pricing strategy and targeted retention outreach as the highest-leverage next steps.</w:t>
      </w:r>
    </w:p>
    <w:sectPr w:rsidR="003C3F3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6290B"/>
    <w:multiLevelType w:val="hybridMultilevel"/>
    <w:tmpl w:val="85D6008E"/>
    <w:lvl w:ilvl="0" w:tplc="BCDA81FE">
      <w:start w:val="1"/>
      <w:numFmt w:val="bullet"/>
      <w:lvlText w:val="•"/>
      <w:lvlJc w:val="left"/>
      <w:pPr>
        <w:ind w:left="420" w:hanging="260"/>
      </w:pPr>
    </w:lvl>
    <w:lvl w:ilvl="1" w:tplc="7C64A9EE">
      <w:numFmt w:val="decimal"/>
      <w:lvlText w:val=""/>
      <w:lvlJc w:val="left"/>
    </w:lvl>
    <w:lvl w:ilvl="2" w:tplc="98545594">
      <w:numFmt w:val="decimal"/>
      <w:lvlText w:val=""/>
      <w:lvlJc w:val="left"/>
    </w:lvl>
    <w:lvl w:ilvl="3" w:tplc="A2A044DA">
      <w:numFmt w:val="decimal"/>
      <w:lvlText w:val=""/>
      <w:lvlJc w:val="left"/>
    </w:lvl>
    <w:lvl w:ilvl="4" w:tplc="E1F2AB98">
      <w:numFmt w:val="decimal"/>
      <w:lvlText w:val=""/>
      <w:lvlJc w:val="left"/>
    </w:lvl>
    <w:lvl w:ilvl="5" w:tplc="85D25A82">
      <w:numFmt w:val="decimal"/>
      <w:lvlText w:val=""/>
      <w:lvlJc w:val="left"/>
    </w:lvl>
    <w:lvl w:ilvl="6" w:tplc="879019A4">
      <w:numFmt w:val="decimal"/>
      <w:lvlText w:val=""/>
      <w:lvlJc w:val="left"/>
    </w:lvl>
    <w:lvl w:ilvl="7" w:tplc="FE42F2A0">
      <w:numFmt w:val="decimal"/>
      <w:lvlText w:val=""/>
      <w:lvlJc w:val="left"/>
    </w:lvl>
    <w:lvl w:ilvl="8" w:tplc="6E149556">
      <w:numFmt w:val="decimal"/>
      <w:lvlText w:val=""/>
      <w:lvlJc w:val="left"/>
    </w:lvl>
  </w:abstractNum>
  <w:abstractNum w:abstractNumId="1" w15:restartNumberingAfterBreak="0">
    <w:nsid w:val="35931865"/>
    <w:multiLevelType w:val="hybridMultilevel"/>
    <w:tmpl w:val="9EFC9564"/>
    <w:lvl w:ilvl="0" w:tplc="B0983200">
      <w:start w:val="1"/>
      <w:numFmt w:val="bullet"/>
      <w:lvlText w:val="●"/>
      <w:lvlJc w:val="left"/>
      <w:pPr>
        <w:ind w:left="720" w:hanging="360"/>
      </w:pPr>
    </w:lvl>
    <w:lvl w:ilvl="1" w:tplc="95B271A6">
      <w:start w:val="1"/>
      <w:numFmt w:val="bullet"/>
      <w:lvlText w:val="○"/>
      <w:lvlJc w:val="left"/>
      <w:pPr>
        <w:ind w:left="1440" w:hanging="360"/>
      </w:pPr>
    </w:lvl>
    <w:lvl w:ilvl="2" w:tplc="5830C35E">
      <w:start w:val="1"/>
      <w:numFmt w:val="bullet"/>
      <w:lvlText w:val="■"/>
      <w:lvlJc w:val="left"/>
      <w:pPr>
        <w:ind w:left="2160" w:hanging="360"/>
      </w:pPr>
    </w:lvl>
    <w:lvl w:ilvl="3" w:tplc="7CD6804A">
      <w:start w:val="1"/>
      <w:numFmt w:val="bullet"/>
      <w:lvlText w:val="●"/>
      <w:lvlJc w:val="left"/>
      <w:pPr>
        <w:ind w:left="2880" w:hanging="360"/>
      </w:pPr>
    </w:lvl>
    <w:lvl w:ilvl="4" w:tplc="19AE6DAA">
      <w:start w:val="1"/>
      <w:numFmt w:val="bullet"/>
      <w:lvlText w:val="○"/>
      <w:lvlJc w:val="left"/>
      <w:pPr>
        <w:ind w:left="3600" w:hanging="360"/>
      </w:pPr>
    </w:lvl>
    <w:lvl w:ilvl="5" w:tplc="AC50FF4E">
      <w:start w:val="1"/>
      <w:numFmt w:val="bullet"/>
      <w:lvlText w:val="■"/>
      <w:lvlJc w:val="left"/>
      <w:pPr>
        <w:ind w:left="4320" w:hanging="360"/>
      </w:pPr>
    </w:lvl>
    <w:lvl w:ilvl="6" w:tplc="10D04942">
      <w:start w:val="1"/>
      <w:numFmt w:val="bullet"/>
      <w:lvlText w:val="●"/>
      <w:lvlJc w:val="left"/>
      <w:pPr>
        <w:ind w:left="5040" w:hanging="360"/>
      </w:pPr>
    </w:lvl>
    <w:lvl w:ilvl="7" w:tplc="D1C4F2D2">
      <w:start w:val="1"/>
      <w:numFmt w:val="bullet"/>
      <w:lvlText w:val="●"/>
      <w:lvlJc w:val="left"/>
      <w:pPr>
        <w:ind w:left="5760" w:hanging="360"/>
      </w:pPr>
    </w:lvl>
    <w:lvl w:ilvl="8" w:tplc="E132DFC4">
      <w:start w:val="1"/>
      <w:numFmt w:val="bullet"/>
      <w:lvlText w:val="●"/>
      <w:lvlJc w:val="left"/>
      <w:pPr>
        <w:ind w:left="6480" w:hanging="360"/>
      </w:pPr>
    </w:lvl>
  </w:abstractNum>
  <w:num w:numId="1" w16cid:durableId="2048944054">
    <w:abstractNumId w:val="1"/>
    <w:lvlOverride w:ilvl="0">
      <w:startOverride w:val="1"/>
    </w:lvlOverride>
  </w:num>
  <w:num w:numId="2" w16cid:durableId="16354534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F3C"/>
    <w:rsid w:val="002A1EB2"/>
    <w:rsid w:val="003C3F3C"/>
    <w:rsid w:val="003F4ECA"/>
    <w:rsid w:val="00BC5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7473A"/>
  <w15:docId w15:val="{7F5A0AFD-89B0-4A6A-B34E-6B7BCBC22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905</Words>
  <Characters>5159</Characters>
  <Application>Microsoft Office Word</Application>
  <DocSecurity>0</DocSecurity>
  <Lines>42</Lines>
  <Paragraphs>12</Paragraphs>
  <ScaleCrop>false</ScaleCrop>
  <Company/>
  <LinksUpToDate>false</LinksUpToDate>
  <CharactersWithSpaces>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NARENDRA KUMAR</cp:lastModifiedBy>
  <cp:revision>3</cp:revision>
  <dcterms:created xsi:type="dcterms:W3CDTF">2026-09-23T09:17:00Z</dcterms:created>
  <dcterms:modified xsi:type="dcterms:W3CDTF">2026-09-23T09:28:00Z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f5ac88ad-9da6-48db-aebb-1896072fc2bd</vt:lpwstr>
  </property>
</Properties>
</file>