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6B6D4"/>
          <w:sz w:val="22"/>
        </w:rPr>
        <w:t>INCIDENT LIFE CYCLE AUTOMATION</w:t>
      </w:r>
    </w:p>
    <w:p>
      <w:pPr>
        <w:pStyle w:val="Title"/>
        <w:spacing w:after="80"/>
      </w:pPr>
      <w:r>
        <w:t>Solution Requirements</w:t>
      </w:r>
    </w:p>
    <w:p>
      <w:r>
        <w:rPr>
          <w:color w:val="475569"/>
          <w:sz w:val="24"/>
        </w:rPr>
        <w:t>Functional and quality requirements for Incident Life Cycle Automation</w:t>
      </w:r>
    </w:p>
    <w:p>
      <w:r>
        <w:rPr>
          <w:color w:val="2563EB"/>
          <w:sz w:val="16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STUDENT NAME</w:t>
              <w:br/>
            </w:r>
            <w:r>
              <w:rPr>
                <w:b/>
                <w:sz w:val="20"/>
              </w:rPr>
              <w:t>Nareshkumar S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PROJECT</w:t>
              <w:br/>
            </w:r>
            <w:r>
              <w:rPr>
                <w:b/>
                <w:sz w:val="20"/>
              </w:rPr>
              <w:t>Incident Life Cycle Automation</w:t>
            </w:r>
          </w:p>
        </w:tc>
      </w:tr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DOCUMENT DATE</w:t>
              <w:br/>
            </w:r>
            <w:r>
              <w:rPr>
                <w:b/>
                <w:sz w:val="20"/>
              </w:rPr>
              <w:t>08 October 2026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SCOPE</w:t>
              <w:br/>
            </w:r>
            <w:r>
              <w:rPr>
                <w:b/>
                <w:sz w:val="20"/>
              </w:rPr>
              <w:t>Incident lifecycle workflow &amp; automation only</w:t>
            </w:r>
          </w:p>
        </w:tc>
      </w:tr>
    </w:tbl>
    <w:p/>
    <w:p>
      <w:pPr>
        <w:pStyle w:val="Heading1"/>
      </w:pPr>
      <w:r>
        <w:t>1.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3408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3408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Requirement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FR-01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Incident Intake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Create an incident with title, description, source, category, impact, urgency and timestamp.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FR-02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Identification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Generate a unique incident ID and initialize the lifecycle state.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FR-03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Determine or capture priority using impact/urgency and configured rules.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FR-04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Assignment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Route an incident to the appropriate queue or owner and record the change.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FR-05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SLA Tracking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Start the applicable SLA timer and expose due / risk state.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Escalation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Trigger an escalation when defined SLA conditions are reached.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FR-07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Investigation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Allow authorized users to add work notes and status updates.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FR-08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Resolution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Record resolution details and resolution time before moving to Resolved.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FR-09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Closure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Complete the final closure action while retaining the lifecycle record.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FR-10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History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Maintain chronological status, owner, priority and action history.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Search &amp; Dashboard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View and filter incidents by useful operational fields.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Role Access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Limit actions according to the user's role.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FR-13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Record important changes with actor, action and timestamp.</w:t>
            </w:r>
          </w:p>
        </w:tc>
      </w:tr>
    </w:tbl>
    <w:p>
      <w:pPr>
        <w:pStyle w:val="Heading1"/>
      </w:pPr>
      <w:r>
        <w:t>2.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3408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Quality</w:t>
            </w:r>
          </w:p>
        </w:tc>
        <w:tc>
          <w:tcPr>
            <w:tcW w:type="dxa" w:w="3408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Requirement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NFR-01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Usability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Common incident actions should be understandable with minimal training.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NFR-02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Authenticated access, role checks and secure session handling should be used.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NFR-03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Reliability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Successful lifecycle updates should remain consistent with their history.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NFR-04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Common incident views and actions should remain responsive under expected project load.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NFR-05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Maintainability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Lifecycle rules should be organized so priority, routing and SLA logic can be updated.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NFR-06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Important lifecycle transitions should be traceable by user, time and action.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75569"/>
        <w:sz w:val="16"/>
      </w:rPr>
      <w:t xml:space="preserve">Nareshkumar S  |  08 October 2026  |  </w:t>
    </w: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475569"/>
        <w:sz w:val="16"/>
      </w:rPr>
      <w:t>INCIDENT LIFE CYCLE AUTOMATION  • 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55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6B6D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55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