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6B6D4"/>
          <w:sz w:val="22"/>
        </w:rPr>
        <w:t>INCIDENT LIFE CYCLE AUTOMATION</w:t>
      </w:r>
    </w:p>
    <w:p>
      <w:pPr>
        <w:pStyle w:val="Title"/>
        <w:spacing w:after="80"/>
      </w:pPr>
      <w:r>
        <w:t>Planning Logic</w:t>
      </w:r>
    </w:p>
    <w:p>
      <w:r>
        <w:rPr>
          <w:color w:val="475569"/>
          <w:sz w:val="24"/>
        </w:rPr>
        <w:t>Reasoning behind the implementation sequence</w:t>
      </w:r>
    </w:p>
    <w:p>
      <w:r>
        <w:rPr>
          <w:color w:val="2563EB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STUDENT NAME</w:t>
              <w:br/>
            </w:r>
            <w:r>
              <w:rPr>
                <w:b/>
                <w:sz w:val="20"/>
              </w:rPr>
              <w:t>Nareshkumar S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PROJECT</w:t>
              <w:br/>
            </w:r>
            <w:r>
              <w:rPr>
                <w:b/>
                <w:sz w:val="20"/>
              </w:rPr>
              <w:t>Incident Life Cycle Automation</w:t>
            </w:r>
          </w:p>
        </w:tc>
      </w:tr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DOCUMENT DATE</w:t>
              <w:br/>
            </w:r>
            <w:r>
              <w:rPr>
                <w:b/>
                <w:sz w:val="20"/>
              </w:rPr>
              <w:t>08 October 2026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SCOPE</w:t>
              <w:br/>
            </w:r>
            <w:r>
              <w:rPr>
                <w:b/>
                <w:sz w:val="20"/>
              </w:rPr>
              <w:t>Incident lifecycle workflow &amp; automation only</w:t>
            </w:r>
          </w:p>
        </w:tc>
      </w:tr>
    </w:tbl>
    <w:p/>
    <w:p>
      <w:pPr>
        <w:pStyle w:val="Heading1"/>
      </w:pPr>
      <w:r>
        <w:t>1. Dependency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Order</w:t>
            </w:r>
          </w:p>
        </w:tc>
        <w:tc>
          <w:tcPr>
            <w:tcW w:type="dxa" w:w="5112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Why It Comes Here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1. Intake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The system cannot automate later lifecycle steps until a valid incident record exists.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2. Triage &amp; Priority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Routing and SLA decisions depend on reliable classification and priority.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3. Assignment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Ownership must be established before meaningful investigation tracking.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4. SLA Monitoring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SLA timing becomes useful after priority/ownership and due-time rules are available.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5. Investigation &amp; Resolution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Operational work must be captured before an incident can be resolved.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6. Closure &amp; Audit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Closure completes the lifecycle while preserving the final history.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7. Dashboard &amp; Notifications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Visibility and alerts are layered over the working lifecycle rather than built first.</w:t>
            </w:r>
          </w:p>
        </w:tc>
      </w:tr>
    </w:tbl>
    <w:p>
      <w:pPr>
        <w:pStyle w:val="Heading1"/>
      </w:pPr>
      <w:r>
        <w:t>2. Completion Criteria</w:t>
      </w:r>
    </w:p>
    <w:p>
      <w:pPr>
        <w:pStyle w:val="ListBullet"/>
      </w:pPr>
      <w:r>
        <w:t>A valid incident can enter the lifecycle.</w:t>
      </w:r>
    </w:p>
    <w:p>
      <w:pPr>
        <w:pStyle w:val="ListBullet"/>
      </w:pPr>
      <w:r>
        <w:t>Authorized users can move the incident through allowed states.</w:t>
      </w:r>
    </w:p>
    <w:p>
      <w:pPr>
        <w:pStyle w:val="ListBullet"/>
      </w:pPr>
      <w:r>
        <w:t>Assignment, SLA and escalation events are recorded.</w:t>
      </w:r>
    </w:p>
    <w:p>
      <w:pPr>
        <w:pStyle w:val="ListBullet"/>
      </w:pPr>
      <w:r>
        <w:t>Resolution and closure retain the lifecycle history.</w:t>
      </w:r>
    </w:p>
    <w:p>
      <w:pPr>
        <w:pStyle w:val="ListBullet"/>
      </w:pPr>
      <w:r>
        <w:t>Search/dashboard features expose the core operational state.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 xml:space="preserve">Nareshkumar S  |  08 October 2026  |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475569"/>
        <w:sz w:val="16"/>
      </w:rPr>
      <w:t>INCIDENT LIFE CYCLE AUTOMATION  •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6B6D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