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Performance Testing Plan &amp; Report</w:t>
      </w:r>
    </w:p>
    <w:p>
      <w:r>
        <w:rPr>
          <w:color w:val="475569"/>
          <w:sz w:val="24"/>
        </w:rPr>
        <w:t>Focused checks for responsiveness of the incident automation workflow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Test Objectives</w:t>
      </w:r>
    </w:p>
    <w:p>
      <w:pPr>
        <w:pStyle w:val="ListBullet"/>
      </w:pPr>
      <w:r>
        <w:t>Check response time for common incident actions.</w:t>
      </w:r>
    </w:p>
    <w:p>
      <w:pPr>
        <w:pStyle w:val="ListBullet"/>
      </w:pPr>
      <w:r>
        <w:t>Ensure scheduled SLA checks do not unnecessarily block user-facing operations.</w:t>
      </w:r>
    </w:p>
    <w:p>
      <w:pPr>
        <w:pStyle w:val="ListBullet"/>
      </w:pPr>
      <w:r>
        <w:t>Confirm incident search and filtering remain usable as records increase.</w:t>
      </w:r>
    </w:p>
    <w:p>
      <w:pPr>
        <w:pStyle w:val="ListBullet"/>
      </w:pPr>
      <w:r>
        <w:t>Capture actual measurements instead of inventing benchmark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Submit a valid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End-to-end response + successful creation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Acceptable interactive response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Open incident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Load incident and lifecycle history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Read response time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Stable response for normal history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Search &amp; filter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Filter by status, priority, owner and date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Query latency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Predictable response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background check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Process due / at-risk incidents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Job duration + UI impact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material blocking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Concurrent updates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Multiple users update incidents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Errors + throughput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 unexpected failures</w:t>
            </w:r>
          </w:p>
        </w:tc>
      </w:tr>
    </w:tbl>
    <w:p>
      <w:pPr>
        <w:pStyle w:val="Heading1"/>
      </w:pPr>
      <w:r>
        <w:t>2. Execution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Test ID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Observed Result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PT-04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  <w:tr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PT-05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Project test environment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To be recorded during execution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04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measured evidence</w:t>
            </w:r>
          </w:p>
        </w:tc>
      </w:tr>
    </w:tbl>
    <w:p>
      <w:pPr>
        <w:pStyle w:val="Heading1"/>
      </w:pPr>
      <w:r>
        <w:t>3. Acceptance Guidance</w:t>
      </w:r>
    </w:p>
    <w:p>
      <w:pPr>
        <w:spacing w:after="140"/>
      </w:pPr>
      <w:r>
        <w:t>Final submission should replace pending entries with actual measurements from the implemented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