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Problem–Solution Fit</w:t>
      </w:r>
    </w:p>
    <w:p>
      <w:r>
        <w:rPr>
          <w:color w:val="475569"/>
          <w:sz w:val="24"/>
        </w:rPr>
        <w:t>Mapping each important lifecycle problem to a focused project capability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Nareshkumar S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Observed Problem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Project Response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Expected Value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Incomplete incident details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Structured form + validation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Better-quality intake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Unclear ownership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Rule-based assignment + reassignment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Faster accountability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Inconsistent priority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Impact/urgency + priority rules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More consistent handling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Late SLA follow-up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Automatic timer + risk detection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Earlier intervention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Fragmented progress updates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Lifecycle status + timeline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Better visibility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Weak closure evidence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 + closure fields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Complete incident record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Scattered history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Audit-ready lifecycle events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Traceable review</w:t>
            </w:r>
          </w:p>
        </w:tc>
      </w:tr>
    </w:tbl>
    <w:p>
      <w:pPr>
        <w:pStyle w:val="Heading1"/>
      </w:pPr>
      <w:r>
        <w:t>Fit Summary</w:t>
      </w:r>
    </w:p>
    <w:p>
      <w:pPr>
        <w:spacing w:after="140"/>
      </w:pPr>
      <w:r>
        <w:t>Every selected capability directly supports the incident lifecycle. No unrelated business modules are required for the project objective.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Nareshkumar S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