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32"/>
        </w:rPr>
        <w:t>Female Land Ownership and Household Food Insecurity in Ethiopia</w:t>
      </w:r>
    </w:p>
    <w:p>
      <w:pPr>
        <w:spacing w:after="40"/>
        <w:jc w:val="center"/>
      </w:pPr>
      <w:r>
        <w:rPr>
          <w:rFonts w:ascii="Times New Roman" w:hAnsi="Times New Roman" w:eastAsia="Times New Roman"/>
          <w:b w:val="0"/>
          <w:i/>
          <w:sz w:val="24"/>
        </w:rPr>
        <w:t>Survey-weighted and unweighted robust estimates compared</w:t>
      </w:r>
    </w:p>
    <w:p>
      <w:pPr>
        <w:spacing w:after="320"/>
        <w:jc w:val="center"/>
      </w:pPr>
      <w:r>
        <w:rPr>
          <w:rFonts w:ascii="Times New Roman" w:hAnsi="Times New Roman" w:eastAsia="Times New Roman"/>
          <w:b w:val="0"/>
          <w:i w:val="0"/>
          <w:sz w:val="20"/>
        </w:rPr>
        <w:t>Ethiopia Socioeconomic Panel Survey, Wave 5 (2021)</w:t>
        <w:br/>
        <w:t>Results from food_security_ownership.do  |  Stata log: new_analysis_sep4.log</w:t>
        <w:br/>
        <w:t>Run date: 4 September 2026</w:t>
      </w:r>
    </w:p>
    <w:p>
      <w:pPr>
        <w:spacing w:before="280" w:after="120"/>
        <w:ind w:firstLine="0"/>
      </w:pPr>
      <w:r>
        <w:rPr>
          <w:rFonts w:ascii="Times New Roman" w:hAnsi="Times New Roman" w:eastAsia="Times New Roman"/>
          <w:b/>
          <w:i w:val="0"/>
          <w:sz w:val="28"/>
        </w:rPr>
        <w:t>1. Question and design</w:t>
      </w:r>
    </w:p>
    <w:p>
      <w:pPr>
        <w:spacing w:after="160" w:before="0" w:line="276" w:lineRule="auto"/>
        <w:ind w:firstLine="432"/>
      </w:pPr>
      <w:r>
        <w:rPr>
          <w:rFonts w:ascii="Times New Roman" w:hAnsi="Times New Roman" w:eastAsia="Times New Roman"/>
          <w:b w:val="0"/>
          <w:i w:val="0"/>
          <w:sz w:val="22"/>
        </w:rPr>
        <w:t>The analysis asks whether female land ownership is associated with household food insecurity, and whether that association is the same for any female ownership as for sole female ownership and joint ownership with a man. Food insecurity is measured with the eight-item Food Insecurity Experience Scale (FIES). Three outcomes are used: the raw FIES score (0–8), a dummy for moderate or severe food insecurity (score of 4 or higher), and a dummy for severe food insecurity (score above 6).</w:t>
      </w:r>
    </w:p>
    <w:p>
      <w:pPr>
        <w:spacing w:after="160" w:before="0" w:line="276" w:lineRule="auto"/>
        <w:ind w:firstLine="432"/>
      </w:pPr>
      <w:r>
        <w:rPr>
          <w:rFonts w:ascii="Times New Roman" w:hAnsi="Times New Roman" w:eastAsia="Times New Roman"/>
          <w:b w:val="0"/>
          <w:i w:val="0"/>
          <w:sz w:val="22"/>
        </w:rPr>
        <w:t>Two ownership specifications are estimated. Specification A includes a single dummy, female_landowner, equal to one if at least one woman in the household owns a parcel. Specification B splits that dummy into sole_female_ownership and joint_ownership. By construction, female_landowner is the union of the two Specification B dummies, so A is B with the restriction that the sole and joint coefficients are equal. After every Specification B model a Wald test of that restriction is reported (test sole_female_ownership = joint_ownership), together with the lincom difference. A likelihood-ratio test is not valid once survey weights or clustered standard errors are used.</w:t>
      </w:r>
    </w:p>
    <w:p>
      <w:pPr>
        <w:spacing w:after="160" w:before="0" w:line="276" w:lineRule="auto"/>
        <w:ind w:firstLine="432"/>
      </w:pPr>
      <w:r>
        <w:rPr>
          <w:rFonts w:ascii="Times New Roman" w:hAnsi="Times New Roman" w:eastAsia="Times New Roman"/>
          <w:b w:val="0"/>
          <w:i w:val="0"/>
          <w:sz w:val="22"/>
        </w:rPr>
        <w:t>How to read the Wald test. Failure to reject (p ≥ 0.05) means sole and joint ownership are not statistically distinguishable, so Specification A is adequate and the relevant contrast is any female owner versus no female owner. Rejection means the two types should not be pooled and should be interpreted separately against the omitted group.</w:t>
      </w:r>
    </w:p>
    <w:p>
      <w:pPr>
        <w:spacing w:after="160" w:before="0" w:line="276" w:lineRule="auto"/>
        <w:ind w:firstLine="432"/>
      </w:pPr>
      <w:r>
        <w:rPr>
          <w:rFonts w:ascii="Times New Roman" w:hAnsi="Times New Roman" w:eastAsia="Times New Roman"/>
          <w:b w:val="0"/>
          <w:i w:val="0"/>
          <w:sz w:val="22"/>
        </w:rPr>
        <w:t>Two variance estimators are reported on the same households so the original results can be checked against the revised design. The previous design is the block in female landowner analysis.do: unweighted ordinary least squares or logit with Huber–White robust standard errors (vce(robust)). The FIES-score ordinary least squares model in that design also includes marital status, as in the original do-file. The new design is the official ESPS household weight (pw_w5) with standard errors clustered on the enumeration area (ea_id), implemented with svyset and svy:. Average marginal effects are reported after the new logits.</w:t>
      </w:r>
    </w:p>
    <w:p>
      <w:pPr>
        <w:spacing w:before="280" w:after="120"/>
        <w:ind w:firstLine="0"/>
      </w:pPr>
      <w:r>
        <w:rPr>
          <w:rFonts w:ascii="Times New Roman" w:hAnsi="Times New Roman" w:eastAsia="Times New Roman"/>
          <w:b/>
          <w:i w:val="0"/>
          <w:sz w:val="28"/>
        </w:rPr>
        <w:t>2. Data and estimation sample</w:t>
      </w:r>
    </w:p>
    <w:p>
      <w:pPr>
        <w:spacing w:after="160" w:before="0" w:line="276" w:lineRule="auto"/>
        <w:ind w:firstLine="432"/>
      </w:pPr>
      <w:r>
        <w:rPr>
          <w:rFonts w:ascii="Times New Roman" w:hAnsi="Times New Roman" w:eastAsia="Times New Roman"/>
          <w:b w:val="0"/>
          <w:i w:val="0"/>
          <w:sz w:val="22"/>
        </w:rPr>
        <w:t>Three files are merged on household_id. fies_household.dta supplies the FIES items and household controls. female_ownership.dta, written by ethiopia_landowner.do from the post-planting parcel roster, supplies the ownership dummies and soil fertility. area_ethiopia.dta, from the same do-file, supplies the Simpson fragmentation index (SFI) and total land. The merge is restricted with keepusing() so that post-planting variables named s2q05, s2q06 and s2q17 do not overwrite household education variables that already use those names.</w:t>
      </w:r>
    </w:p>
    <w:p>
      <w:pPr>
        <w:spacing w:after="160" w:before="0" w:line="276" w:lineRule="auto"/>
        <w:ind w:firstLine="432"/>
      </w:pPr>
      <w:r>
        <w:rPr>
          <w:rFonts w:ascii="Times New Roman" w:hAnsi="Times New Roman" w:eastAsia="Times New Roman"/>
          <w:b w:val="0"/>
          <w:i w:val="0"/>
          <w:sz w:val="22"/>
        </w:rPr>
        <w:t>The inner merge retains 1,969 households present in all three files (0 unmatched). Casewise deletion then drops 38 households missing SFI, 53 missing the dependency ratio (no working-age members), and 69 missing soil fertility. The estimation sample is 1,809 households in 200 enumeration areas, representing a weighted population of 13,063,904. No observation has an FIES score above 8. The weight used is pw_w5; svwt is not in the file. The survey design is one implicit stratum, PSU = ea_id, singleunit(centered).</w:t>
      </w:r>
    </w:p>
    <w:p>
      <w:pPr>
        <w:spacing w:after="160" w:before="0" w:line="276" w:lineRule="auto"/>
        <w:ind w:firstLine="432"/>
      </w:pPr>
      <w:r>
        <w:rPr>
          <w:rFonts w:ascii="Times New Roman" w:hAnsi="Times New Roman" w:eastAsia="Times New Roman"/>
          <w:b w:val="0"/>
          <w:i w:val="0"/>
          <w:sz w:val="22"/>
        </w:rPr>
        <w:t>This is the parcel-file subsample, not the full 4,829-household FIES file. Households without a match in female_ownership.dta (livestock-only or landless households, and any household that failed the parcel merge) are excluded. Results describe crop-holding households with an identifiable parcel record.</w:t>
      </w:r>
    </w:p>
    <w:p>
      <w:pPr>
        <w:spacing w:after="160" w:before="0" w:line="276" w:lineRule="auto"/>
        <w:ind w:firstLine="432"/>
      </w:pPr>
      <w:r>
        <w:rPr>
          <w:rFonts w:ascii="Times New Roman" w:hAnsi="Times New Roman" w:eastAsia="Times New Roman"/>
          <w:b w:val="0"/>
          <w:i w:val="0"/>
          <w:sz w:val="22"/>
        </w:rPr>
        <w:t>The omitted group in both specifications is “no female owner.” In female_ownership.dta that group mixes sole-male owners with households whose four owner-id fields (s2q04b_1 to s2q04b_4) are blank. The switch owner_identified_only was left at 0 in this run, so those unidentified households remain in the reference group. That dilutes the contrast relative to a sole-male-only reference, because unidentified households have lower FIES on average than sole-male households.</w:t>
      </w:r>
    </w:p>
    <w:p>
      <w:pPr>
        <w:spacing w:before="280" w:after="120"/>
        <w:ind w:firstLine="0"/>
      </w:pPr>
      <w:r>
        <w:rPr>
          <w:rFonts w:ascii="Times New Roman" w:hAnsi="Times New Roman" w:eastAsia="Times New Roman"/>
          <w:b/>
          <w:i w:val="0"/>
          <w:sz w:val="28"/>
        </w:rPr>
        <w:t>3. Controls</w:t>
      </w:r>
    </w:p>
    <w:p>
      <w:pPr>
        <w:spacing w:after="160" w:before="0" w:line="276" w:lineRule="auto"/>
        <w:ind w:firstLine="432"/>
      </w:pPr>
      <w:r>
        <w:rPr>
          <w:rFonts w:ascii="Times New Roman" w:hAnsi="Times New Roman" w:eastAsia="Times New Roman"/>
          <w:b w:val="0"/>
          <w:i w:val="0"/>
          <w:sz w:val="22"/>
        </w:rPr>
        <w:t>Every model includes SFI, age of the household head, basic education (can read and write), male head, the dependency ratio (non-working-age members divided by working-age members), non-farm enterprise, the asset wealth index, distance to the regional administrative headquarters, distance to the nearest major road, soil fertility, a drought-shock dummy, and region fixed effects (saq01). The omitted region is Afar (code 2). Addis Ababa (14) does not appear in the parcel subsample. The previous FIES-score ordinary least squares model additionally includes married. Logits do not.</w:t>
      </w:r>
    </w:p>
    <w:p>
      <w:pPr>
        <w:spacing w:before="280" w:after="120"/>
        <w:ind w:firstLine="0"/>
      </w:pPr>
      <w:r>
        <w:rPr>
          <w:rFonts w:ascii="Times New Roman" w:hAnsi="Times New Roman" w:eastAsia="Times New Roman"/>
          <w:b/>
          <w:i w:val="0"/>
          <w:sz w:val="28"/>
        </w:rPr>
        <w:t>4. Previous design: unweighted, robust standard errors</w:t>
      </w:r>
    </w:p>
    <w:p>
      <w:pPr>
        <w:spacing w:after="160" w:before="0" w:line="276" w:lineRule="auto"/>
        <w:ind w:firstLine="432"/>
      </w:pPr>
      <w:r>
        <w:rPr>
          <w:rFonts w:ascii="Times New Roman" w:hAnsi="Times New Roman" w:eastAsia="Times New Roman"/>
          <w:b w:val="0"/>
          <w:i w:val="0"/>
          <w:sz w:val="22"/>
        </w:rPr>
        <w:t>These models reproduce the original female landowner analysis.do block on the current merged sample. They are the numbers to check against an older Word table that used vce(robust) and no survey weight. Sample size is 1,809 in every column. If an older table has a different N, the usual reason is that it also dropped households missing agricultural-practice or improved-seed variables, which are not part of this merge.</w:t>
      </w:r>
    </w:p>
    <w:p>
      <w:pPr>
        <w:spacing w:before="200" w:after="120"/>
        <w:ind w:firstLine="0"/>
      </w:pPr>
      <w:r>
        <w:rPr>
          <w:rFonts w:ascii="Times New Roman" w:hAnsi="Times New Roman" w:eastAsia="Times New Roman"/>
          <w:b/>
          <w:i w:val="0"/>
          <w:sz w:val="24"/>
        </w:rPr>
        <w:t>4.1 FIES score (ordinary least squares)</w:t>
      </w:r>
    </w:p>
    <w:p>
      <w:pPr>
        <w:spacing w:after="160" w:before="0" w:line="276" w:lineRule="auto"/>
        <w:ind w:firstLine="432"/>
      </w:pPr>
      <w:r>
        <w:rPr>
          <w:rFonts w:ascii="Times New Roman" w:hAnsi="Times New Roman" w:eastAsia="Times New Roman"/>
          <w:b w:val="0"/>
          <w:i w:val="0"/>
          <w:sz w:val="22"/>
        </w:rPr>
        <w:t>R-squared is 0.199 in Specification A and 0.200 in Specification B. Any female ownership is associated with a 0.344-point lower FIES score (robust SE 0.130, p = 0.008). In Specification B the joint-ownership coefficient is −0.422 (SE 0.136, p = 0.002) and the sole-female coefficient is −0.026 (SE 0.260, p = 0.921). The Wald test of equality is F(1, 1786) = 2.24, p = 0.135. The lincom difference (sole minus joint) is 0.396 (SE 0.265). Specification A is adequate.</w:t>
      </w:r>
    </w:p>
    <w:p>
      <w:pPr>
        <w:spacing w:before="200" w:after="80"/>
        <w:ind w:firstLine="0"/>
      </w:pPr>
      <w:r>
        <w:rPr>
          <w:rFonts w:ascii="Times New Roman" w:hAnsi="Times New Roman" w:eastAsia="Times New Roman"/>
          <w:b/>
          <w:i/>
          <w:sz w:val="20"/>
        </w:rPr>
        <w:t>Table 1. Previous design, FIES score (OLS, vce(robust)). Robust standard errors in parentheses. * p&lt;0.10, ** p&lt;0.05, *** p&lt;0.01. Region fixed effects included, not shown.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Variable</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Spec A</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Spec B</w:t>
            </w:r>
          </w:p>
        </w:tc>
      </w:tr>
      <w:tr>
        <w:tc>
          <w:tcPr>
            <w:tcW w:type="dxa" w:w="3120"/>
          </w:tcPr>
          <w:p>
            <w:pPr>
              <w:spacing w:before="20" w:after="20"/>
            </w:pPr>
            <w:r/>
            <w:r>
              <w:rPr>
                <w:rFonts w:ascii="Times New Roman" w:hAnsi="Times New Roman" w:eastAsia="Times New Roman"/>
                <w:b w:val="0"/>
                <w:i w:val="0"/>
                <w:sz w:val="18"/>
              </w:rPr>
              <w:t>Female landowner (any)</w:t>
            </w:r>
          </w:p>
        </w:tc>
        <w:tc>
          <w:tcPr>
            <w:tcW w:type="dxa" w:w="3120"/>
          </w:tcPr>
          <w:p>
            <w:pPr>
              <w:spacing w:before="20" w:after="20"/>
              <w:jc w:val="center"/>
            </w:pPr>
            <w:r/>
            <w:r>
              <w:rPr>
                <w:rFonts w:ascii="Times New Roman" w:hAnsi="Times New Roman" w:eastAsia="Times New Roman"/>
                <w:b w:val="0"/>
                <w:i w:val="0"/>
                <w:sz w:val="18"/>
              </w:rPr>
              <w:t>−0.344 (0.130)**</w:t>
            </w:r>
          </w:p>
        </w:tc>
        <w:tc>
          <w:tcPr>
            <w:tcW w:type="dxa" w:w="3120"/>
          </w:tcPr>
          <w:p>
            <w:pPr>
              <w:spacing w:before="20" w:after="20"/>
              <w:jc w:val="center"/>
            </w:pPr>
            <w:r/>
            <w:r>
              <w:rPr>
                <w:rFonts w:ascii="Times New Roman" w:hAnsi="Times New Roman" w:eastAsia="Times New Roman"/>
                <w:b w:val="0"/>
                <w:i w:val="0"/>
                <w:sz w:val="18"/>
              </w:rPr>
            </w:r>
          </w:p>
        </w:tc>
      </w:tr>
      <w:tr>
        <w:tc>
          <w:tcPr>
            <w:tcW w:type="dxa" w:w="3120"/>
          </w:tcPr>
          <w:p>
            <w:pPr>
              <w:spacing w:before="20" w:after="20"/>
            </w:pPr>
            <w:r/>
            <w:r>
              <w:rPr>
                <w:rFonts w:ascii="Times New Roman" w:hAnsi="Times New Roman" w:eastAsia="Times New Roman"/>
                <w:b w:val="0"/>
                <w:i w:val="0"/>
                <w:sz w:val="18"/>
              </w:rPr>
              <w:t>Sole female ownership</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−0.026 (0.260)</w:t>
            </w:r>
          </w:p>
        </w:tc>
      </w:tr>
      <w:tr>
        <w:tc>
          <w:tcPr>
            <w:tcW w:type="dxa" w:w="3120"/>
          </w:tcPr>
          <w:p>
            <w:pPr>
              <w:spacing w:before="20" w:after="20"/>
            </w:pPr>
            <w:r/>
            <w:r>
              <w:rPr>
                <w:rFonts w:ascii="Times New Roman" w:hAnsi="Times New Roman" w:eastAsia="Times New Roman"/>
                <w:b w:val="0"/>
                <w:i w:val="0"/>
                <w:sz w:val="18"/>
              </w:rPr>
              <w:t>Joint ownership</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−0.422 (0.136)**</w:t>
            </w:r>
          </w:p>
        </w:tc>
      </w:tr>
      <w:tr>
        <w:tc>
          <w:tcPr>
            <w:tcW w:type="dxa" w:w="3120"/>
          </w:tcPr>
          <w:p>
            <w:pPr>
              <w:spacing w:before="20" w:after="20"/>
            </w:pPr>
            <w:r/>
            <w:r>
              <w:rPr>
                <w:rFonts w:ascii="Times New Roman" w:hAnsi="Times New Roman" w:eastAsia="Times New Roman"/>
                <w:b w:val="0"/>
                <w:i w:val="0"/>
                <w:sz w:val="18"/>
              </w:rPr>
              <w:t>SFI</w:t>
            </w:r>
          </w:p>
        </w:tc>
        <w:tc>
          <w:tcPr>
            <w:tcW w:type="dxa" w:w="3120"/>
          </w:tcPr>
          <w:p>
            <w:pPr>
              <w:spacing w:before="20" w:after="20"/>
              <w:jc w:val="center"/>
            </w:pPr>
            <w:r/>
            <w:r>
              <w:rPr>
                <w:rFonts w:ascii="Times New Roman" w:hAnsi="Times New Roman" w:eastAsia="Times New Roman"/>
                <w:b w:val="0"/>
                <w:i w:val="0"/>
                <w:sz w:val="18"/>
              </w:rPr>
              <w:t>−1.167 (0.274)***</w:t>
            </w:r>
          </w:p>
        </w:tc>
        <w:tc>
          <w:tcPr>
            <w:tcW w:type="dxa" w:w="3120"/>
          </w:tcPr>
          <w:p>
            <w:pPr>
              <w:spacing w:before="20" w:after="20"/>
              <w:jc w:val="center"/>
            </w:pPr>
            <w:r/>
            <w:r>
              <w:rPr>
                <w:rFonts w:ascii="Times New Roman" w:hAnsi="Times New Roman" w:eastAsia="Times New Roman"/>
                <w:b w:val="0"/>
                <w:i w:val="0"/>
                <w:sz w:val="18"/>
              </w:rPr>
              <w:t>−1.149 (0.274)***</w:t>
            </w:r>
          </w:p>
        </w:tc>
      </w:tr>
      <w:tr>
        <w:tc>
          <w:tcPr>
            <w:tcW w:type="dxa" w:w="3120"/>
          </w:tcPr>
          <w:p>
            <w:pPr>
              <w:spacing w:before="20" w:after="20"/>
            </w:pPr>
            <w:r/>
            <w:r>
              <w:rPr>
                <w:rFonts w:ascii="Times New Roman" w:hAnsi="Times New Roman" w:eastAsia="Times New Roman"/>
                <w:b w:val="0"/>
                <w:i w:val="0"/>
                <w:sz w:val="18"/>
              </w:rPr>
              <w:t>Age</w:t>
            </w:r>
          </w:p>
        </w:tc>
        <w:tc>
          <w:tcPr>
            <w:tcW w:type="dxa" w:w="3120"/>
          </w:tcPr>
          <w:p>
            <w:pPr>
              <w:spacing w:before="20" w:after="20"/>
              <w:jc w:val="center"/>
            </w:pPr>
            <w:r/>
            <w:r>
              <w:rPr>
                <w:rFonts w:ascii="Times New Roman" w:hAnsi="Times New Roman" w:eastAsia="Times New Roman"/>
                <w:b w:val="0"/>
                <w:i w:val="0"/>
                <w:sz w:val="18"/>
              </w:rPr>
              <w:t>0.007 (0.004)</w:t>
            </w:r>
          </w:p>
        </w:tc>
        <w:tc>
          <w:tcPr>
            <w:tcW w:type="dxa" w:w="3120"/>
          </w:tcPr>
          <w:p>
            <w:pPr>
              <w:spacing w:before="20" w:after="20"/>
              <w:jc w:val="center"/>
            </w:pPr>
            <w:r/>
            <w:r>
              <w:rPr>
                <w:rFonts w:ascii="Times New Roman" w:hAnsi="Times New Roman" w:eastAsia="Times New Roman"/>
                <w:b w:val="0"/>
                <w:i w:val="0"/>
                <w:sz w:val="18"/>
              </w:rPr>
              <w:t>0.007 (0.004)</w:t>
            </w:r>
          </w:p>
        </w:tc>
      </w:tr>
      <w:tr>
        <w:tc>
          <w:tcPr>
            <w:tcW w:type="dxa" w:w="3120"/>
          </w:tcPr>
          <w:p>
            <w:pPr>
              <w:spacing w:before="20" w:after="20"/>
            </w:pPr>
            <w:r/>
            <w:r>
              <w:rPr>
                <w:rFonts w:ascii="Times New Roman" w:hAnsi="Times New Roman" w:eastAsia="Times New Roman"/>
                <w:b w:val="0"/>
                <w:i w:val="0"/>
                <w:sz w:val="18"/>
              </w:rPr>
              <w:t>Basic education</w:t>
            </w:r>
          </w:p>
        </w:tc>
        <w:tc>
          <w:tcPr>
            <w:tcW w:type="dxa" w:w="3120"/>
          </w:tcPr>
          <w:p>
            <w:pPr>
              <w:spacing w:before="20" w:after="20"/>
              <w:jc w:val="center"/>
            </w:pPr>
            <w:r/>
            <w:r>
              <w:rPr>
                <w:rFonts w:ascii="Times New Roman" w:hAnsi="Times New Roman" w:eastAsia="Times New Roman"/>
                <w:b w:val="0"/>
                <w:i w:val="0"/>
                <w:sz w:val="18"/>
              </w:rPr>
              <w:t>−0.354 (0.132)**</w:t>
            </w:r>
          </w:p>
        </w:tc>
        <w:tc>
          <w:tcPr>
            <w:tcW w:type="dxa" w:w="3120"/>
          </w:tcPr>
          <w:p>
            <w:pPr>
              <w:spacing w:before="20" w:after="20"/>
              <w:jc w:val="center"/>
            </w:pPr>
            <w:r/>
            <w:r>
              <w:rPr>
                <w:rFonts w:ascii="Times New Roman" w:hAnsi="Times New Roman" w:eastAsia="Times New Roman"/>
                <w:b w:val="0"/>
                <w:i w:val="0"/>
                <w:sz w:val="18"/>
              </w:rPr>
              <w:t>−0.352 (0.132)**</w:t>
            </w:r>
          </w:p>
        </w:tc>
      </w:tr>
      <w:tr>
        <w:tc>
          <w:tcPr>
            <w:tcW w:type="dxa" w:w="3120"/>
          </w:tcPr>
          <w:p>
            <w:pPr>
              <w:spacing w:before="20" w:after="20"/>
            </w:pPr>
            <w:r/>
            <w:r>
              <w:rPr>
                <w:rFonts w:ascii="Times New Roman" w:hAnsi="Times New Roman" w:eastAsia="Times New Roman"/>
                <w:b w:val="0"/>
                <w:i w:val="0"/>
                <w:sz w:val="18"/>
              </w:rPr>
              <w:t>Male head</w:t>
            </w:r>
          </w:p>
        </w:tc>
        <w:tc>
          <w:tcPr>
            <w:tcW w:type="dxa" w:w="3120"/>
          </w:tcPr>
          <w:p>
            <w:pPr>
              <w:spacing w:before="20" w:after="20"/>
              <w:jc w:val="center"/>
            </w:pPr>
            <w:r/>
            <w:r>
              <w:rPr>
                <w:rFonts w:ascii="Times New Roman" w:hAnsi="Times New Roman" w:eastAsia="Times New Roman"/>
                <w:b w:val="0"/>
                <w:i w:val="0"/>
                <w:sz w:val="18"/>
              </w:rPr>
              <w:t>−0.213 (0.196)</w:t>
            </w:r>
          </w:p>
        </w:tc>
        <w:tc>
          <w:tcPr>
            <w:tcW w:type="dxa" w:w="3120"/>
          </w:tcPr>
          <w:p>
            <w:pPr>
              <w:spacing w:before="20" w:after="20"/>
              <w:jc w:val="center"/>
            </w:pPr>
            <w:r/>
            <w:r>
              <w:rPr>
                <w:rFonts w:ascii="Times New Roman" w:hAnsi="Times New Roman" w:eastAsia="Times New Roman"/>
                <w:b w:val="0"/>
                <w:i w:val="0"/>
                <w:sz w:val="18"/>
              </w:rPr>
              <w:t>−0.028 (0.228)</w:t>
            </w:r>
          </w:p>
        </w:tc>
      </w:tr>
      <w:tr>
        <w:tc>
          <w:tcPr>
            <w:tcW w:type="dxa" w:w="3120"/>
          </w:tcPr>
          <w:p>
            <w:pPr>
              <w:spacing w:before="20" w:after="20"/>
            </w:pPr>
            <w:r/>
            <w:r>
              <w:rPr>
                <w:rFonts w:ascii="Times New Roman" w:hAnsi="Times New Roman" w:eastAsia="Times New Roman"/>
                <w:b w:val="0"/>
                <w:i w:val="0"/>
                <w:sz w:val="18"/>
              </w:rPr>
              <w:t>Dependency ratio</w:t>
            </w:r>
          </w:p>
        </w:tc>
        <w:tc>
          <w:tcPr>
            <w:tcW w:type="dxa" w:w="3120"/>
          </w:tcPr>
          <w:p>
            <w:pPr>
              <w:spacing w:before="20" w:after="20"/>
              <w:jc w:val="center"/>
            </w:pPr>
            <w:r/>
            <w:r>
              <w:rPr>
                <w:rFonts w:ascii="Times New Roman" w:hAnsi="Times New Roman" w:eastAsia="Times New Roman"/>
                <w:b w:val="0"/>
                <w:i w:val="0"/>
                <w:sz w:val="18"/>
              </w:rPr>
              <w:t>0.264 (0.063)***</w:t>
            </w:r>
          </w:p>
        </w:tc>
        <w:tc>
          <w:tcPr>
            <w:tcW w:type="dxa" w:w="3120"/>
          </w:tcPr>
          <w:p>
            <w:pPr>
              <w:spacing w:before="20" w:after="20"/>
              <w:jc w:val="center"/>
            </w:pPr>
            <w:r/>
            <w:r>
              <w:rPr>
                <w:rFonts w:ascii="Times New Roman" w:hAnsi="Times New Roman" w:eastAsia="Times New Roman"/>
                <w:b w:val="0"/>
                <w:i w:val="0"/>
                <w:sz w:val="18"/>
              </w:rPr>
              <w:t>0.264 (0.062)***</w:t>
            </w:r>
          </w:p>
        </w:tc>
      </w:tr>
      <w:tr>
        <w:tc>
          <w:tcPr>
            <w:tcW w:type="dxa" w:w="3120"/>
          </w:tcPr>
          <w:p>
            <w:pPr>
              <w:spacing w:before="20" w:after="20"/>
            </w:pPr>
            <w:r/>
            <w:r>
              <w:rPr>
                <w:rFonts w:ascii="Times New Roman" w:hAnsi="Times New Roman" w:eastAsia="Times New Roman"/>
                <w:b w:val="0"/>
                <w:i w:val="0"/>
                <w:sz w:val="18"/>
              </w:rPr>
              <w:t>Non-farm enterprise</w:t>
            </w:r>
          </w:p>
        </w:tc>
        <w:tc>
          <w:tcPr>
            <w:tcW w:type="dxa" w:w="3120"/>
          </w:tcPr>
          <w:p>
            <w:pPr>
              <w:spacing w:before="20" w:after="20"/>
              <w:jc w:val="center"/>
            </w:pPr>
            <w:r/>
            <w:r>
              <w:rPr>
                <w:rFonts w:ascii="Times New Roman" w:hAnsi="Times New Roman" w:eastAsia="Times New Roman"/>
                <w:b w:val="0"/>
                <w:i w:val="0"/>
                <w:sz w:val="18"/>
              </w:rPr>
              <w:t>−0.256 (0.216)</w:t>
            </w:r>
          </w:p>
        </w:tc>
        <w:tc>
          <w:tcPr>
            <w:tcW w:type="dxa" w:w="3120"/>
          </w:tcPr>
          <w:p>
            <w:pPr>
              <w:spacing w:before="20" w:after="20"/>
              <w:jc w:val="center"/>
            </w:pPr>
            <w:r/>
            <w:r>
              <w:rPr>
                <w:rFonts w:ascii="Times New Roman" w:hAnsi="Times New Roman" w:eastAsia="Times New Roman"/>
                <w:b w:val="0"/>
                <w:i w:val="0"/>
                <w:sz w:val="18"/>
              </w:rPr>
              <w:t>−0.264 (0.216)</w:t>
            </w:r>
          </w:p>
        </w:tc>
      </w:tr>
      <w:tr>
        <w:tc>
          <w:tcPr>
            <w:tcW w:type="dxa" w:w="3120"/>
          </w:tcPr>
          <w:p>
            <w:pPr>
              <w:spacing w:before="20" w:after="20"/>
            </w:pPr>
            <w:r/>
            <w:r>
              <w:rPr>
                <w:rFonts w:ascii="Times New Roman" w:hAnsi="Times New Roman" w:eastAsia="Times New Roman"/>
                <w:b w:val="0"/>
                <w:i w:val="0"/>
                <w:sz w:val="18"/>
              </w:rPr>
              <w:t>Wealth index</w:t>
            </w:r>
          </w:p>
        </w:tc>
        <w:tc>
          <w:tcPr>
            <w:tcW w:type="dxa" w:w="3120"/>
          </w:tcPr>
          <w:p>
            <w:pPr>
              <w:spacing w:before="20" w:after="20"/>
              <w:jc w:val="center"/>
            </w:pPr>
            <w:r/>
            <w:r>
              <w:rPr>
                <w:rFonts w:ascii="Times New Roman" w:hAnsi="Times New Roman" w:eastAsia="Times New Roman"/>
                <w:b w:val="0"/>
                <w:i w:val="0"/>
                <w:sz w:val="18"/>
              </w:rPr>
              <w:t>−0.294 (0.059)***</w:t>
            </w:r>
          </w:p>
        </w:tc>
        <w:tc>
          <w:tcPr>
            <w:tcW w:type="dxa" w:w="3120"/>
          </w:tcPr>
          <w:p>
            <w:pPr>
              <w:spacing w:before="20" w:after="20"/>
              <w:jc w:val="center"/>
            </w:pPr>
            <w:r/>
            <w:r>
              <w:rPr>
                <w:rFonts w:ascii="Times New Roman" w:hAnsi="Times New Roman" w:eastAsia="Times New Roman"/>
                <w:b w:val="0"/>
                <w:i w:val="0"/>
                <w:sz w:val="18"/>
              </w:rPr>
              <w:t>−0.293 (0.058)***</w:t>
            </w:r>
          </w:p>
        </w:tc>
      </w:tr>
      <w:tr>
        <w:tc>
          <w:tcPr>
            <w:tcW w:type="dxa" w:w="3120"/>
          </w:tcPr>
          <w:p>
            <w:pPr>
              <w:spacing w:before="20" w:after="20"/>
            </w:pPr>
            <w:r/>
            <w:r>
              <w:rPr>
                <w:rFonts w:ascii="Times New Roman" w:hAnsi="Times New Roman" w:eastAsia="Times New Roman"/>
                <w:b w:val="0"/>
                <w:i w:val="0"/>
                <w:sz w:val="18"/>
              </w:rPr>
              <w:t>Distance to admin HQ</w:t>
            </w:r>
          </w:p>
        </w:tc>
        <w:tc>
          <w:tcPr>
            <w:tcW w:type="dxa" w:w="3120"/>
          </w:tcPr>
          <w:p>
            <w:pPr>
              <w:spacing w:before="20" w:after="20"/>
              <w:jc w:val="center"/>
            </w:pPr>
            <w:r/>
            <w:r>
              <w:rPr>
                <w:rFonts w:ascii="Times New Roman" w:hAnsi="Times New Roman" w:eastAsia="Times New Roman"/>
                <w:b w:val="0"/>
                <w:i w:val="0"/>
                <w:sz w:val="18"/>
              </w:rPr>
              <w:t>0.857 (0.563)</w:t>
            </w:r>
          </w:p>
        </w:tc>
        <w:tc>
          <w:tcPr>
            <w:tcW w:type="dxa" w:w="3120"/>
          </w:tcPr>
          <w:p>
            <w:pPr>
              <w:spacing w:before="20" w:after="20"/>
              <w:jc w:val="center"/>
            </w:pPr>
            <w:r/>
            <w:r>
              <w:rPr>
                <w:rFonts w:ascii="Times New Roman" w:hAnsi="Times New Roman" w:eastAsia="Times New Roman"/>
                <w:b w:val="0"/>
                <w:i w:val="0"/>
                <w:sz w:val="18"/>
              </w:rPr>
              <w:t>0.860 (0.563)</w:t>
            </w:r>
          </w:p>
        </w:tc>
      </w:tr>
      <w:tr>
        <w:tc>
          <w:tcPr>
            <w:tcW w:type="dxa" w:w="3120"/>
          </w:tcPr>
          <w:p>
            <w:pPr>
              <w:spacing w:before="20" w:after="20"/>
            </w:pPr>
            <w:r/>
            <w:r>
              <w:rPr>
                <w:rFonts w:ascii="Times New Roman" w:hAnsi="Times New Roman" w:eastAsia="Times New Roman"/>
                <w:b w:val="0"/>
                <w:i w:val="0"/>
                <w:sz w:val="18"/>
              </w:rPr>
              <w:t>Distance to road</w:t>
            </w:r>
          </w:p>
        </w:tc>
        <w:tc>
          <w:tcPr>
            <w:tcW w:type="dxa" w:w="3120"/>
          </w:tcPr>
          <w:p>
            <w:pPr>
              <w:spacing w:before="20" w:after="20"/>
              <w:jc w:val="center"/>
            </w:pPr>
            <w:r/>
            <w:r>
              <w:rPr>
                <w:rFonts w:ascii="Times New Roman" w:hAnsi="Times New Roman" w:eastAsia="Times New Roman"/>
                <w:b w:val="0"/>
                <w:i w:val="0"/>
                <w:sz w:val="18"/>
              </w:rPr>
              <w:t>−0.009 (0.005)*</w:t>
            </w:r>
          </w:p>
        </w:tc>
        <w:tc>
          <w:tcPr>
            <w:tcW w:type="dxa" w:w="3120"/>
          </w:tcPr>
          <w:p>
            <w:pPr>
              <w:spacing w:before="20" w:after="20"/>
              <w:jc w:val="center"/>
            </w:pPr>
            <w:r/>
            <w:r>
              <w:rPr>
                <w:rFonts w:ascii="Times New Roman" w:hAnsi="Times New Roman" w:eastAsia="Times New Roman"/>
                <w:b w:val="0"/>
                <w:i w:val="0"/>
                <w:sz w:val="18"/>
              </w:rPr>
              <w:t>−0.009 (0.005)*</w:t>
            </w:r>
          </w:p>
        </w:tc>
      </w:tr>
      <w:tr>
        <w:tc>
          <w:tcPr>
            <w:tcW w:type="dxa" w:w="3120"/>
          </w:tcPr>
          <w:p>
            <w:pPr>
              <w:spacing w:before="20" w:after="20"/>
            </w:pPr>
            <w:r/>
            <w:r>
              <w:rPr>
                <w:rFonts w:ascii="Times New Roman" w:hAnsi="Times New Roman" w:eastAsia="Times New Roman"/>
                <w:b w:val="0"/>
                <w:i w:val="0"/>
                <w:sz w:val="18"/>
              </w:rPr>
              <w:t>Soil fertility</w:t>
            </w:r>
          </w:p>
        </w:tc>
        <w:tc>
          <w:tcPr>
            <w:tcW w:type="dxa" w:w="3120"/>
          </w:tcPr>
          <w:p>
            <w:pPr>
              <w:spacing w:before="20" w:after="20"/>
              <w:jc w:val="center"/>
            </w:pPr>
            <w:r/>
            <w:r>
              <w:rPr>
                <w:rFonts w:ascii="Times New Roman" w:hAnsi="Times New Roman" w:eastAsia="Times New Roman"/>
                <w:b w:val="0"/>
                <w:i w:val="0"/>
                <w:sz w:val="18"/>
              </w:rPr>
              <w:t>−0.142 (0.107)</w:t>
            </w:r>
          </w:p>
        </w:tc>
        <w:tc>
          <w:tcPr>
            <w:tcW w:type="dxa" w:w="3120"/>
          </w:tcPr>
          <w:p>
            <w:pPr>
              <w:spacing w:before="20" w:after="20"/>
              <w:jc w:val="center"/>
            </w:pPr>
            <w:r/>
            <w:r>
              <w:rPr>
                <w:rFonts w:ascii="Times New Roman" w:hAnsi="Times New Roman" w:eastAsia="Times New Roman"/>
                <w:b w:val="0"/>
                <w:i w:val="0"/>
                <w:sz w:val="18"/>
              </w:rPr>
              <w:t>−0.144 (0.107)</w:t>
            </w:r>
          </w:p>
        </w:tc>
      </w:tr>
      <w:tr>
        <w:tc>
          <w:tcPr>
            <w:tcW w:type="dxa" w:w="3120"/>
          </w:tcPr>
          <w:p>
            <w:pPr>
              <w:spacing w:before="20" w:after="20"/>
            </w:pPr>
            <w:r/>
            <w:r>
              <w:rPr>
                <w:rFonts w:ascii="Times New Roman" w:hAnsi="Times New Roman" w:eastAsia="Times New Roman"/>
                <w:b w:val="0"/>
                <w:i w:val="0"/>
                <w:sz w:val="18"/>
              </w:rPr>
              <w:t>Drought shock</w:t>
            </w:r>
          </w:p>
        </w:tc>
        <w:tc>
          <w:tcPr>
            <w:tcW w:type="dxa" w:w="3120"/>
          </w:tcPr>
          <w:p>
            <w:pPr>
              <w:spacing w:before="20" w:after="20"/>
              <w:jc w:val="center"/>
            </w:pPr>
            <w:r/>
            <w:r>
              <w:rPr>
                <w:rFonts w:ascii="Times New Roman" w:hAnsi="Times New Roman" w:eastAsia="Times New Roman"/>
                <w:b w:val="0"/>
                <w:i w:val="0"/>
                <w:sz w:val="18"/>
              </w:rPr>
              <w:t>1.426 (0.183)***</w:t>
            </w:r>
          </w:p>
        </w:tc>
        <w:tc>
          <w:tcPr>
            <w:tcW w:type="dxa" w:w="3120"/>
          </w:tcPr>
          <w:p>
            <w:pPr>
              <w:spacing w:before="20" w:after="20"/>
              <w:jc w:val="center"/>
            </w:pPr>
            <w:r/>
            <w:r>
              <w:rPr>
                <w:rFonts w:ascii="Times New Roman" w:hAnsi="Times New Roman" w:eastAsia="Times New Roman"/>
                <w:b w:val="0"/>
                <w:i w:val="0"/>
                <w:sz w:val="18"/>
              </w:rPr>
              <w:t>1.428 (0.183)***</w:t>
            </w:r>
          </w:p>
        </w:tc>
      </w:tr>
      <w:tr>
        <w:tc>
          <w:tcPr>
            <w:tcW w:type="dxa" w:w="3120"/>
          </w:tcPr>
          <w:p>
            <w:pPr>
              <w:spacing w:before="20" w:after="20"/>
            </w:pPr>
            <w:r/>
            <w:r>
              <w:rPr>
                <w:rFonts w:ascii="Times New Roman" w:hAnsi="Times New Roman" w:eastAsia="Times New Roman"/>
                <w:b w:val="0"/>
                <w:i w:val="0"/>
                <w:sz w:val="18"/>
              </w:rPr>
              <w:t>Married</w:t>
            </w:r>
          </w:p>
        </w:tc>
        <w:tc>
          <w:tcPr>
            <w:tcW w:type="dxa" w:w="3120"/>
          </w:tcPr>
          <w:p>
            <w:pPr>
              <w:spacing w:before="20" w:after="20"/>
              <w:jc w:val="center"/>
            </w:pPr>
            <w:r/>
            <w:r>
              <w:rPr>
                <w:rFonts w:ascii="Times New Roman" w:hAnsi="Times New Roman" w:eastAsia="Times New Roman"/>
                <w:b w:val="0"/>
                <w:i w:val="0"/>
                <w:sz w:val="18"/>
              </w:rPr>
              <w:t>−0.049 (0.200)</w:t>
            </w:r>
          </w:p>
        </w:tc>
        <w:tc>
          <w:tcPr>
            <w:tcW w:type="dxa" w:w="3120"/>
          </w:tcPr>
          <w:p>
            <w:pPr>
              <w:spacing w:before="20" w:after="20"/>
              <w:jc w:val="center"/>
            </w:pPr>
            <w:r/>
            <w:r>
              <w:rPr>
                <w:rFonts w:ascii="Times New Roman" w:hAnsi="Times New Roman" w:eastAsia="Times New Roman"/>
                <w:b w:val="0"/>
                <w:i w:val="0"/>
                <w:sz w:val="18"/>
              </w:rPr>
              <w:t>−0.016 (0.202)</w:t>
            </w:r>
          </w:p>
        </w:tc>
      </w:tr>
      <w:tr>
        <w:tc>
          <w:tcPr>
            <w:tcW w:type="dxa" w:w="3120"/>
          </w:tcPr>
          <w:p>
            <w:pPr>
              <w:spacing w:before="20" w:after="20"/>
            </w:pPr>
            <w:r/>
            <w:r>
              <w:rPr>
                <w:rFonts w:ascii="Times New Roman" w:hAnsi="Times New Roman" w:eastAsia="Times New Roman"/>
                <w:b w:val="0"/>
                <w:i w:val="0"/>
                <w:sz w:val="18"/>
              </w:rPr>
              <w:t>N / R-squared</w:t>
            </w:r>
          </w:p>
        </w:tc>
        <w:tc>
          <w:tcPr>
            <w:tcW w:type="dxa" w:w="3120"/>
          </w:tcPr>
          <w:p>
            <w:pPr>
              <w:spacing w:before="20" w:after="20"/>
              <w:jc w:val="center"/>
            </w:pPr>
            <w:r/>
            <w:r>
              <w:rPr>
                <w:rFonts w:ascii="Times New Roman" w:hAnsi="Times New Roman" w:eastAsia="Times New Roman"/>
                <w:b w:val="0"/>
                <w:i w:val="0"/>
                <w:sz w:val="18"/>
              </w:rPr>
              <w:t>1,809 / 0.199</w:t>
            </w:r>
          </w:p>
        </w:tc>
        <w:tc>
          <w:tcPr>
            <w:tcW w:type="dxa" w:w="3120"/>
          </w:tcPr>
          <w:p>
            <w:pPr>
              <w:spacing w:before="20" w:after="20"/>
              <w:jc w:val="center"/>
            </w:pPr>
            <w:r/>
            <w:r>
              <w:rPr>
                <w:rFonts w:ascii="Times New Roman" w:hAnsi="Times New Roman" w:eastAsia="Times New Roman"/>
                <w:b w:val="0"/>
                <w:i w:val="0"/>
                <w:sz w:val="18"/>
              </w:rPr>
              <w:t>1,809 / 0.200</w:t>
            </w:r>
          </w:p>
        </w:tc>
      </w:tr>
      <w:tr>
        <w:tc>
          <w:tcPr>
            <w:tcW w:type="dxa" w:w="3120"/>
          </w:tcPr>
          <w:p>
            <w:pPr>
              <w:spacing w:before="20" w:after="20"/>
            </w:pPr>
            <w:r/>
            <w:r>
              <w:rPr>
                <w:rFonts w:ascii="Times New Roman" w:hAnsi="Times New Roman" w:eastAsia="Times New Roman"/>
                <w:b w:val="0"/>
                <w:i w:val="0"/>
                <w:sz w:val="18"/>
              </w:rPr>
              <w:t>Wald sole = joint</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F = 2.24, p = 0.135</w:t>
            </w:r>
          </w:p>
        </w:tc>
      </w:tr>
    </w:tbl>
    <w:p>
      <w:pPr>
        <w:spacing w:before="40" w:after="160"/>
        <w:ind w:firstLine="0"/>
      </w:pPr>
    </w:p>
    <w:p>
      <w:pPr>
        <w:spacing w:before="200" w:after="120"/>
        <w:ind w:firstLine="0"/>
      </w:pPr>
      <w:r>
        <w:rPr>
          <w:rFonts w:ascii="Times New Roman" w:hAnsi="Times New Roman" w:eastAsia="Times New Roman"/>
          <w:b/>
          <w:i w:val="0"/>
          <w:sz w:val="24"/>
        </w:rPr>
        <w:t>4.2 Moderate or severe food insecurity (logit)</w:t>
      </w:r>
    </w:p>
    <w:p>
      <w:pPr>
        <w:spacing w:after="160" w:before="0" w:line="276" w:lineRule="auto"/>
        <w:ind w:firstLine="432"/>
      </w:pPr>
      <w:r>
        <w:rPr>
          <w:rFonts w:ascii="Times New Roman" w:hAnsi="Times New Roman" w:eastAsia="Times New Roman"/>
          <w:b w:val="0"/>
          <w:i w:val="0"/>
          <w:sz w:val="22"/>
        </w:rPr>
        <w:t>Pseudo R-squared is 0.120 in Specification A and 0.121 in Specification B. Any female ownership has a log-odds coefficient of −0.355 (SE 0.121, p = 0.003). Joint ownership is −0.427 (SE 0.131, p = 0.001); sole female ownership is −0.077 (SE 0.224, p = 0.732). The Wald test is χ²(1) = 2.21, p = 0.137. Again Specification A is adequate.</w:t>
      </w:r>
    </w:p>
    <w:p>
      <w:pPr>
        <w:spacing w:before="200" w:after="80"/>
        <w:ind w:firstLine="0"/>
      </w:pPr>
      <w:r>
        <w:rPr>
          <w:rFonts w:ascii="Times New Roman" w:hAnsi="Times New Roman" w:eastAsia="Times New Roman"/>
          <w:b/>
          <w:i/>
          <w:sz w:val="20"/>
        </w:rPr>
        <w:t>Table 2. Previous design, moderate or severe food insecurity (logit, vce(robust)). Log-odds coefficients. * p&lt;0.10, ** p&lt;0.05, *** p&lt;0.01.</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Variable</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Spec A</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Spec B</w:t>
            </w:r>
          </w:p>
        </w:tc>
      </w:tr>
      <w:tr>
        <w:tc>
          <w:tcPr>
            <w:tcW w:type="dxa" w:w="3120"/>
          </w:tcPr>
          <w:p>
            <w:pPr>
              <w:spacing w:before="20" w:after="20"/>
            </w:pPr>
            <w:r/>
            <w:r>
              <w:rPr>
                <w:rFonts w:ascii="Times New Roman" w:hAnsi="Times New Roman" w:eastAsia="Times New Roman"/>
                <w:b w:val="0"/>
                <w:i w:val="0"/>
                <w:sz w:val="18"/>
              </w:rPr>
              <w:t>Female landowner (any)</w:t>
            </w:r>
          </w:p>
        </w:tc>
        <w:tc>
          <w:tcPr>
            <w:tcW w:type="dxa" w:w="3120"/>
          </w:tcPr>
          <w:p>
            <w:pPr>
              <w:spacing w:before="20" w:after="20"/>
              <w:jc w:val="center"/>
            </w:pPr>
            <w:r/>
            <w:r>
              <w:rPr>
                <w:rFonts w:ascii="Times New Roman" w:hAnsi="Times New Roman" w:eastAsia="Times New Roman"/>
                <w:b w:val="0"/>
                <w:i w:val="0"/>
                <w:sz w:val="18"/>
              </w:rPr>
              <w:t>−0.355 (0.121)**</w:t>
            </w:r>
          </w:p>
        </w:tc>
        <w:tc>
          <w:tcPr>
            <w:tcW w:type="dxa" w:w="3120"/>
          </w:tcPr>
          <w:p>
            <w:pPr>
              <w:spacing w:before="20" w:after="20"/>
              <w:jc w:val="center"/>
            </w:pPr>
            <w:r/>
            <w:r>
              <w:rPr>
                <w:rFonts w:ascii="Times New Roman" w:hAnsi="Times New Roman" w:eastAsia="Times New Roman"/>
                <w:b w:val="0"/>
                <w:i w:val="0"/>
                <w:sz w:val="18"/>
              </w:rPr>
            </w:r>
          </w:p>
        </w:tc>
      </w:tr>
      <w:tr>
        <w:tc>
          <w:tcPr>
            <w:tcW w:type="dxa" w:w="3120"/>
          </w:tcPr>
          <w:p>
            <w:pPr>
              <w:spacing w:before="20" w:after="20"/>
            </w:pPr>
            <w:r/>
            <w:r>
              <w:rPr>
                <w:rFonts w:ascii="Times New Roman" w:hAnsi="Times New Roman" w:eastAsia="Times New Roman"/>
                <w:b w:val="0"/>
                <w:i w:val="0"/>
                <w:sz w:val="18"/>
              </w:rPr>
              <w:t>Sole female ownership</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−0.077 (0.224)</w:t>
            </w:r>
          </w:p>
        </w:tc>
      </w:tr>
      <w:tr>
        <w:tc>
          <w:tcPr>
            <w:tcW w:type="dxa" w:w="3120"/>
          </w:tcPr>
          <w:p>
            <w:pPr>
              <w:spacing w:before="20" w:after="20"/>
            </w:pPr>
            <w:r/>
            <w:r>
              <w:rPr>
                <w:rFonts w:ascii="Times New Roman" w:hAnsi="Times New Roman" w:eastAsia="Times New Roman"/>
                <w:b w:val="0"/>
                <w:i w:val="0"/>
                <w:sz w:val="18"/>
              </w:rPr>
              <w:t>Joint ownership</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−0.427 (0.131)**</w:t>
            </w:r>
          </w:p>
        </w:tc>
      </w:tr>
      <w:tr>
        <w:tc>
          <w:tcPr>
            <w:tcW w:type="dxa" w:w="3120"/>
          </w:tcPr>
          <w:p>
            <w:pPr>
              <w:spacing w:before="20" w:after="20"/>
            </w:pPr>
            <w:r/>
            <w:r>
              <w:rPr>
                <w:rFonts w:ascii="Times New Roman" w:hAnsi="Times New Roman" w:eastAsia="Times New Roman"/>
                <w:b w:val="0"/>
                <w:i w:val="0"/>
                <w:sz w:val="18"/>
              </w:rPr>
              <w:t>SFI</w:t>
            </w:r>
          </w:p>
        </w:tc>
        <w:tc>
          <w:tcPr>
            <w:tcW w:type="dxa" w:w="3120"/>
          </w:tcPr>
          <w:p>
            <w:pPr>
              <w:spacing w:before="20" w:after="20"/>
              <w:jc w:val="center"/>
            </w:pPr>
            <w:r/>
            <w:r>
              <w:rPr>
                <w:rFonts w:ascii="Times New Roman" w:hAnsi="Times New Roman" w:eastAsia="Times New Roman"/>
                <w:b w:val="0"/>
                <w:i w:val="0"/>
                <w:sz w:val="18"/>
              </w:rPr>
              <w:t>−0.953 (0.260)***</w:t>
            </w:r>
          </w:p>
        </w:tc>
        <w:tc>
          <w:tcPr>
            <w:tcW w:type="dxa" w:w="3120"/>
          </w:tcPr>
          <w:p>
            <w:pPr>
              <w:spacing w:before="20" w:after="20"/>
              <w:jc w:val="center"/>
            </w:pPr>
            <w:r/>
            <w:r>
              <w:rPr>
                <w:rFonts w:ascii="Times New Roman" w:hAnsi="Times New Roman" w:eastAsia="Times New Roman"/>
                <w:b w:val="0"/>
                <w:i w:val="0"/>
                <w:sz w:val="18"/>
              </w:rPr>
              <w:t>−0.932 (0.259)***</w:t>
            </w:r>
          </w:p>
        </w:tc>
      </w:tr>
      <w:tr>
        <w:tc>
          <w:tcPr>
            <w:tcW w:type="dxa" w:w="3120"/>
          </w:tcPr>
          <w:p>
            <w:pPr>
              <w:spacing w:before="20" w:after="20"/>
            </w:pPr>
            <w:r/>
            <w:r>
              <w:rPr>
                <w:rFonts w:ascii="Times New Roman" w:hAnsi="Times New Roman" w:eastAsia="Times New Roman"/>
                <w:b w:val="0"/>
                <w:i w:val="0"/>
                <w:sz w:val="18"/>
              </w:rPr>
              <w:t>Age</w:t>
            </w:r>
          </w:p>
        </w:tc>
        <w:tc>
          <w:tcPr>
            <w:tcW w:type="dxa" w:w="3120"/>
          </w:tcPr>
          <w:p>
            <w:pPr>
              <w:spacing w:before="20" w:after="20"/>
              <w:jc w:val="center"/>
            </w:pPr>
            <w:r/>
            <w:r>
              <w:rPr>
                <w:rFonts w:ascii="Times New Roman" w:hAnsi="Times New Roman" w:eastAsia="Times New Roman"/>
                <w:b w:val="0"/>
                <w:i w:val="0"/>
                <w:sz w:val="18"/>
              </w:rPr>
              <w:t>0.007 (0.004)*</w:t>
            </w:r>
          </w:p>
        </w:tc>
        <w:tc>
          <w:tcPr>
            <w:tcW w:type="dxa" w:w="3120"/>
          </w:tcPr>
          <w:p>
            <w:pPr>
              <w:spacing w:before="20" w:after="20"/>
              <w:jc w:val="center"/>
            </w:pPr>
            <w:r/>
            <w:r>
              <w:rPr>
                <w:rFonts w:ascii="Times New Roman" w:hAnsi="Times New Roman" w:eastAsia="Times New Roman"/>
                <w:b w:val="0"/>
                <w:i w:val="0"/>
                <w:sz w:val="18"/>
              </w:rPr>
              <w:t>0.008 (0.004)*</w:t>
            </w:r>
          </w:p>
        </w:tc>
      </w:tr>
      <w:tr>
        <w:tc>
          <w:tcPr>
            <w:tcW w:type="dxa" w:w="3120"/>
          </w:tcPr>
          <w:p>
            <w:pPr>
              <w:spacing w:before="20" w:after="20"/>
            </w:pPr>
            <w:r/>
            <w:r>
              <w:rPr>
                <w:rFonts w:ascii="Times New Roman" w:hAnsi="Times New Roman" w:eastAsia="Times New Roman"/>
                <w:b w:val="0"/>
                <w:i w:val="0"/>
                <w:sz w:val="18"/>
              </w:rPr>
              <w:t>Basic education</w:t>
            </w:r>
          </w:p>
        </w:tc>
        <w:tc>
          <w:tcPr>
            <w:tcW w:type="dxa" w:w="3120"/>
          </w:tcPr>
          <w:p>
            <w:pPr>
              <w:spacing w:before="20" w:after="20"/>
              <w:jc w:val="center"/>
            </w:pPr>
            <w:r/>
            <w:r>
              <w:rPr>
                <w:rFonts w:ascii="Times New Roman" w:hAnsi="Times New Roman" w:eastAsia="Times New Roman"/>
                <w:b w:val="0"/>
                <w:i w:val="0"/>
                <w:sz w:val="18"/>
              </w:rPr>
              <w:t>−0.243 (0.125)*</w:t>
            </w:r>
          </w:p>
        </w:tc>
        <w:tc>
          <w:tcPr>
            <w:tcW w:type="dxa" w:w="3120"/>
          </w:tcPr>
          <w:p>
            <w:pPr>
              <w:spacing w:before="20" w:after="20"/>
              <w:jc w:val="center"/>
            </w:pPr>
            <w:r/>
            <w:r>
              <w:rPr>
                <w:rFonts w:ascii="Times New Roman" w:hAnsi="Times New Roman" w:eastAsia="Times New Roman"/>
                <w:b w:val="0"/>
                <w:i w:val="0"/>
                <w:sz w:val="18"/>
              </w:rPr>
              <w:t>−0.241 (0.125)*</w:t>
            </w:r>
          </w:p>
        </w:tc>
      </w:tr>
      <w:tr>
        <w:tc>
          <w:tcPr>
            <w:tcW w:type="dxa" w:w="3120"/>
          </w:tcPr>
          <w:p>
            <w:pPr>
              <w:spacing w:before="20" w:after="20"/>
            </w:pPr>
            <w:r/>
            <w:r>
              <w:rPr>
                <w:rFonts w:ascii="Times New Roman" w:hAnsi="Times New Roman" w:eastAsia="Times New Roman"/>
                <w:b w:val="0"/>
                <w:i w:val="0"/>
                <w:sz w:val="18"/>
              </w:rPr>
              <w:t>Male head</w:t>
            </w:r>
          </w:p>
        </w:tc>
        <w:tc>
          <w:tcPr>
            <w:tcW w:type="dxa" w:w="3120"/>
          </w:tcPr>
          <w:p>
            <w:pPr>
              <w:spacing w:before="20" w:after="20"/>
              <w:jc w:val="center"/>
            </w:pPr>
            <w:r/>
            <w:r>
              <w:rPr>
                <w:rFonts w:ascii="Times New Roman" w:hAnsi="Times New Roman" w:eastAsia="Times New Roman"/>
                <w:b w:val="0"/>
                <w:i w:val="0"/>
                <w:sz w:val="18"/>
              </w:rPr>
              <w:t>−0.183 (0.139)</w:t>
            </w:r>
          </w:p>
        </w:tc>
        <w:tc>
          <w:tcPr>
            <w:tcW w:type="dxa" w:w="3120"/>
          </w:tcPr>
          <w:p>
            <w:pPr>
              <w:spacing w:before="20" w:after="20"/>
              <w:jc w:val="center"/>
            </w:pPr>
            <w:r/>
            <w:r>
              <w:rPr>
                <w:rFonts w:ascii="Times New Roman" w:hAnsi="Times New Roman" w:eastAsia="Times New Roman"/>
                <w:b w:val="0"/>
                <w:i w:val="0"/>
                <w:sz w:val="18"/>
              </w:rPr>
              <w:t>−0.007 (0.179)</w:t>
            </w:r>
          </w:p>
        </w:tc>
      </w:tr>
      <w:tr>
        <w:tc>
          <w:tcPr>
            <w:tcW w:type="dxa" w:w="3120"/>
          </w:tcPr>
          <w:p>
            <w:pPr>
              <w:spacing w:before="20" w:after="20"/>
            </w:pPr>
            <w:r/>
            <w:r>
              <w:rPr>
                <w:rFonts w:ascii="Times New Roman" w:hAnsi="Times New Roman" w:eastAsia="Times New Roman"/>
                <w:b w:val="0"/>
                <w:i w:val="0"/>
                <w:sz w:val="18"/>
              </w:rPr>
              <w:t>Dependency ratio</w:t>
            </w:r>
          </w:p>
        </w:tc>
        <w:tc>
          <w:tcPr>
            <w:tcW w:type="dxa" w:w="3120"/>
          </w:tcPr>
          <w:p>
            <w:pPr>
              <w:spacing w:before="20" w:after="20"/>
              <w:jc w:val="center"/>
            </w:pPr>
            <w:r/>
            <w:r>
              <w:rPr>
                <w:rFonts w:ascii="Times New Roman" w:hAnsi="Times New Roman" w:eastAsia="Times New Roman"/>
                <w:b w:val="0"/>
                <w:i w:val="0"/>
                <w:sz w:val="18"/>
              </w:rPr>
              <w:t>0.230 (0.057)***</w:t>
            </w:r>
          </w:p>
        </w:tc>
        <w:tc>
          <w:tcPr>
            <w:tcW w:type="dxa" w:w="3120"/>
          </w:tcPr>
          <w:p>
            <w:pPr>
              <w:spacing w:before="20" w:after="20"/>
              <w:jc w:val="center"/>
            </w:pPr>
            <w:r/>
            <w:r>
              <w:rPr>
                <w:rFonts w:ascii="Times New Roman" w:hAnsi="Times New Roman" w:eastAsia="Times New Roman"/>
                <w:b w:val="0"/>
                <w:i w:val="0"/>
                <w:sz w:val="18"/>
              </w:rPr>
              <w:t>0.231 (0.056)***</w:t>
            </w:r>
          </w:p>
        </w:tc>
      </w:tr>
      <w:tr>
        <w:tc>
          <w:tcPr>
            <w:tcW w:type="dxa" w:w="3120"/>
          </w:tcPr>
          <w:p>
            <w:pPr>
              <w:spacing w:before="20" w:after="20"/>
            </w:pPr>
            <w:r/>
            <w:r>
              <w:rPr>
                <w:rFonts w:ascii="Times New Roman" w:hAnsi="Times New Roman" w:eastAsia="Times New Roman"/>
                <w:b w:val="0"/>
                <w:i w:val="0"/>
                <w:sz w:val="18"/>
              </w:rPr>
              <w:t>Non-farm enterprise</w:t>
            </w:r>
          </w:p>
        </w:tc>
        <w:tc>
          <w:tcPr>
            <w:tcW w:type="dxa" w:w="3120"/>
          </w:tcPr>
          <w:p>
            <w:pPr>
              <w:spacing w:before="20" w:after="20"/>
              <w:jc w:val="center"/>
            </w:pPr>
            <w:r/>
            <w:r>
              <w:rPr>
                <w:rFonts w:ascii="Times New Roman" w:hAnsi="Times New Roman" w:eastAsia="Times New Roman"/>
                <w:b w:val="0"/>
                <w:i w:val="0"/>
                <w:sz w:val="18"/>
              </w:rPr>
              <w:t>−0.248 (0.208)</w:t>
            </w:r>
          </w:p>
        </w:tc>
        <w:tc>
          <w:tcPr>
            <w:tcW w:type="dxa" w:w="3120"/>
          </w:tcPr>
          <w:p>
            <w:pPr>
              <w:spacing w:before="20" w:after="20"/>
              <w:jc w:val="center"/>
            </w:pPr>
            <w:r/>
            <w:r>
              <w:rPr>
                <w:rFonts w:ascii="Times New Roman" w:hAnsi="Times New Roman" w:eastAsia="Times New Roman"/>
                <w:b w:val="0"/>
                <w:i w:val="0"/>
                <w:sz w:val="18"/>
              </w:rPr>
              <w:t>−0.254 (0.208)</w:t>
            </w:r>
          </w:p>
        </w:tc>
      </w:tr>
      <w:tr>
        <w:tc>
          <w:tcPr>
            <w:tcW w:type="dxa" w:w="3120"/>
          </w:tcPr>
          <w:p>
            <w:pPr>
              <w:spacing w:before="20" w:after="20"/>
            </w:pPr>
            <w:r/>
            <w:r>
              <w:rPr>
                <w:rFonts w:ascii="Times New Roman" w:hAnsi="Times New Roman" w:eastAsia="Times New Roman"/>
                <w:b w:val="0"/>
                <w:i w:val="0"/>
                <w:sz w:val="18"/>
              </w:rPr>
              <w:t>Wealth index</w:t>
            </w:r>
          </w:p>
        </w:tc>
        <w:tc>
          <w:tcPr>
            <w:tcW w:type="dxa" w:w="3120"/>
          </w:tcPr>
          <w:p>
            <w:pPr>
              <w:spacing w:before="20" w:after="20"/>
              <w:jc w:val="center"/>
            </w:pPr>
            <w:r/>
            <w:r>
              <w:rPr>
                <w:rFonts w:ascii="Times New Roman" w:hAnsi="Times New Roman" w:eastAsia="Times New Roman"/>
                <w:b w:val="0"/>
                <w:i w:val="0"/>
                <w:sz w:val="18"/>
              </w:rPr>
              <w:t>−0.322 (0.097)**</w:t>
            </w:r>
          </w:p>
        </w:tc>
        <w:tc>
          <w:tcPr>
            <w:tcW w:type="dxa" w:w="3120"/>
          </w:tcPr>
          <w:p>
            <w:pPr>
              <w:spacing w:before="20" w:after="20"/>
              <w:jc w:val="center"/>
            </w:pPr>
            <w:r/>
            <w:r>
              <w:rPr>
                <w:rFonts w:ascii="Times New Roman" w:hAnsi="Times New Roman" w:eastAsia="Times New Roman"/>
                <w:b w:val="0"/>
                <w:i w:val="0"/>
                <w:sz w:val="18"/>
              </w:rPr>
              <w:t>−0.320 (0.097)**</w:t>
            </w:r>
          </w:p>
        </w:tc>
      </w:tr>
      <w:tr>
        <w:tc>
          <w:tcPr>
            <w:tcW w:type="dxa" w:w="3120"/>
          </w:tcPr>
          <w:p>
            <w:pPr>
              <w:spacing w:before="20" w:after="20"/>
            </w:pPr>
            <w:r/>
            <w:r>
              <w:rPr>
                <w:rFonts w:ascii="Times New Roman" w:hAnsi="Times New Roman" w:eastAsia="Times New Roman"/>
                <w:b w:val="0"/>
                <w:i w:val="0"/>
                <w:sz w:val="18"/>
              </w:rPr>
              <w:t>Distance to admin HQ</w:t>
            </w:r>
          </w:p>
        </w:tc>
        <w:tc>
          <w:tcPr>
            <w:tcW w:type="dxa" w:w="3120"/>
          </w:tcPr>
          <w:p>
            <w:pPr>
              <w:spacing w:before="20" w:after="20"/>
              <w:jc w:val="center"/>
            </w:pPr>
            <w:r/>
            <w:r>
              <w:rPr>
                <w:rFonts w:ascii="Times New Roman" w:hAnsi="Times New Roman" w:eastAsia="Times New Roman"/>
                <w:b w:val="0"/>
                <w:i w:val="0"/>
                <w:sz w:val="18"/>
              </w:rPr>
              <w:t>0.728 (0.502)</w:t>
            </w:r>
          </w:p>
        </w:tc>
        <w:tc>
          <w:tcPr>
            <w:tcW w:type="dxa" w:w="3120"/>
          </w:tcPr>
          <w:p>
            <w:pPr>
              <w:spacing w:before="20" w:after="20"/>
              <w:jc w:val="center"/>
            </w:pPr>
            <w:r/>
            <w:r>
              <w:rPr>
                <w:rFonts w:ascii="Times New Roman" w:hAnsi="Times New Roman" w:eastAsia="Times New Roman"/>
                <w:b w:val="0"/>
                <w:i w:val="0"/>
                <w:sz w:val="18"/>
              </w:rPr>
              <w:t>0.732 (0.503)</w:t>
            </w:r>
          </w:p>
        </w:tc>
      </w:tr>
      <w:tr>
        <w:tc>
          <w:tcPr>
            <w:tcW w:type="dxa" w:w="3120"/>
          </w:tcPr>
          <w:p>
            <w:pPr>
              <w:spacing w:before="20" w:after="20"/>
            </w:pPr>
            <w:r/>
            <w:r>
              <w:rPr>
                <w:rFonts w:ascii="Times New Roman" w:hAnsi="Times New Roman" w:eastAsia="Times New Roman"/>
                <w:b w:val="0"/>
                <w:i w:val="0"/>
                <w:sz w:val="18"/>
              </w:rPr>
              <w:t>Distance to road</w:t>
            </w:r>
          </w:p>
        </w:tc>
        <w:tc>
          <w:tcPr>
            <w:tcW w:type="dxa" w:w="3120"/>
          </w:tcPr>
          <w:p>
            <w:pPr>
              <w:spacing w:before="20" w:after="20"/>
              <w:jc w:val="center"/>
            </w:pPr>
            <w:r/>
            <w:r>
              <w:rPr>
                <w:rFonts w:ascii="Times New Roman" w:hAnsi="Times New Roman" w:eastAsia="Times New Roman"/>
                <w:b w:val="0"/>
                <w:i w:val="0"/>
                <w:sz w:val="18"/>
              </w:rPr>
              <w:t>−0.006 (0.005)</w:t>
            </w:r>
          </w:p>
        </w:tc>
        <w:tc>
          <w:tcPr>
            <w:tcW w:type="dxa" w:w="3120"/>
          </w:tcPr>
          <w:p>
            <w:pPr>
              <w:spacing w:before="20" w:after="20"/>
              <w:jc w:val="center"/>
            </w:pPr>
            <w:r/>
            <w:r>
              <w:rPr>
                <w:rFonts w:ascii="Times New Roman" w:hAnsi="Times New Roman" w:eastAsia="Times New Roman"/>
                <w:b w:val="0"/>
                <w:i w:val="0"/>
                <w:sz w:val="18"/>
              </w:rPr>
              <w:t>−0.006 (0.005)</w:t>
            </w:r>
          </w:p>
        </w:tc>
      </w:tr>
      <w:tr>
        <w:tc>
          <w:tcPr>
            <w:tcW w:type="dxa" w:w="3120"/>
          </w:tcPr>
          <w:p>
            <w:pPr>
              <w:spacing w:before="20" w:after="20"/>
            </w:pPr>
            <w:r/>
            <w:r>
              <w:rPr>
                <w:rFonts w:ascii="Times New Roman" w:hAnsi="Times New Roman" w:eastAsia="Times New Roman"/>
                <w:b w:val="0"/>
                <w:i w:val="0"/>
                <w:sz w:val="18"/>
              </w:rPr>
              <w:t>Soil fertility</w:t>
            </w:r>
          </w:p>
        </w:tc>
        <w:tc>
          <w:tcPr>
            <w:tcW w:type="dxa" w:w="3120"/>
          </w:tcPr>
          <w:p>
            <w:pPr>
              <w:spacing w:before="20" w:after="20"/>
              <w:jc w:val="center"/>
            </w:pPr>
            <w:r/>
            <w:r>
              <w:rPr>
                <w:rFonts w:ascii="Times New Roman" w:hAnsi="Times New Roman" w:eastAsia="Times New Roman"/>
                <w:b w:val="0"/>
                <w:i w:val="0"/>
                <w:sz w:val="18"/>
              </w:rPr>
              <w:t>−0.100 (0.094)</w:t>
            </w:r>
          </w:p>
        </w:tc>
        <w:tc>
          <w:tcPr>
            <w:tcW w:type="dxa" w:w="3120"/>
          </w:tcPr>
          <w:p>
            <w:pPr>
              <w:spacing w:before="20" w:after="20"/>
              <w:jc w:val="center"/>
            </w:pPr>
            <w:r/>
            <w:r>
              <w:rPr>
                <w:rFonts w:ascii="Times New Roman" w:hAnsi="Times New Roman" w:eastAsia="Times New Roman"/>
                <w:b w:val="0"/>
                <w:i w:val="0"/>
                <w:sz w:val="18"/>
              </w:rPr>
              <w:t>−0.102 (0.094)</w:t>
            </w:r>
          </w:p>
        </w:tc>
      </w:tr>
      <w:tr>
        <w:tc>
          <w:tcPr>
            <w:tcW w:type="dxa" w:w="3120"/>
          </w:tcPr>
          <w:p>
            <w:pPr>
              <w:spacing w:before="20" w:after="20"/>
            </w:pPr>
            <w:r/>
            <w:r>
              <w:rPr>
                <w:rFonts w:ascii="Times New Roman" w:hAnsi="Times New Roman" w:eastAsia="Times New Roman"/>
                <w:b w:val="0"/>
                <w:i w:val="0"/>
                <w:sz w:val="18"/>
              </w:rPr>
              <w:t>Drought shock</w:t>
            </w:r>
          </w:p>
        </w:tc>
        <w:tc>
          <w:tcPr>
            <w:tcW w:type="dxa" w:w="3120"/>
          </w:tcPr>
          <w:p>
            <w:pPr>
              <w:spacing w:before="20" w:after="20"/>
              <w:jc w:val="center"/>
            </w:pPr>
            <w:r/>
            <w:r>
              <w:rPr>
                <w:rFonts w:ascii="Times New Roman" w:hAnsi="Times New Roman" w:eastAsia="Times New Roman"/>
                <w:b w:val="0"/>
                <w:i w:val="0"/>
                <w:sz w:val="18"/>
              </w:rPr>
              <w:t>0.952 (0.154)***</w:t>
            </w:r>
          </w:p>
        </w:tc>
        <w:tc>
          <w:tcPr>
            <w:tcW w:type="dxa" w:w="3120"/>
          </w:tcPr>
          <w:p>
            <w:pPr>
              <w:spacing w:before="20" w:after="20"/>
              <w:jc w:val="center"/>
            </w:pPr>
            <w:r/>
            <w:r>
              <w:rPr>
                <w:rFonts w:ascii="Times New Roman" w:hAnsi="Times New Roman" w:eastAsia="Times New Roman"/>
                <w:b w:val="0"/>
                <w:i w:val="0"/>
                <w:sz w:val="18"/>
              </w:rPr>
              <w:t>0.955 (0.155)***</w:t>
            </w:r>
          </w:p>
        </w:tc>
      </w:tr>
      <w:tr>
        <w:tc>
          <w:tcPr>
            <w:tcW w:type="dxa" w:w="3120"/>
          </w:tcPr>
          <w:p>
            <w:pPr>
              <w:spacing w:before="20" w:after="20"/>
            </w:pPr>
            <w:r/>
            <w:r>
              <w:rPr>
                <w:rFonts w:ascii="Times New Roman" w:hAnsi="Times New Roman" w:eastAsia="Times New Roman"/>
                <w:b w:val="0"/>
                <w:i w:val="0"/>
                <w:sz w:val="18"/>
              </w:rPr>
              <w:t>N / Pseudo R-squared</w:t>
            </w:r>
          </w:p>
        </w:tc>
        <w:tc>
          <w:tcPr>
            <w:tcW w:type="dxa" w:w="3120"/>
          </w:tcPr>
          <w:p>
            <w:pPr>
              <w:spacing w:before="20" w:after="20"/>
              <w:jc w:val="center"/>
            </w:pPr>
            <w:r/>
            <w:r>
              <w:rPr>
                <w:rFonts w:ascii="Times New Roman" w:hAnsi="Times New Roman" w:eastAsia="Times New Roman"/>
                <w:b w:val="0"/>
                <w:i w:val="0"/>
                <w:sz w:val="18"/>
              </w:rPr>
              <w:t>1,809 / 0.120</w:t>
            </w:r>
          </w:p>
        </w:tc>
        <w:tc>
          <w:tcPr>
            <w:tcW w:type="dxa" w:w="3120"/>
          </w:tcPr>
          <w:p>
            <w:pPr>
              <w:spacing w:before="20" w:after="20"/>
              <w:jc w:val="center"/>
            </w:pPr>
            <w:r/>
            <w:r>
              <w:rPr>
                <w:rFonts w:ascii="Times New Roman" w:hAnsi="Times New Roman" w:eastAsia="Times New Roman"/>
                <w:b w:val="0"/>
                <w:i w:val="0"/>
                <w:sz w:val="18"/>
              </w:rPr>
              <w:t>1,809 / 0.121</w:t>
            </w:r>
          </w:p>
        </w:tc>
      </w:tr>
      <w:tr>
        <w:tc>
          <w:tcPr>
            <w:tcW w:type="dxa" w:w="3120"/>
          </w:tcPr>
          <w:p>
            <w:pPr>
              <w:spacing w:before="20" w:after="20"/>
            </w:pPr>
            <w:r/>
            <w:r>
              <w:rPr>
                <w:rFonts w:ascii="Times New Roman" w:hAnsi="Times New Roman" w:eastAsia="Times New Roman"/>
                <w:b w:val="0"/>
                <w:i w:val="0"/>
                <w:sz w:val="18"/>
              </w:rPr>
              <w:t>Wald sole = joint</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χ² = 2.21, p = 0.137</w:t>
            </w:r>
          </w:p>
        </w:tc>
      </w:tr>
    </w:tbl>
    <w:p>
      <w:pPr>
        <w:spacing w:before="40" w:after="160"/>
        <w:ind w:firstLine="0"/>
      </w:pPr>
    </w:p>
    <w:p>
      <w:pPr>
        <w:spacing w:before="200" w:after="120"/>
        <w:ind w:firstLine="0"/>
      </w:pPr>
      <w:r>
        <w:rPr>
          <w:rFonts w:ascii="Times New Roman" w:hAnsi="Times New Roman" w:eastAsia="Times New Roman"/>
          <w:b/>
          <w:i w:val="0"/>
          <w:sz w:val="24"/>
        </w:rPr>
        <w:t>4.3 Severe food insecurity (logit)</w:t>
      </w:r>
    </w:p>
    <w:p>
      <w:pPr>
        <w:spacing w:after="160" w:before="0" w:line="276" w:lineRule="auto"/>
        <w:ind w:firstLine="432"/>
      </w:pPr>
      <w:r>
        <w:rPr>
          <w:rFonts w:ascii="Times New Roman" w:hAnsi="Times New Roman" w:eastAsia="Times New Roman"/>
          <w:b w:val="0"/>
          <w:i w:val="0"/>
          <w:sz w:val="22"/>
        </w:rPr>
        <w:t>Pseudo R-squared is 0.194 in Specification A and 0.195 in Specification B. Any female ownership has a log-odds coefficient of −0.499 (SE 0.181, p = 0.006). Joint ownership is −0.613 (SE 0.208, p = 0.003); sole female ownership is −0.186 (SE 0.276, p = 0.500). The Wald test is χ²(1) = 1.94, p = 0.164. Specification A remains adequate.</w:t>
      </w:r>
    </w:p>
    <w:p>
      <w:pPr>
        <w:spacing w:before="200" w:after="80"/>
        <w:ind w:firstLine="0"/>
      </w:pPr>
      <w:r>
        <w:rPr>
          <w:rFonts w:ascii="Times New Roman" w:hAnsi="Times New Roman" w:eastAsia="Times New Roman"/>
          <w:b/>
          <w:i/>
          <w:sz w:val="20"/>
        </w:rPr>
        <w:t>Table 3. Previous design, severe food insecurity (logit, vce(robust)). Log-odds coefficients. * p&lt;0.10, ** p&lt;0.05, *** p&lt;0.01.</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Variable</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Spec A</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Spec B</w:t>
            </w:r>
          </w:p>
        </w:tc>
      </w:tr>
      <w:tr>
        <w:tc>
          <w:tcPr>
            <w:tcW w:type="dxa" w:w="3120"/>
          </w:tcPr>
          <w:p>
            <w:pPr>
              <w:spacing w:before="20" w:after="20"/>
            </w:pPr>
            <w:r/>
            <w:r>
              <w:rPr>
                <w:rFonts w:ascii="Times New Roman" w:hAnsi="Times New Roman" w:eastAsia="Times New Roman"/>
                <w:b w:val="0"/>
                <w:i w:val="0"/>
                <w:sz w:val="18"/>
              </w:rPr>
              <w:t>Female landowner (any)</w:t>
            </w:r>
          </w:p>
        </w:tc>
        <w:tc>
          <w:tcPr>
            <w:tcW w:type="dxa" w:w="3120"/>
          </w:tcPr>
          <w:p>
            <w:pPr>
              <w:spacing w:before="20" w:after="20"/>
              <w:jc w:val="center"/>
            </w:pPr>
            <w:r/>
            <w:r>
              <w:rPr>
                <w:rFonts w:ascii="Times New Roman" w:hAnsi="Times New Roman" w:eastAsia="Times New Roman"/>
                <w:b w:val="0"/>
                <w:i w:val="0"/>
                <w:sz w:val="18"/>
              </w:rPr>
              <w:t>−0.499 (0.181)**</w:t>
            </w:r>
          </w:p>
        </w:tc>
        <w:tc>
          <w:tcPr>
            <w:tcW w:type="dxa" w:w="3120"/>
          </w:tcPr>
          <w:p>
            <w:pPr>
              <w:spacing w:before="20" w:after="20"/>
              <w:jc w:val="center"/>
            </w:pPr>
            <w:r/>
            <w:r>
              <w:rPr>
                <w:rFonts w:ascii="Times New Roman" w:hAnsi="Times New Roman" w:eastAsia="Times New Roman"/>
                <w:b w:val="0"/>
                <w:i w:val="0"/>
                <w:sz w:val="18"/>
              </w:rPr>
            </w:r>
          </w:p>
        </w:tc>
      </w:tr>
      <w:tr>
        <w:tc>
          <w:tcPr>
            <w:tcW w:type="dxa" w:w="3120"/>
          </w:tcPr>
          <w:p>
            <w:pPr>
              <w:spacing w:before="20" w:after="20"/>
            </w:pPr>
            <w:r/>
            <w:r>
              <w:rPr>
                <w:rFonts w:ascii="Times New Roman" w:hAnsi="Times New Roman" w:eastAsia="Times New Roman"/>
                <w:b w:val="0"/>
                <w:i w:val="0"/>
                <w:sz w:val="18"/>
              </w:rPr>
              <w:t>Sole female ownership</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−0.186 (0.276)</w:t>
            </w:r>
          </w:p>
        </w:tc>
      </w:tr>
      <w:tr>
        <w:tc>
          <w:tcPr>
            <w:tcW w:type="dxa" w:w="3120"/>
          </w:tcPr>
          <w:p>
            <w:pPr>
              <w:spacing w:before="20" w:after="20"/>
            </w:pPr>
            <w:r/>
            <w:r>
              <w:rPr>
                <w:rFonts w:ascii="Times New Roman" w:hAnsi="Times New Roman" w:eastAsia="Times New Roman"/>
                <w:b w:val="0"/>
                <w:i w:val="0"/>
                <w:sz w:val="18"/>
              </w:rPr>
              <w:t>Joint ownership</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−0.613 (0.208)**</w:t>
            </w:r>
          </w:p>
        </w:tc>
      </w:tr>
      <w:tr>
        <w:tc>
          <w:tcPr>
            <w:tcW w:type="dxa" w:w="3120"/>
          </w:tcPr>
          <w:p>
            <w:pPr>
              <w:spacing w:before="20" w:after="20"/>
            </w:pPr>
            <w:r/>
            <w:r>
              <w:rPr>
                <w:rFonts w:ascii="Times New Roman" w:hAnsi="Times New Roman" w:eastAsia="Times New Roman"/>
                <w:b w:val="0"/>
                <w:i w:val="0"/>
                <w:sz w:val="18"/>
              </w:rPr>
              <w:t>SFI</w:t>
            </w:r>
          </w:p>
        </w:tc>
        <w:tc>
          <w:tcPr>
            <w:tcW w:type="dxa" w:w="3120"/>
          </w:tcPr>
          <w:p>
            <w:pPr>
              <w:spacing w:before="20" w:after="20"/>
              <w:jc w:val="center"/>
            </w:pPr>
            <w:r/>
            <w:r>
              <w:rPr>
                <w:rFonts w:ascii="Times New Roman" w:hAnsi="Times New Roman" w:eastAsia="Times New Roman"/>
                <w:b w:val="0"/>
                <w:i w:val="0"/>
                <w:sz w:val="18"/>
              </w:rPr>
              <w:t>−1.578 (0.356)***</w:t>
            </w:r>
          </w:p>
        </w:tc>
        <w:tc>
          <w:tcPr>
            <w:tcW w:type="dxa" w:w="3120"/>
          </w:tcPr>
          <w:p>
            <w:pPr>
              <w:spacing w:before="20" w:after="20"/>
              <w:jc w:val="center"/>
            </w:pPr>
            <w:r/>
            <w:r>
              <w:rPr>
                <w:rFonts w:ascii="Times New Roman" w:hAnsi="Times New Roman" w:eastAsia="Times New Roman"/>
                <w:b w:val="0"/>
                <w:i w:val="0"/>
                <w:sz w:val="18"/>
              </w:rPr>
              <w:t>−1.564 (0.355)***</w:t>
            </w:r>
          </w:p>
        </w:tc>
      </w:tr>
      <w:tr>
        <w:tc>
          <w:tcPr>
            <w:tcW w:type="dxa" w:w="3120"/>
          </w:tcPr>
          <w:p>
            <w:pPr>
              <w:spacing w:before="20" w:after="20"/>
            </w:pPr>
            <w:r/>
            <w:r>
              <w:rPr>
                <w:rFonts w:ascii="Times New Roman" w:hAnsi="Times New Roman" w:eastAsia="Times New Roman"/>
                <w:b w:val="0"/>
                <w:i w:val="0"/>
                <w:sz w:val="18"/>
              </w:rPr>
              <w:t>Age</w:t>
            </w:r>
          </w:p>
        </w:tc>
        <w:tc>
          <w:tcPr>
            <w:tcW w:type="dxa" w:w="3120"/>
          </w:tcPr>
          <w:p>
            <w:pPr>
              <w:spacing w:before="20" w:after="20"/>
              <w:jc w:val="center"/>
            </w:pPr>
            <w:r/>
            <w:r>
              <w:rPr>
                <w:rFonts w:ascii="Times New Roman" w:hAnsi="Times New Roman" w:eastAsia="Times New Roman"/>
                <w:b w:val="0"/>
                <w:i w:val="0"/>
                <w:sz w:val="18"/>
              </w:rPr>
              <w:t>0.009 (0.006)</w:t>
            </w:r>
          </w:p>
        </w:tc>
        <w:tc>
          <w:tcPr>
            <w:tcW w:type="dxa" w:w="3120"/>
          </w:tcPr>
          <w:p>
            <w:pPr>
              <w:spacing w:before="20" w:after="20"/>
              <w:jc w:val="center"/>
            </w:pPr>
            <w:r/>
            <w:r>
              <w:rPr>
                <w:rFonts w:ascii="Times New Roman" w:hAnsi="Times New Roman" w:eastAsia="Times New Roman"/>
                <w:b w:val="0"/>
                <w:i w:val="0"/>
                <w:sz w:val="18"/>
              </w:rPr>
              <w:t>0.009 (0.006)</w:t>
            </w:r>
          </w:p>
        </w:tc>
      </w:tr>
      <w:tr>
        <w:tc>
          <w:tcPr>
            <w:tcW w:type="dxa" w:w="3120"/>
          </w:tcPr>
          <w:p>
            <w:pPr>
              <w:spacing w:before="20" w:after="20"/>
            </w:pPr>
            <w:r/>
            <w:r>
              <w:rPr>
                <w:rFonts w:ascii="Times New Roman" w:hAnsi="Times New Roman" w:eastAsia="Times New Roman"/>
                <w:b w:val="0"/>
                <w:i w:val="0"/>
                <w:sz w:val="18"/>
              </w:rPr>
              <w:t>Basic education</w:t>
            </w:r>
          </w:p>
        </w:tc>
        <w:tc>
          <w:tcPr>
            <w:tcW w:type="dxa" w:w="3120"/>
          </w:tcPr>
          <w:p>
            <w:pPr>
              <w:spacing w:before="20" w:after="20"/>
              <w:jc w:val="center"/>
            </w:pPr>
            <w:r/>
            <w:r>
              <w:rPr>
                <w:rFonts w:ascii="Times New Roman" w:hAnsi="Times New Roman" w:eastAsia="Times New Roman"/>
                <w:b w:val="0"/>
                <w:i w:val="0"/>
                <w:sz w:val="18"/>
              </w:rPr>
              <w:t>−0.073 (0.187)</w:t>
            </w:r>
          </w:p>
        </w:tc>
        <w:tc>
          <w:tcPr>
            <w:tcW w:type="dxa" w:w="3120"/>
          </w:tcPr>
          <w:p>
            <w:pPr>
              <w:spacing w:before="20" w:after="20"/>
              <w:jc w:val="center"/>
            </w:pPr>
            <w:r/>
            <w:r>
              <w:rPr>
                <w:rFonts w:ascii="Times New Roman" w:hAnsi="Times New Roman" w:eastAsia="Times New Roman"/>
                <w:b w:val="0"/>
                <w:i w:val="0"/>
                <w:sz w:val="18"/>
              </w:rPr>
              <w:t>−0.072 (0.187)</w:t>
            </w:r>
          </w:p>
        </w:tc>
      </w:tr>
      <w:tr>
        <w:tc>
          <w:tcPr>
            <w:tcW w:type="dxa" w:w="3120"/>
          </w:tcPr>
          <w:p>
            <w:pPr>
              <w:spacing w:before="20" w:after="20"/>
            </w:pPr>
            <w:r/>
            <w:r>
              <w:rPr>
                <w:rFonts w:ascii="Times New Roman" w:hAnsi="Times New Roman" w:eastAsia="Times New Roman"/>
                <w:b w:val="0"/>
                <w:i w:val="0"/>
                <w:sz w:val="18"/>
              </w:rPr>
              <w:t>Male head</w:t>
            </w:r>
          </w:p>
        </w:tc>
        <w:tc>
          <w:tcPr>
            <w:tcW w:type="dxa" w:w="3120"/>
          </w:tcPr>
          <w:p>
            <w:pPr>
              <w:spacing w:before="20" w:after="20"/>
              <w:jc w:val="center"/>
            </w:pPr>
            <w:r/>
            <w:r>
              <w:rPr>
                <w:rFonts w:ascii="Times New Roman" w:hAnsi="Times New Roman" w:eastAsia="Times New Roman"/>
                <w:b w:val="0"/>
                <w:i w:val="0"/>
                <w:sz w:val="18"/>
              </w:rPr>
              <w:t>−0.532 (0.196)**</w:t>
            </w:r>
          </w:p>
        </w:tc>
        <w:tc>
          <w:tcPr>
            <w:tcW w:type="dxa" w:w="3120"/>
          </w:tcPr>
          <w:p>
            <w:pPr>
              <w:spacing w:before="20" w:after="20"/>
              <w:jc w:val="center"/>
            </w:pPr>
            <w:r/>
            <w:r>
              <w:rPr>
                <w:rFonts w:ascii="Times New Roman" w:hAnsi="Times New Roman" w:eastAsia="Times New Roman"/>
                <w:b w:val="0"/>
                <w:i w:val="0"/>
                <w:sz w:val="18"/>
              </w:rPr>
              <w:t>−0.335 (0.236)</w:t>
            </w:r>
          </w:p>
        </w:tc>
      </w:tr>
      <w:tr>
        <w:tc>
          <w:tcPr>
            <w:tcW w:type="dxa" w:w="3120"/>
          </w:tcPr>
          <w:p>
            <w:pPr>
              <w:spacing w:before="20" w:after="20"/>
            </w:pPr>
            <w:r/>
            <w:r>
              <w:rPr>
                <w:rFonts w:ascii="Times New Roman" w:hAnsi="Times New Roman" w:eastAsia="Times New Roman"/>
                <w:b w:val="0"/>
                <w:i w:val="0"/>
                <w:sz w:val="18"/>
              </w:rPr>
              <w:t>Dependency ratio</w:t>
            </w:r>
          </w:p>
        </w:tc>
        <w:tc>
          <w:tcPr>
            <w:tcW w:type="dxa" w:w="3120"/>
          </w:tcPr>
          <w:p>
            <w:pPr>
              <w:spacing w:before="20" w:after="20"/>
              <w:jc w:val="center"/>
            </w:pPr>
            <w:r/>
            <w:r>
              <w:rPr>
                <w:rFonts w:ascii="Times New Roman" w:hAnsi="Times New Roman" w:eastAsia="Times New Roman"/>
                <w:b w:val="0"/>
                <w:i w:val="0"/>
                <w:sz w:val="18"/>
              </w:rPr>
              <w:t>0.118 (0.076)</w:t>
            </w:r>
          </w:p>
        </w:tc>
        <w:tc>
          <w:tcPr>
            <w:tcW w:type="dxa" w:w="3120"/>
          </w:tcPr>
          <w:p>
            <w:pPr>
              <w:spacing w:before="20" w:after="20"/>
              <w:jc w:val="center"/>
            </w:pPr>
            <w:r/>
            <w:r>
              <w:rPr>
                <w:rFonts w:ascii="Times New Roman" w:hAnsi="Times New Roman" w:eastAsia="Times New Roman"/>
                <w:b w:val="0"/>
                <w:i w:val="0"/>
                <w:sz w:val="18"/>
              </w:rPr>
              <w:t>0.119 (0.076)</w:t>
            </w:r>
          </w:p>
        </w:tc>
      </w:tr>
      <w:tr>
        <w:tc>
          <w:tcPr>
            <w:tcW w:type="dxa" w:w="3120"/>
          </w:tcPr>
          <w:p>
            <w:pPr>
              <w:spacing w:before="20" w:after="20"/>
            </w:pPr>
            <w:r/>
            <w:r>
              <w:rPr>
                <w:rFonts w:ascii="Times New Roman" w:hAnsi="Times New Roman" w:eastAsia="Times New Roman"/>
                <w:b w:val="0"/>
                <w:i w:val="0"/>
                <w:sz w:val="18"/>
              </w:rPr>
              <w:t>Non-farm enterprise</w:t>
            </w:r>
          </w:p>
        </w:tc>
        <w:tc>
          <w:tcPr>
            <w:tcW w:type="dxa" w:w="3120"/>
          </w:tcPr>
          <w:p>
            <w:pPr>
              <w:spacing w:before="20" w:after="20"/>
              <w:jc w:val="center"/>
            </w:pPr>
            <w:r/>
            <w:r>
              <w:rPr>
                <w:rFonts w:ascii="Times New Roman" w:hAnsi="Times New Roman" w:eastAsia="Times New Roman"/>
                <w:b w:val="0"/>
                <w:i w:val="0"/>
                <w:sz w:val="18"/>
              </w:rPr>
              <w:t>0.491 (0.290)*</w:t>
            </w:r>
          </w:p>
        </w:tc>
        <w:tc>
          <w:tcPr>
            <w:tcW w:type="dxa" w:w="3120"/>
          </w:tcPr>
          <w:p>
            <w:pPr>
              <w:spacing w:before="20" w:after="20"/>
              <w:jc w:val="center"/>
            </w:pPr>
            <w:r/>
            <w:r>
              <w:rPr>
                <w:rFonts w:ascii="Times New Roman" w:hAnsi="Times New Roman" w:eastAsia="Times New Roman"/>
                <w:b w:val="0"/>
                <w:i w:val="0"/>
                <w:sz w:val="18"/>
              </w:rPr>
              <w:t>0.486 (0.288)*</w:t>
            </w:r>
          </w:p>
        </w:tc>
      </w:tr>
      <w:tr>
        <w:tc>
          <w:tcPr>
            <w:tcW w:type="dxa" w:w="3120"/>
          </w:tcPr>
          <w:p>
            <w:pPr>
              <w:spacing w:before="20" w:after="20"/>
            </w:pPr>
            <w:r/>
            <w:r>
              <w:rPr>
                <w:rFonts w:ascii="Times New Roman" w:hAnsi="Times New Roman" w:eastAsia="Times New Roman"/>
                <w:b w:val="0"/>
                <w:i w:val="0"/>
                <w:sz w:val="18"/>
              </w:rPr>
              <w:t>Wealth index</w:t>
            </w:r>
          </w:p>
        </w:tc>
        <w:tc>
          <w:tcPr>
            <w:tcW w:type="dxa" w:w="3120"/>
          </w:tcPr>
          <w:p>
            <w:pPr>
              <w:spacing w:before="20" w:after="20"/>
              <w:jc w:val="center"/>
            </w:pPr>
            <w:r/>
            <w:r>
              <w:rPr>
                <w:rFonts w:ascii="Times New Roman" w:hAnsi="Times New Roman" w:eastAsia="Times New Roman"/>
                <w:b w:val="0"/>
                <w:i w:val="0"/>
                <w:sz w:val="18"/>
              </w:rPr>
              <w:t>−0.584 (0.149)***</w:t>
            </w:r>
          </w:p>
        </w:tc>
        <w:tc>
          <w:tcPr>
            <w:tcW w:type="dxa" w:w="3120"/>
          </w:tcPr>
          <w:p>
            <w:pPr>
              <w:spacing w:before="20" w:after="20"/>
              <w:jc w:val="center"/>
            </w:pPr>
            <w:r/>
            <w:r>
              <w:rPr>
                <w:rFonts w:ascii="Times New Roman" w:hAnsi="Times New Roman" w:eastAsia="Times New Roman"/>
                <w:b w:val="0"/>
                <w:i w:val="0"/>
                <w:sz w:val="18"/>
              </w:rPr>
              <w:t>−0.580 (0.149)***</w:t>
            </w:r>
          </w:p>
        </w:tc>
      </w:tr>
      <w:tr>
        <w:tc>
          <w:tcPr>
            <w:tcW w:type="dxa" w:w="3120"/>
          </w:tcPr>
          <w:p>
            <w:pPr>
              <w:spacing w:before="20" w:after="20"/>
            </w:pPr>
            <w:r/>
            <w:r>
              <w:rPr>
                <w:rFonts w:ascii="Times New Roman" w:hAnsi="Times New Roman" w:eastAsia="Times New Roman"/>
                <w:b w:val="0"/>
                <w:i w:val="0"/>
                <w:sz w:val="18"/>
              </w:rPr>
              <w:t>Distance to admin HQ</w:t>
            </w:r>
          </w:p>
        </w:tc>
        <w:tc>
          <w:tcPr>
            <w:tcW w:type="dxa" w:w="3120"/>
          </w:tcPr>
          <w:p>
            <w:pPr>
              <w:spacing w:before="20" w:after="20"/>
              <w:jc w:val="center"/>
            </w:pPr>
            <w:r/>
            <w:r>
              <w:rPr>
                <w:rFonts w:ascii="Times New Roman" w:hAnsi="Times New Roman" w:eastAsia="Times New Roman"/>
                <w:b w:val="0"/>
                <w:i w:val="0"/>
                <w:sz w:val="18"/>
              </w:rPr>
              <w:t>1.208 (0.700)*</w:t>
            </w:r>
          </w:p>
        </w:tc>
        <w:tc>
          <w:tcPr>
            <w:tcW w:type="dxa" w:w="3120"/>
          </w:tcPr>
          <w:p>
            <w:pPr>
              <w:spacing w:before="20" w:after="20"/>
              <w:jc w:val="center"/>
            </w:pPr>
            <w:r/>
            <w:r>
              <w:rPr>
                <w:rFonts w:ascii="Times New Roman" w:hAnsi="Times New Roman" w:eastAsia="Times New Roman"/>
                <w:b w:val="0"/>
                <w:i w:val="0"/>
                <w:sz w:val="18"/>
              </w:rPr>
              <w:t>1.220 (0.703)*</w:t>
            </w:r>
          </w:p>
        </w:tc>
      </w:tr>
      <w:tr>
        <w:tc>
          <w:tcPr>
            <w:tcW w:type="dxa" w:w="3120"/>
          </w:tcPr>
          <w:p>
            <w:pPr>
              <w:spacing w:before="20" w:after="20"/>
            </w:pPr>
            <w:r/>
            <w:r>
              <w:rPr>
                <w:rFonts w:ascii="Times New Roman" w:hAnsi="Times New Roman" w:eastAsia="Times New Roman"/>
                <w:b w:val="0"/>
                <w:i w:val="0"/>
                <w:sz w:val="18"/>
              </w:rPr>
              <w:t>Distance to road</w:t>
            </w:r>
          </w:p>
        </w:tc>
        <w:tc>
          <w:tcPr>
            <w:tcW w:type="dxa" w:w="3120"/>
          </w:tcPr>
          <w:p>
            <w:pPr>
              <w:spacing w:before="20" w:after="20"/>
              <w:jc w:val="center"/>
            </w:pPr>
            <w:r/>
            <w:r>
              <w:rPr>
                <w:rFonts w:ascii="Times New Roman" w:hAnsi="Times New Roman" w:eastAsia="Times New Roman"/>
                <w:b w:val="0"/>
                <w:i w:val="0"/>
                <w:sz w:val="18"/>
              </w:rPr>
              <w:t>−0.018 (0.007)**</w:t>
            </w:r>
          </w:p>
        </w:tc>
        <w:tc>
          <w:tcPr>
            <w:tcW w:type="dxa" w:w="3120"/>
          </w:tcPr>
          <w:p>
            <w:pPr>
              <w:spacing w:before="20" w:after="20"/>
              <w:jc w:val="center"/>
            </w:pPr>
            <w:r/>
            <w:r>
              <w:rPr>
                <w:rFonts w:ascii="Times New Roman" w:hAnsi="Times New Roman" w:eastAsia="Times New Roman"/>
                <w:b w:val="0"/>
                <w:i w:val="0"/>
                <w:sz w:val="18"/>
              </w:rPr>
              <w:t>−0.017 (0.007)**</w:t>
            </w:r>
          </w:p>
        </w:tc>
      </w:tr>
      <w:tr>
        <w:tc>
          <w:tcPr>
            <w:tcW w:type="dxa" w:w="3120"/>
          </w:tcPr>
          <w:p>
            <w:pPr>
              <w:spacing w:before="20" w:after="20"/>
            </w:pPr>
            <w:r/>
            <w:r>
              <w:rPr>
                <w:rFonts w:ascii="Times New Roman" w:hAnsi="Times New Roman" w:eastAsia="Times New Roman"/>
                <w:b w:val="0"/>
                <w:i w:val="0"/>
                <w:sz w:val="18"/>
              </w:rPr>
              <w:t>Soil fertility</w:t>
            </w:r>
          </w:p>
        </w:tc>
        <w:tc>
          <w:tcPr>
            <w:tcW w:type="dxa" w:w="3120"/>
          </w:tcPr>
          <w:p>
            <w:pPr>
              <w:spacing w:before="20" w:after="20"/>
              <w:jc w:val="center"/>
            </w:pPr>
            <w:r/>
            <w:r>
              <w:rPr>
                <w:rFonts w:ascii="Times New Roman" w:hAnsi="Times New Roman" w:eastAsia="Times New Roman"/>
                <w:b w:val="0"/>
                <w:i w:val="0"/>
                <w:sz w:val="18"/>
              </w:rPr>
              <w:t>0.085 (0.127)</w:t>
            </w:r>
          </w:p>
        </w:tc>
        <w:tc>
          <w:tcPr>
            <w:tcW w:type="dxa" w:w="3120"/>
          </w:tcPr>
          <w:p>
            <w:pPr>
              <w:spacing w:before="20" w:after="20"/>
              <w:jc w:val="center"/>
            </w:pPr>
            <w:r/>
            <w:r>
              <w:rPr>
                <w:rFonts w:ascii="Times New Roman" w:hAnsi="Times New Roman" w:eastAsia="Times New Roman"/>
                <w:b w:val="0"/>
                <w:i w:val="0"/>
                <w:sz w:val="18"/>
              </w:rPr>
              <w:t>0.080 (0.127)</w:t>
            </w:r>
          </w:p>
        </w:tc>
      </w:tr>
      <w:tr>
        <w:tc>
          <w:tcPr>
            <w:tcW w:type="dxa" w:w="3120"/>
          </w:tcPr>
          <w:p>
            <w:pPr>
              <w:spacing w:before="20" w:after="20"/>
            </w:pPr>
            <w:r/>
            <w:r>
              <w:rPr>
                <w:rFonts w:ascii="Times New Roman" w:hAnsi="Times New Roman" w:eastAsia="Times New Roman"/>
                <w:b w:val="0"/>
                <w:i w:val="0"/>
                <w:sz w:val="18"/>
              </w:rPr>
              <w:t>Drought shock</w:t>
            </w:r>
          </w:p>
        </w:tc>
        <w:tc>
          <w:tcPr>
            <w:tcW w:type="dxa" w:w="3120"/>
          </w:tcPr>
          <w:p>
            <w:pPr>
              <w:spacing w:before="20" w:after="20"/>
              <w:jc w:val="center"/>
            </w:pPr>
            <w:r/>
            <w:r>
              <w:rPr>
                <w:rFonts w:ascii="Times New Roman" w:hAnsi="Times New Roman" w:eastAsia="Times New Roman"/>
                <w:b w:val="0"/>
                <w:i w:val="0"/>
                <w:sz w:val="18"/>
              </w:rPr>
              <w:t>1.472 (0.187)***</w:t>
            </w:r>
          </w:p>
        </w:tc>
        <w:tc>
          <w:tcPr>
            <w:tcW w:type="dxa" w:w="3120"/>
          </w:tcPr>
          <w:p>
            <w:pPr>
              <w:spacing w:before="20" w:after="20"/>
              <w:jc w:val="center"/>
            </w:pPr>
            <w:r/>
            <w:r>
              <w:rPr>
                <w:rFonts w:ascii="Times New Roman" w:hAnsi="Times New Roman" w:eastAsia="Times New Roman"/>
                <w:b w:val="0"/>
                <w:i w:val="0"/>
                <w:sz w:val="18"/>
              </w:rPr>
              <w:t>1.481 (0.189)***</w:t>
            </w:r>
          </w:p>
        </w:tc>
      </w:tr>
      <w:tr>
        <w:tc>
          <w:tcPr>
            <w:tcW w:type="dxa" w:w="3120"/>
          </w:tcPr>
          <w:p>
            <w:pPr>
              <w:spacing w:before="20" w:after="20"/>
            </w:pPr>
            <w:r/>
            <w:r>
              <w:rPr>
                <w:rFonts w:ascii="Times New Roman" w:hAnsi="Times New Roman" w:eastAsia="Times New Roman"/>
                <w:b w:val="0"/>
                <w:i w:val="0"/>
                <w:sz w:val="18"/>
              </w:rPr>
              <w:t>N / Pseudo R-squared</w:t>
            </w:r>
          </w:p>
        </w:tc>
        <w:tc>
          <w:tcPr>
            <w:tcW w:type="dxa" w:w="3120"/>
          </w:tcPr>
          <w:p>
            <w:pPr>
              <w:spacing w:before="20" w:after="20"/>
              <w:jc w:val="center"/>
            </w:pPr>
            <w:r/>
            <w:r>
              <w:rPr>
                <w:rFonts w:ascii="Times New Roman" w:hAnsi="Times New Roman" w:eastAsia="Times New Roman"/>
                <w:b w:val="0"/>
                <w:i w:val="0"/>
                <w:sz w:val="18"/>
              </w:rPr>
              <w:t>1,809 / 0.194</w:t>
            </w:r>
          </w:p>
        </w:tc>
        <w:tc>
          <w:tcPr>
            <w:tcW w:type="dxa" w:w="3120"/>
          </w:tcPr>
          <w:p>
            <w:pPr>
              <w:spacing w:before="20" w:after="20"/>
              <w:jc w:val="center"/>
            </w:pPr>
            <w:r/>
            <w:r>
              <w:rPr>
                <w:rFonts w:ascii="Times New Roman" w:hAnsi="Times New Roman" w:eastAsia="Times New Roman"/>
                <w:b w:val="0"/>
                <w:i w:val="0"/>
                <w:sz w:val="18"/>
              </w:rPr>
              <w:t>1,809 / 0.195</w:t>
            </w:r>
          </w:p>
        </w:tc>
      </w:tr>
      <w:tr>
        <w:tc>
          <w:tcPr>
            <w:tcW w:type="dxa" w:w="3120"/>
          </w:tcPr>
          <w:p>
            <w:pPr>
              <w:spacing w:before="20" w:after="20"/>
            </w:pPr>
            <w:r/>
            <w:r>
              <w:rPr>
                <w:rFonts w:ascii="Times New Roman" w:hAnsi="Times New Roman" w:eastAsia="Times New Roman"/>
                <w:b w:val="0"/>
                <w:i w:val="0"/>
                <w:sz w:val="18"/>
              </w:rPr>
              <w:t>Wald sole = joint</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χ² = 1.94, p = 0.164</w:t>
            </w:r>
          </w:p>
        </w:tc>
      </w:tr>
    </w:tbl>
    <w:p>
      <w:pPr>
        <w:spacing w:before="40" w:after="160"/>
        <w:ind w:firstLine="0"/>
      </w:pPr>
    </w:p>
    <w:p>
      <w:pPr>
        <w:spacing w:before="280" w:after="120"/>
        <w:ind w:firstLine="0"/>
      </w:pPr>
      <w:r>
        <w:rPr>
          <w:rFonts w:ascii="Times New Roman" w:hAnsi="Times New Roman" w:eastAsia="Times New Roman"/>
          <w:b/>
          <w:i w:val="0"/>
          <w:sz w:val="28"/>
        </w:rPr>
        <w:t>5. New design: survey weights and enumeration-area clustering</w:t>
      </w:r>
    </w:p>
    <w:p>
      <w:pPr>
        <w:spacing w:after="160" w:before="0" w:line="276" w:lineRule="auto"/>
        <w:ind w:firstLine="432"/>
      </w:pPr>
      <w:r>
        <w:rPr>
          <w:rFonts w:ascii="Times New Roman" w:hAnsi="Times New Roman" w:eastAsia="Times New Roman"/>
          <w:b w:val="0"/>
          <w:i w:val="0"/>
          <w:sz w:val="22"/>
        </w:rPr>
        <w:t>The same 1,809 households are re-estimated with pw_w5 and linearized standard errors clustered on 200 enumeration areas (design degrees of freedom = 199). Point estimates move because the weight up-weights rural and other high-expansion households. Standard errors widen because households in the same enumeration area are no longer treated as independent. Region fixed effects remain. Married is not included, matching the original logits and the new common control set.</w:t>
      </w:r>
    </w:p>
    <w:p>
      <w:pPr>
        <w:spacing w:before="200" w:after="120"/>
        <w:ind w:firstLine="0"/>
      </w:pPr>
      <w:r>
        <w:rPr>
          <w:rFonts w:ascii="Times New Roman" w:hAnsi="Times New Roman" w:eastAsia="Times New Roman"/>
          <w:b/>
          <w:i w:val="0"/>
          <w:sz w:val="24"/>
        </w:rPr>
        <w:t>5.1 FIES score (survey OLS)</w:t>
      </w:r>
    </w:p>
    <w:p>
      <w:pPr>
        <w:spacing w:after="160" w:before="0" w:line="276" w:lineRule="auto"/>
        <w:ind w:firstLine="432"/>
      </w:pPr>
      <w:r>
        <w:rPr>
          <w:rFonts w:ascii="Times New Roman" w:hAnsi="Times New Roman" w:eastAsia="Times New Roman"/>
          <w:b w:val="0"/>
          <w:i w:val="0"/>
          <w:sz w:val="22"/>
        </w:rPr>
        <w:t>R-squared is 0.186 in both specifications. Any female ownership is associated with a 0.611-point lower FIES score (SE 0.295, p = 0.040). Joint ownership is −0.641 (SE 0.299, p = 0.033); sole female ownership is −0.414 (SE 0.497, p = 0.406). The adjusted Wald test is F(1, 199) = 0.25, p = 0.615. The lincom difference is 0.228 (SE 0.452). Specification A is adequate. Relative to the previous design the any-female coefficient nearly doubles and the standard error more than doubles; the qualitative conclusion does not change.</w:t>
      </w:r>
    </w:p>
    <w:p>
      <w:pPr>
        <w:spacing w:before="200" w:after="80"/>
        <w:ind w:firstLine="0"/>
      </w:pPr>
      <w:r>
        <w:rPr>
          <w:rFonts w:ascii="Times New Roman" w:hAnsi="Times New Roman" w:eastAsia="Times New Roman"/>
          <w:b/>
          <w:i/>
          <w:sz w:val="20"/>
        </w:rPr>
        <w:t>Table 4. New design, FIES score (svy: regress). Linearized standard errors clustered on ea_id. * p&lt;0.10, ** p&lt;0.05, *** p&lt;0.01.</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Variable</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Spec A</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Spec B</w:t>
            </w:r>
          </w:p>
        </w:tc>
      </w:tr>
      <w:tr>
        <w:tc>
          <w:tcPr>
            <w:tcW w:type="dxa" w:w="3120"/>
          </w:tcPr>
          <w:p>
            <w:pPr>
              <w:spacing w:before="20" w:after="20"/>
            </w:pPr>
            <w:r/>
            <w:r>
              <w:rPr>
                <w:rFonts w:ascii="Times New Roman" w:hAnsi="Times New Roman" w:eastAsia="Times New Roman"/>
                <w:b w:val="0"/>
                <w:i w:val="0"/>
                <w:sz w:val="18"/>
              </w:rPr>
              <w:t>Female landowner (any)</w:t>
            </w:r>
          </w:p>
        </w:tc>
        <w:tc>
          <w:tcPr>
            <w:tcW w:type="dxa" w:w="3120"/>
          </w:tcPr>
          <w:p>
            <w:pPr>
              <w:spacing w:before="20" w:after="20"/>
              <w:jc w:val="center"/>
            </w:pPr>
            <w:r/>
            <w:r>
              <w:rPr>
                <w:rFonts w:ascii="Times New Roman" w:hAnsi="Times New Roman" w:eastAsia="Times New Roman"/>
                <w:b w:val="0"/>
                <w:i w:val="0"/>
                <w:sz w:val="18"/>
              </w:rPr>
              <w:t>−0.611 (0.295)**</w:t>
            </w:r>
          </w:p>
        </w:tc>
        <w:tc>
          <w:tcPr>
            <w:tcW w:type="dxa" w:w="3120"/>
          </w:tcPr>
          <w:p>
            <w:pPr>
              <w:spacing w:before="20" w:after="20"/>
              <w:jc w:val="center"/>
            </w:pPr>
            <w:r/>
            <w:r>
              <w:rPr>
                <w:rFonts w:ascii="Times New Roman" w:hAnsi="Times New Roman" w:eastAsia="Times New Roman"/>
                <w:b w:val="0"/>
                <w:i w:val="0"/>
                <w:sz w:val="18"/>
              </w:rPr>
            </w:r>
          </w:p>
        </w:tc>
      </w:tr>
      <w:tr>
        <w:tc>
          <w:tcPr>
            <w:tcW w:type="dxa" w:w="3120"/>
          </w:tcPr>
          <w:p>
            <w:pPr>
              <w:spacing w:before="20" w:after="20"/>
            </w:pPr>
            <w:r/>
            <w:r>
              <w:rPr>
                <w:rFonts w:ascii="Times New Roman" w:hAnsi="Times New Roman" w:eastAsia="Times New Roman"/>
                <w:b w:val="0"/>
                <w:i w:val="0"/>
                <w:sz w:val="18"/>
              </w:rPr>
              <w:t>Sole female ownership</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−0.414 (0.497)</w:t>
            </w:r>
          </w:p>
        </w:tc>
      </w:tr>
      <w:tr>
        <w:tc>
          <w:tcPr>
            <w:tcW w:type="dxa" w:w="3120"/>
          </w:tcPr>
          <w:p>
            <w:pPr>
              <w:spacing w:before="20" w:after="20"/>
            </w:pPr>
            <w:r/>
            <w:r>
              <w:rPr>
                <w:rFonts w:ascii="Times New Roman" w:hAnsi="Times New Roman" w:eastAsia="Times New Roman"/>
                <w:b w:val="0"/>
                <w:i w:val="0"/>
                <w:sz w:val="18"/>
              </w:rPr>
              <w:t>Joint ownership</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−0.641 (0.299)**</w:t>
            </w:r>
          </w:p>
        </w:tc>
      </w:tr>
      <w:tr>
        <w:tc>
          <w:tcPr>
            <w:tcW w:type="dxa" w:w="3120"/>
          </w:tcPr>
          <w:p>
            <w:pPr>
              <w:spacing w:before="20" w:after="20"/>
            </w:pPr>
            <w:r/>
            <w:r>
              <w:rPr>
                <w:rFonts w:ascii="Times New Roman" w:hAnsi="Times New Roman" w:eastAsia="Times New Roman"/>
                <w:b w:val="0"/>
                <w:i w:val="0"/>
                <w:sz w:val="18"/>
              </w:rPr>
              <w:t>SFI</w:t>
            </w:r>
          </w:p>
        </w:tc>
        <w:tc>
          <w:tcPr>
            <w:tcW w:type="dxa" w:w="3120"/>
          </w:tcPr>
          <w:p>
            <w:pPr>
              <w:spacing w:before="20" w:after="20"/>
              <w:jc w:val="center"/>
            </w:pPr>
            <w:r/>
            <w:r>
              <w:rPr>
                <w:rFonts w:ascii="Times New Roman" w:hAnsi="Times New Roman" w:eastAsia="Times New Roman"/>
                <w:b w:val="0"/>
                <w:i w:val="0"/>
                <w:sz w:val="18"/>
              </w:rPr>
              <w:t>−0.157 (0.643)</w:t>
            </w:r>
          </w:p>
        </w:tc>
        <w:tc>
          <w:tcPr>
            <w:tcW w:type="dxa" w:w="3120"/>
          </w:tcPr>
          <w:p>
            <w:pPr>
              <w:spacing w:before="20" w:after="20"/>
              <w:jc w:val="center"/>
            </w:pPr>
            <w:r/>
            <w:r>
              <w:rPr>
                <w:rFonts w:ascii="Times New Roman" w:hAnsi="Times New Roman" w:eastAsia="Times New Roman"/>
                <w:b w:val="0"/>
                <w:i w:val="0"/>
                <w:sz w:val="18"/>
              </w:rPr>
              <w:t>−0.158 (0.641)</w:t>
            </w:r>
          </w:p>
        </w:tc>
      </w:tr>
      <w:tr>
        <w:tc>
          <w:tcPr>
            <w:tcW w:type="dxa" w:w="3120"/>
          </w:tcPr>
          <w:p>
            <w:pPr>
              <w:spacing w:before="20" w:after="20"/>
            </w:pPr>
            <w:r/>
            <w:r>
              <w:rPr>
                <w:rFonts w:ascii="Times New Roman" w:hAnsi="Times New Roman" w:eastAsia="Times New Roman"/>
                <w:b w:val="0"/>
                <w:i w:val="0"/>
                <w:sz w:val="18"/>
              </w:rPr>
              <w:t>Age</w:t>
            </w:r>
          </w:p>
        </w:tc>
        <w:tc>
          <w:tcPr>
            <w:tcW w:type="dxa" w:w="3120"/>
          </w:tcPr>
          <w:p>
            <w:pPr>
              <w:spacing w:before="20" w:after="20"/>
              <w:jc w:val="center"/>
            </w:pPr>
            <w:r/>
            <w:r>
              <w:rPr>
                <w:rFonts w:ascii="Times New Roman" w:hAnsi="Times New Roman" w:eastAsia="Times New Roman"/>
                <w:b w:val="0"/>
                <w:i w:val="0"/>
                <w:sz w:val="18"/>
              </w:rPr>
              <w:t>0.005 (0.008)</w:t>
            </w:r>
          </w:p>
        </w:tc>
        <w:tc>
          <w:tcPr>
            <w:tcW w:type="dxa" w:w="3120"/>
          </w:tcPr>
          <w:p>
            <w:pPr>
              <w:spacing w:before="20" w:after="20"/>
              <w:jc w:val="center"/>
            </w:pPr>
            <w:r/>
            <w:r>
              <w:rPr>
                <w:rFonts w:ascii="Times New Roman" w:hAnsi="Times New Roman" w:eastAsia="Times New Roman"/>
                <w:b w:val="0"/>
                <w:i w:val="0"/>
                <w:sz w:val="18"/>
              </w:rPr>
              <w:t>0.005 (0.008)</w:t>
            </w:r>
          </w:p>
        </w:tc>
      </w:tr>
      <w:tr>
        <w:tc>
          <w:tcPr>
            <w:tcW w:type="dxa" w:w="3120"/>
          </w:tcPr>
          <w:p>
            <w:pPr>
              <w:spacing w:before="20" w:after="20"/>
            </w:pPr>
            <w:r/>
            <w:r>
              <w:rPr>
                <w:rFonts w:ascii="Times New Roman" w:hAnsi="Times New Roman" w:eastAsia="Times New Roman"/>
                <w:b w:val="0"/>
                <w:i w:val="0"/>
                <w:sz w:val="18"/>
              </w:rPr>
              <w:t>Basic education</w:t>
            </w:r>
          </w:p>
        </w:tc>
        <w:tc>
          <w:tcPr>
            <w:tcW w:type="dxa" w:w="3120"/>
          </w:tcPr>
          <w:p>
            <w:pPr>
              <w:spacing w:before="20" w:after="20"/>
              <w:jc w:val="center"/>
            </w:pPr>
            <w:r/>
            <w:r>
              <w:rPr>
                <w:rFonts w:ascii="Times New Roman" w:hAnsi="Times New Roman" w:eastAsia="Times New Roman"/>
                <w:b w:val="0"/>
                <w:i w:val="0"/>
                <w:sz w:val="18"/>
              </w:rPr>
              <w:t>−0.287 (0.225)</w:t>
            </w:r>
          </w:p>
        </w:tc>
        <w:tc>
          <w:tcPr>
            <w:tcW w:type="dxa" w:w="3120"/>
          </w:tcPr>
          <w:p>
            <w:pPr>
              <w:spacing w:before="20" w:after="20"/>
              <w:jc w:val="center"/>
            </w:pPr>
            <w:r/>
            <w:r>
              <w:rPr>
                <w:rFonts w:ascii="Times New Roman" w:hAnsi="Times New Roman" w:eastAsia="Times New Roman"/>
                <w:b w:val="0"/>
                <w:i w:val="0"/>
                <w:sz w:val="18"/>
              </w:rPr>
              <w:t>−0.285 (0.225)</w:t>
            </w:r>
          </w:p>
        </w:tc>
      </w:tr>
      <w:tr>
        <w:tc>
          <w:tcPr>
            <w:tcW w:type="dxa" w:w="3120"/>
          </w:tcPr>
          <w:p>
            <w:pPr>
              <w:spacing w:before="20" w:after="20"/>
            </w:pPr>
            <w:r/>
            <w:r>
              <w:rPr>
                <w:rFonts w:ascii="Times New Roman" w:hAnsi="Times New Roman" w:eastAsia="Times New Roman"/>
                <w:b w:val="0"/>
                <w:i w:val="0"/>
                <w:sz w:val="18"/>
              </w:rPr>
              <w:t>Male head</w:t>
            </w:r>
          </w:p>
        </w:tc>
        <w:tc>
          <w:tcPr>
            <w:tcW w:type="dxa" w:w="3120"/>
          </w:tcPr>
          <w:p>
            <w:pPr>
              <w:spacing w:before="20" w:after="20"/>
              <w:jc w:val="center"/>
            </w:pPr>
            <w:r/>
            <w:r>
              <w:rPr>
                <w:rFonts w:ascii="Times New Roman" w:hAnsi="Times New Roman" w:eastAsia="Times New Roman"/>
                <w:b w:val="0"/>
                <w:i w:val="0"/>
                <w:sz w:val="18"/>
              </w:rPr>
              <w:t>−0.593 (0.249)**</w:t>
            </w:r>
          </w:p>
        </w:tc>
        <w:tc>
          <w:tcPr>
            <w:tcW w:type="dxa" w:w="3120"/>
          </w:tcPr>
          <w:p>
            <w:pPr>
              <w:spacing w:before="20" w:after="20"/>
              <w:jc w:val="center"/>
            </w:pPr>
            <w:r/>
            <w:r>
              <w:rPr>
                <w:rFonts w:ascii="Times New Roman" w:hAnsi="Times New Roman" w:eastAsia="Times New Roman"/>
                <w:b w:val="0"/>
                <w:i w:val="0"/>
                <w:sz w:val="18"/>
              </w:rPr>
              <w:t>−0.450 (0.377)</w:t>
            </w:r>
          </w:p>
        </w:tc>
      </w:tr>
      <w:tr>
        <w:tc>
          <w:tcPr>
            <w:tcW w:type="dxa" w:w="3120"/>
          </w:tcPr>
          <w:p>
            <w:pPr>
              <w:spacing w:before="20" w:after="20"/>
            </w:pPr>
            <w:r/>
            <w:r>
              <w:rPr>
                <w:rFonts w:ascii="Times New Roman" w:hAnsi="Times New Roman" w:eastAsia="Times New Roman"/>
                <w:b w:val="0"/>
                <w:i w:val="0"/>
                <w:sz w:val="18"/>
              </w:rPr>
              <w:t>Dependency ratio</w:t>
            </w:r>
          </w:p>
        </w:tc>
        <w:tc>
          <w:tcPr>
            <w:tcW w:type="dxa" w:w="3120"/>
          </w:tcPr>
          <w:p>
            <w:pPr>
              <w:spacing w:before="20" w:after="20"/>
              <w:jc w:val="center"/>
            </w:pPr>
            <w:r/>
            <w:r>
              <w:rPr>
                <w:rFonts w:ascii="Times New Roman" w:hAnsi="Times New Roman" w:eastAsia="Times New Roman"/>
                <w:b w:val="0"/>
                <w:i w:val="0"/>
                <w:sz w:val="18"/>
              </w:rPr>
              <w:t>0.418 (0.122)***</w:t>
            </w:r>
          </w:p>
        </w:tc>
        <w:tc>
          <w:tcPr>
            <w:tcW w:type="dxa" w:w="3120"/>
          </w:tcPr>
          <w:p>
            <w:pPr>
              <w:spacing w:before="20" w:after="20"/>
              <w:jc w:val="center"/>
            </w:pPr>
            <w:r/>
            <w:r>
              <w:rPr>
                <w:rFonts w:ascii="Times New Roman" w:hAnsi="Times New Roman" w:eastAsia="Times New Roman"/>
                <w:b w:val="0"/>
                <w:i w:val="0"/>
                <w:sz w:val="18"/>
              </w:rPr>
              <w:t>0.422 (0.122)***</w:t>
            </w:r>
          </w:p>
        </w:tc>
      </w:tr>
      <w:tr>
        <w:tc>
          <w:tcPr>
            <w:tcW w:type="dxa" w:w="3120"/>
          </w:tcPr>
          <w:p>
            <w:pPr>
              <w:spacing w:before="20" w:after="20"/>
            </w:pPr>
            <w:r/>
            <w:r>
              <w:rPr>
                <w:rFonts w:ascii="Times New Roman" w:hAnsi="Times New Roman" w:eastAsia="Times New Roman"/>
                <w:b w:val="0"/>
                <w:i w:val="0"/>
                <w:sz w:val="18"/>
              </w:rPr>
              <w:t>Non-farm enterprise</w:t>
            </w:r>
          </w:p>
        </w:tc>
        <w:tc>
          <w:tcPr>
            <w:tcW w:type="dxa" w:w="3120"/>
          </w:tcPr>
          <w:p>
            <w:pPr>
              <w:spacing w:before="20" w:after="20"/>
              <w:jc w:val="center"/>
            </w:pPr>
            <w:r/>
            <w:r>
              <w:rPr>
                <w:rFonts w:ascii="Times New Roman" w:hAnsi="Times New Roman" w:eastAsia="Times New Roman"/>
                <w:b w:val="0"/>
                <w:i w:val="0"/>
                <w:sz w:val="18"/>
              </w:rPr>
              <w:t>0.396 (0.457)</w:t>
            </w:r>
          </w:p>
        </w:tc>
        <w:tc>
          <w:tcPr>
            <w:tcW w:type="dxa" w:w="3120"/>
          </w:tcPr>
          <w:p>
            <w:pPr>
              <w:spacing w:before="20" w:after="20"/>
              <w:jc w:val="center"/>
            </w:pPr>
            <w:r/>
            <w:r>
              <w:rPr>
                <w:rFonts w:ascii="Times New Roman" w:hAnsi="Times New Roman" w:eastAsia="Times New Roman"/>
                <w:b w:val="0"/>
                <w:i w:val="0"/>
                <w:sz w:val="18"/>
              </w:rPr>
              <w:t>0.389 (0.454)</w:t>
            </w:r>
          </w:p>
        </w:tc>
      </w:tr>
      <w:tr>
        <w:tc>
          <w:tcPr>
            <w:tcW w:type="dxa" w:w="3120"/>
          </w:tcPr>
          <w:p>
            <w:pPr>
              <w:spacing w:before="20" w:after="20"/>
            </w:pPr>
            <w:r/>
            <w:r>
              <w:rPr>
                <w:rFonts w:ascii="Times New Roman" w:hAnsi="Times New Roman" w:eastAsia="Times New Roman"/>
                <w:b w:val="0"/>
                <w:i w:val="0"/>
                <w:sz w:val="18"/>
              </w:rPr>
              <w:t>Wealth index</w:t>
            </w:r>
          </w:p>
        </w:tc>
        <w:tc>
          <w:tcPr>
            <w:tcW w:type="dxa" w:w="3120"/>
          </w:tcPr>
          <w:p>
            <w:pPr>
              <w:spacing w:before="20" w:after="20"/>
              <w:jc w:val="center"/>
            </w:pPr>
            <w:r/>
            <w:r>
              <w:rPr>
                <w:rFonts w:ascii="Times New Roman" w:hAnsi="Times New Roman" w:eastAsia="Times New Roman"/>
                <w:b w:val="0"/>
                <w:i w:val="0"/>
                <w:sz w:val="18"/>
              </w:rPr>
              <w:t>−0.517 (0.146)***</w:t>
            </w:r>
          </w:p>
        </w:tc>
        <w:tc>
          <w:tcPr>
            <w:tcW w:type="dxa" w:w="3120"/>
          </w:tcPr>
          <w:p>
            <w:pPr>
              <w:spacing w:before="20" w:after="20"/>
              <w:jc w:val="center"/>
            </w:pPr>
            <w:r/>
            <w:r>
              <w:rPr>
                <w:rFonts w:ascii="Times New Roman" w:hAnsi="Times New Roman" w:eastAsia="Times New Roman"/>
                <w:b w:val="0"/>
                <w:i w:val="0"/>
                <w:sz w:val="18"/>
              </w:rPr>
              <w:t>−0.513 (0.146)***</w:t>
            </w:r>
          </w:p>
        </w:tc>
      </w:tr>
      <w:tr>
        <w:tc>
          <w:tcPr>
            <w:tcW w:type="dxa" w:w="3120"/>
          </w:tcPr>
          <w:p>
            <w:pPr>
              <w:spacing w:before="20" w:after="20"/>
            </w:pPr>
            <w:r/>
            <w:r>
              <w:rPr>
                <w:rFonts w:ascii="Times New Roman" w:hAnsi="Times New Roman" w:eastAsia="Times New Roman"/>
                <w:b w:val="0"/>
                <w:i w:val="0"/>
                <w:sz w:val="18"/>
              </w:rPr>
              <w:t>Distance to admin HQ</w:t>
            </w:r>
          </w:p>
        </w:tc>
        <w:tc>
          <w:tcPr>
            <w:tcW w:type="dxa" w:w="3120"/>
          </w:tcPr>
          <w:p>
            <w:pPr>
              <w:spacing w:before="20" w:after="20"/>
              <w:jc w:val="center"/>
            </w:pPr>
            <w:r/>
            <w:r>
              <w:rPr>
                <w:rFonts w:ascii="Times New Roman" w:hAnsi="Times New Roman" w:eastAsia="Times New Roman"/>
                <w:b w:val="0"/>
                <w:i w:val="0"/>
                <w:sz w:val="18"/>
              </w:rPr>
              <w:t>1.010 (1.753)</w:t>
            </w:r>
          </w:p>
        </w:tc>
        <w:tc>
          <w:tcPr>
            <w:tcW w:type="dxa" w:w="3120"/>
          </w:tcPr>
          <w:p>
            <w:pPr>
              <w:spacing w:before="20" w:after="20"/>
              <w:jc w:val="center"/>
            </w:pPr>
            <w:r/>
            <w:r>
              <w:rPr>
                <w:rFonts w:ascii="Times New Roman" w:hAnsi="Times New Roman" w:eastAsia="Times New Roman"/>
                <w:b w:val="0"/>
                <w:i w:val="0"/>
                <w:sz w:val="18"/>
              </w:rPr>
              <w:t>1.007 (1.751)</w:t>
            </w:r>
          </w:p>
        </w:tc>
      </w:tr>
      <w:tr>
        <w:tc>
          <w:tcPr>
            <w:tcW w:type="dxa" w:w="3120"/>
          </w:tcPr>
          <w:p>
            <w:pPr>
              <w:spacing w:before="20" w:after="20"/>
            </w:pPr>
            <w:r/>
            <w:r>
              <w:rPr>
                <w:rFonts w:ascii="Times New Roman" w:hAnsi="Times New Roman" w:eastAsia="Times New Roman"/>
                <w:b w:val="0"/>
                <w:i w:val="0"/>
                <w:sz w:val="18"/>
              </w:rPr>
              <w:t>Distance to road</w:t>
            </w:r>
          </w:p>
        </w:tc>
        <w:tc>
          <w:tcPr>
            <w:tcW w:type="dxa" w:w="3120"/>
          </w:tcPr>
          <w:p>
            <w:pPr>
              <w:spacing w:before="20" w:after="20"/>
              <w:jc w:val="center"/>
            </w:pPr>
            <w:r/>
            <w:r>
              <w:rPr>
                <w:rFonts w:ascii="Times New Roman" w:hAnsi="Times New Roman" w:eastAsia="Times New Roman"/>
                <w:b w:val="0"/>
                <w:i w:val="0"/>
                <w:sz w:val="18"/>
              </w:rPr>
              <w:t>−0.013 (0.011)</w:t>
            </w:r>
          </w:p>
        </w:tc>
        <w:tc>
          <w:tcPr>
            <w:tcW w:type="dxa" w:w="3120"/>
          </w:tcPr>
          <w:p>
            <w:pPr>
              <w:spacing w:before="20" w:after="20"/>
              <w:jc w:val="center"/>
            </w:pPr>
            <w:r/>
            <w:r>
              <w:rPr>
                <w:rFonts w:ascii="Times New Roman" w:hAnsi="Times New Roman" w:eastAsia="Times New Roman"/>
                <w:b w:val="0"/>
                <w:i w:val="0"/>
                <w:sz w:val="18"/>
              </w:rPr>
              <w:t>−0.013 (0.011)</w:t>
            </w:r>
          </w:p>
        </w:tc>
      </w:tr>
      <w:tr>
        <w:tc>
          <w:tcPr>
            <w:tcW w:type="dxa" w:w="3120"/>
          </w:tcPr>
          <w:p>
            <w:pPr>
              <w:spacing w:before="20" w:after="20"/>
            </w:pPr>
            <w:r/>
            <w:r>
              <w:rPr>
                <w:rFonts w:ascii="Times New Roman" w:hAnsi="Times New Roman" w:eastAsia="Times New Roman"/>
                <w:b w:val="0"/>
                <w:i w:val="0"/>
                <w:sz w:val="18"/>
              </w:rPr>
              <w:t>Soil fertility</w:t>
            </w:r>
          </w:p>
        </w:tc>
        <w:tc>
          <w:tcPr>
            <w:tcW w:type="dxa" w:w="3120"/>
          </w:tcPr>
          <w:p>
            <w:pPr>
              <w:spacing w:before="20" w:after="20"/>
              <w:jc w:val="center"/>
            </w:pPr>
            <w:r/>
            <w:r>
              <w:rPr>
                <w:rFonts w:ascii="Times New Roman" w:hAnsi="Times New Roman" w:eastAsia="Times New Roman"/>
                <w:b w:val="0"/>
                <w:i w:val="0"/>
                <w:sz w:val="18"/>
              </w:rPr>
              <w:t>−0.397 (0.280)</w:t>
            </w:r>
          </w:p>
        </w:tc>
        <w:tc>
          <w:tcPr>
            <w:tcW w:type="dxa" w:w="3120"/>
          </w:tcPr>
          <w:p>
            <w:pPr>
              <w:spacing w:before="20" w:after="20"/>
              <w:jc w:val="center"/>
            </w:pPr>
            <w:r/>
            <w:r>
              <w:rPr>
                <w:rFonts w:ascii="Times New Roman" w:hAnsi="Times New Roman" w:eastAsia="Times New Roman"/>
                <w:b w:val="0"/>
                <w:i w:val="0"/>
                <w:sz w:val="18"/>
              </w:rPr>
              <w:t>−0.403 (0.284)</w:t>
            </w:r>
          </w:p>
        </w:tc>
      </w:tr>
      <w:tr>
        <w:tc>
          <w:tcPr>
            <w:tcW w:type="dxa" w:w="3120"/>
          </w:tcPr>
          <w:p>
            <w:pPr>
              <w:spacing w:before="20" w:after="20"/>
            </w:pPr>
            <w:r/>
            <w:r>
              <w:rPr>
                <w:rFonts w:ascii="Times New Roman" w:hAnsi="Times New Roman" w:eastAsia="Times New Roman"/>
                <w:b w:val="0"/>
                <w:i w:val="0"/>
                <w:sz w:val="18"/>
              </w:rPr>
              <w:t>Drought shock</w:t>
            </w:r>
          </w:p>
        </w:tc>
        <w:tc>
          <w:tcPr>
            <w:tcW w:type="dxa" w:w="3120"/>
          </w:tcPr>
          <w:p>
            <w:pPr>
              <w:spacing w:before="20" w:after="20"/>
              <w:jc w:val="center"/>
            </w:pPr>
            <w:r/>
            <w:r>
              <w:rPr>
                <w:rFonts w:ascii="Times New Roman" w:hAnsi="Times New Roman" w:eastAsia="Times New Roman"/>
                <w:b w:val="0"/>
                <w:i w:val="0"/>
                <w:sz w:val="18"/>
              </w:rPr>
              <w:t>1.044 (0.413)**</w:t>
            </w:r>
          </w:p>
        </w:tc>
        <w:tc>
          <w:tcPr>
            <w:tcW w:type="dxa" w:w="3120"/>
          </w:tcPr>
          <w:p>
            <w:pPr>
              <w:spacing w:before="20" w:after="20"/>
              <w:jc w:val="center"/>
            </w:pPr>
            <w:r/>
            <w:r>
              <w:rPr>
                <w:rFonts w:ascii="Times New Roman" w:hAnsi="Times New Roman" w:eastAsia="Times New Roman"/>
                <w:b w:val="0"/>
                <w:i w:val="0"/>
                <w:sz w:val="18"/>
              </w:rPr>
              <w:t>1.052 (0.415)**</w:t>
            </w:r>
          </w:p>
        </w:tc>
      </w:tr>
      <w:tr>
        <w:tc>
          <w:tcPr>
            <w:tcW w:type="dxa" w:w="3120"/>
          </w:tcPr>
          <w:p>
            <w:pPr>
              <w:spacing w:before="20" w:after="20"/>
            </w:pPr>
            <w:r/>
            <w:r>
              <w:rPr>
                <w:rFonts w:ascii="Times New Roman" w:hAnsi="Times New Roman" w:eastAsia="Times New Roman"/>
                <w:b w:val="0"/>
                <w:i w:val="0"/>
                <w:sz w:val="18"/>
              </w:rPr>
              <w:t>N / R-squared</w:t>
            </w:r>
          </w:p>
        </w:tc>
        <w:tc>
          <w:tcPr>
            <w:tcW w:type="dxa" w:w="3120"/>
          </w:tcPr>
          <w:p>
            <w:pPr>
              <w:spacing w:before="20" w:after="20"/>
              <w:jc w:val="center"/>
            </w:pPr>
            <w:r/>
            <w:r>
              <w:rPr>
                <w:rFonts w:ascii="Times New Roman" w:hAnsi="Times New Roman" w:eastAsia="Times New Roman"/>
                <w:b w:val="0"/>
                <w:i w:val="0"/>
                <w:sz w:val="18"/>
              </w:rPr>
              <w:t>1,809 / 0.186</w:t>
            </w:r>
          </w:p>
        </w:tc>
        <w:tc>
          <w:tcPr>
            <w:tcW w:type="dxa" w:w="3120"/>
          </w:tcPr>
          <w:p>
            <w:pPr>
              <w:spacing w:before="20" w:after="20"/>
              <w:jc w:val="center"/>
            </w:pPr>
            <w:r/>
            <w:r>
              <w:rPr>
                <w:rFonts w:ascii="Times New Roman" w:hAnsi="Times New Roman" w:eastAsia="Times New Roman"/>
                <w:b w:val="0"/>
                <w:i w:val="0"/>
                <w:sz w:val="18"/>
              </w:rPr>
              <w:t>1,809 / 0.186</w:t>
            </w:r>
          </w:p>
        </w:tc>
      </w:tr>
      <w:tr>
        <w:tc>
          <w:tcPr>
            <w:tcW w:type="dxa" w:w="3120"/>
          </w:tcPr>
          <w:p>
            <w:pPr>
              <w:spacing w:before="20" w:after="20"/>
            </w:pPr>
            <w:r/>
            <w:r>
              <w:rPr>
                <w:rFonts w:ascii="Times New Roman" w:hAnsi="Times New Roman" w:eastAsia="Times New Roman"/>
                <w:b w:val="0"/>
                <w:i w:val="0"/>
                <w:sz w:val="18"/>
              </w:rPr>
              <w:t>PSUs / design df</w:t>
            </w:r>
          </w:p>
        </w:tc>
        <w:tc>
          <w:tcPr>
            <w:tcW w:type="dxa" w:w="3120"/>
          </w:tcPr>
          <w:p>
            <w:pPr>
              <w:spacing w:before="20" w:after="20"/>
              <w:jc w:val="center"/>
            </w:pPr>
            <w:r/>
            <w:r>
              <w:rPr>
                <w:rFonts w:ascii="Times New Roman" w:hAnsi="Times New Roman" w:eastAsia="Times New Roman"/>
                <w:b w:val="0"/>
                <w:i w:val="0"/>
                <w:sz w:val="18"/>
              </w:rPr>
              <w:t>200 / 199</w:t>
            </w:r>
          </w:p>
        </w:tc>
        <w:tc>
          <w:tcPr>
            <w:tcW w:type="dxa" w:w="3120"/>
          </w:tcPr>
          <w:p>
            <w:pPr>
              <w:spacing w:before="20" w:after="20"/>
              <w:jc w:val="center"/>
            </w:pPr>
            <w:r/>
            <w:r>
              <w:rPr>
                <w:rFonts w:ascii="Times New Roman" w:hAnsi="Times New Roman" w:eastAsia="Times New Roman"/>
                <w:b w:val="0"/>
                <w:i w:val="0"/>
                <w:sz w:val="18"/>
              </w:rPr>
              <w:t>200 / 199</w:t>
            </w:r>
          </w:p>
        </w:tc>
      </w:tr>
      <w:tr>
        <w:tc>
          <w:tcPr>
            <w:tcW w:type="dxa" w:w="3120"/>
          </w:tcPr>
          <w:p>
            <w:pPr>
              <w:spacing w:before="20" w:after="20"/>
            </w:pPr>
            <w:r/>
            <w:r>
              <w:rPr>
                <w:rFonts w:ascii="Times New Roman" w:hAnsi="Times New Roman" w:eastAsia="Times New Roman"/>
                <w:b w:val="0"/>
                <w:i w:val="0"/>
                <w:sz w:val="18"/>
              </w:rPr>
              <w:t>Wald sole = joint</w:t>
            </w:r>
          </w:p>
        </w:tc>
        <w:tc>
          <w:tcPr>
            <w:tcW w:type="dxa" w:w="3120"/>
          </w:tcPr>
          <w:p>
            <w:pPr>
              <w:spacing w:before="20" w:after="20"/>
              <w:jc w:val="center"/>
            </w:pPr>
            <w:r/>
            <w:r>
              <w:rPr>
                <w:rFonts w:ascii="Times New Roman" w:hAnsi="Times New Roman" w:eastAsia="Times New Roman"/>
                <w:b w:val="0"/>
                <w:i w:val="0"/>
                <w:sz w:val="18"/>
              </w:rPr>
            </w:r>
          </w:p>
        </w:tc>
        <w:tc>
          <w:tcPr>
            <w:tcW w:type="dxa" w:w="3120"/>
          </w:tcPr>
          <w:p>
            <w:pPr>
              <w:spacing w:before="20" w:after="20"/>
              <w:jc w:val="center"/>
            </w:pPr>
            <w:r/>
            <w:r>
              <w:rPr>
                <w:rFonts w:ascii="Times New Roman" w:hAnsi="Times New Roman" w:eastAsia="Times New Roman"/>
                <w:b w:val="0"/>
                <w:i w:val="0"/>
                <w:sz w:val="18"/>
              </w:rPr>
              <w:t>F = 0.25, p = 0.615</w:t>
            </w:r>
          </w:p>
        </w:tc>
      </w:tr>
    </w:tbl>
    <w:p>
      <w:pPr>
        <w:spacing w:before="40" w:after="160"/>
        <w:ind w:firstLine="0"/>
      </w:pPr>
    </w:p>
    <w:p>
      <w:pPr>
        <w:spacing w:before="200" w:after="120"/>
        <w:ind w:firstLine="0"/>
      </w:pPr>
      <w:r>
        <w:rPr>
          <w:rFonts w:ascii="Times New Roman" w:hAnsi="Times New Roman" w:eastAsia="Times New Roman"/>
          <w:b/>
          <w:i w:val="0"/>
          <w:sz w:val="24"/>
        </w:rPr>
        <w:t>5.2 Moderate or severe food insecurity (survey logit)</w:t>
      </w:r>
    </w:p>
    <w:p>
      <w:pPr>
        <w:spacing w:after="160" w:before="0" w:line="276" w:lineRule="auto"/>
        <w:ind w:firstLine="432"/>
      </w:pPr>
      <w:r>
        <w:rPr>
          <w:rFonts w:ascii="Times New Roman" w:hAnsi="Times New Roman" w:eastAsia="Times New Roman"/>
          <w:b w:val="0"/>
          <w:i w:val="0"/>
          <w:sz w:val="22"/>
        </w:rPr>
        <w:t>Any female ownership has a log-odds coefficient of −0.407 (SE 0.242, p = 0.095). The average marginal effect is −8.8 percentage points (SE 5.1, p = 0.087). Joint ownership is −0.415 (SE 0.246, p = 0.093; AME −8.9 pp, p = 0.086). Sole female ownership is −0.349 (SE 0.423, p = 0.411; AME −7.5 pp, p = 0.409). The adjusted Wald test is F(1, 199) = 0.03, p = 0.865. Specification A is adequate. Clustering moves this outcome from p &lt; 0.01 in the previous design to p &lt; 0.10.</w:t>
      </w:r>
    </w:p>
    <w:p>
      <w:pPr>
        <w:spacing w:before="200" w:after="80"/>
        <w:ind w:firstLine="0"/>
      </w:pPr>
      <w:r>
        <w:rPr>
          <w:rFonts w:ascii="Times New Roman" w:hAnsi="Times New Roman" w:eastAsia="Times New Roman"/>
          <w:b/>
          <w:i/>
          <w:sz w:val="20"/>
        </w:rPr>
        <w:t>Table 5. New design, moderate or severe food insecurity (svy: logit). AME = average marginal effect on Pr(FIES ≥ 4). * p&lt;0.10, ** p&lt;0.05, *** p&lt;0.01.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Variable</w:t>
            </w:r>
          </w:p>
        </w:tc>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Spec A coef.</w:t>
            </w:r>
          </w:p>
        </w:tc>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Spec A AME</w:t>
            </w:r>
          </w:p>
        </w:tc>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Spec B coef.</w:t>
            </w:r>
          </w:p>
        </w:tc>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Spec B AME</w:t>
            </w:r>
          </w:p>
        </w:tc>
      </w:tr>
      <w:tr>
        <w:tc>
          <w:tcPr>
            <w:tcW w:type="dxa" w:w="1872"/>
          </w:tcPr>
          <w:p>
            <w:pPr>
              <w:spacing w:before="20" w:after="20"/>
            </w:pPr>
            <w:r/>
            <w:r>
              <w:rPr>
                <w:rFonts w:ascii="Times New Roman" w:hAnsi="Times New Roman" w:eastAsia="Times New Roman"/>
                <w:b w:val="0"/>
                <w:i w:val="0"/>
                <w:sz w:val="18"/>
              </w:rPr>
              <w:t>Female landowner (any)</w:t>
            </w:r>
          </w:p>
        </w:tc>
        <w:tc>
          <w:tcPr>
            <w:tcW w:type="dxa" w:w="1872"/>
          </w:tcPr>
          <w:p>
            <w:pPr>
              <w:spacing w:before="20" w:after="20"/>
              <w:jc w:val="center"/>
            </w:pPr>
            <w:r/>
            <w:r>
              <w:rPr>
                <w:rFonts w:ascii="Times New Roman" w:hAnsi="Times New Roman" w:eastAsia="Times New Roman"/>
                <w:b w:val="0"/>
                <w:i w:val="0"/>
                <w:sz w:val="18"/>
              </w:rPr>
              <w:t>−0.407 (0.242)*</w:t>
            </w:r>
          </w:p>
        </w:tc>
        <w:tc>
          <w:tcPr>
            <w:tcW w:type="dxa" w:w="1872"/>
          </w:tcPr>
          <w:p>
            <w:pPr>
              <w:spacing w:before="20" w:after="20"/>
              <w:jc w:val="center"/>
            </w:pPr>
            <w:r/>
            <w:r>
              <w:rPr>
                <w:rFonts w:ascii="Times New Roman" w:hAnsi="Times New Roman" w:eastAsia="Times New Roman"/>
                <w:b w:val="0"/>
                <w:i w:val="0"/>
                <w:sz w:val="18"/>
              </w:rPr>
              <w:t>−0.088 (0.051)*</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r>
          </w:p>
        </w:tc>
      </w:tr>
      <w:tr>
        <w:tc>
          <w:tcPr>
            <w:tcW w:type="dxa" w:w="1872"/>
          </w:tcPr>
          <w:p>
            <w:pPr>
              <w:spacing w:before="20" w:after="20"/>
            </w:pPr>
            <w:r/>
            <w:r>
              <w:rPr>
                <w:rFonts w:ascii="Times New Roman" w:hAnsi="Times New Roman" w:eastAsia="Times New Roman"/>
                <w:b w:val="0"/>
                <w:i w:val="0"/>
                <w:sz w:val="18"/>
              </w:rPr>
              <w:t>Sole female ownership</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t>−0.349 (0.423)</w:t>
            </w:r>
          </w:p>
        </w:tc>
        <w:tc>
          <w:tcPr>
            <w:tcW w:type="dxa" w:w="1872"/>
          </w:tcPr>
          <w:p>
            <w:pPr>
              <w:spacing w:before="20" w:after="20"/>
              <w:jc w:val="center"/>
            </w:pPr>
            <w:r/>
            <w:r>
              <w:rPr>
                <w:rFonts w:ascii="Times New Roman" w:hAnsi="Times New Roman" w:eastAsia="Times New Roman"/>
                <w:b w:val="0"/>
                <w:i w:val="0"/>
                <w:sz w:val="18"/>
              </w:rPr>
              <w:t>−0.075 (0.091)</w:t>
            </w:r>
          </w:p>
        </w:tc>
      </w:tr>
      <w:tr>
        <w:tc>
          <w:tcPr>
            <w:tcW w:type="dxa" w:w="1872"/>
          </w:tcPr>
          <w:p>
            <w:pPr>
              <w:spacing w:before="20" w:after="20"/>
            </w:pPr>
            <w:r/>
            <w:r>
              <w:rPr>
                <w:rFonts w:ascii="Times New Roman" w:hAnsi="Times New Roman" w:eastAsia="Times New Roman"/>
                <w:b w:val="0"/>
                <w:i w:val="0"/>
                <w:sz w:val="18"/>
              </w:rPr>
              <w:t>Joint ownership</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t>−0.415 (0.246)*</w:t>
            </w:r>
          </w:p>
        </w:tc>
        <w:tc>
          <w:tcPr>
            <w:tcW w:type="dxa" w:w="1872"/>
          </w:tcPr>
          <w:p>
            <w:pPr>
              <w:spacing w:before="20" w:after="20"/>
              <w:jc w:val="center"/>
            </w:pPr>
            <w:r/>
            <w:r>
              <w:rPr>
                <w:rFonts w:ascii="Times New Roman" w:hAnsi="Times New Roman" w:eastAsia="Times New Roman"/>
                <w:b w:val="0"/>
                <w:i w:val="0"/>
                <w:sz w:val="18"/>
              </w:rPr>
              <w:t>−0.089 (0.052)*</w:t>
            </w:r>
          </w:p>
        </w:tc>
      </w:tr>
      <w:tr>
        <w:tc>
          <w:tcPr>
            <w:tcW w:type="dxa" w:w="1872"/>
          </w:tcPr>
          <w:p>
            <w:pPr>
              <w:spacing w:before="20" w:after="20"/>
            </w:pPr>
            <w:r/>
            <w:r>
              <w:rPr>
                <w:rFonts w:ascii="Times New Roman" w:hAnsi="Times New Roman" w:eastAsia="Times New Roman"/>
                <w:b w:val="0"/>
                <w:i w:val="0"/>
                <w:sz w:val="18"/>
              </w:rPr>
              <w:t>SFI</w:t>
            </w:r>
          </w:p>
        </w:tc>
        <w:tc>
          <w:tcPr>
            <w:tcW w:type="dxa" w:w="1872"/>
          </w:tcPr>
          <w:p>
            <w:pPr>
              <w:spacing w:before="20" w:after="20"/>
              <w:jc w:val="center"/>
            </w:pPr>
            <w:r/>
            <w:r>
              <w:rPr>
                <w:rFonts w:ascii="Times New Roman" w:hAnsi="Times New Roman" w:eastAsia="Times New Roman"/>
                <w:b w:val="0"/>
                <w:i w:val="0"/>
                <w:sz w:val="18"/>
              </w:rPr>
              <w:t>0.074 (0.498)</w:t>
            </w:r>
          </w:p>
        </w:tc>
        <w:tc>
          <w:tcPr>
            <w:tcW w:type="dxa" w:w="1872"/>
          </w:tcPr>
          <w:p>
            <w:pPr>
              <w:spacing w:before="20" w:after="20"/>
              <w:jc w:val="center"/>
            </w:pPr>
            <w:r/>
            <w:r>
              <w:rPr>
                <w:rFonts w:ascii="Times New Roman" w:hAnsi="Times New Roman" w:eastAsia="Times New Roman"/>
                <w:b w:val="0"/>
                <w:i w:val="0"/>
                <w:sz w:val="18"/>
              </w:rPr>
              <w:t>0.016 (0.107)</w:t>
            </w:r>
          </w:p>
        </w:tc>
        <w:tc>
          <w:tcPr>
            <w:tcW w:type="dxa" w:w="1872"/>
          </w:tcPr>
          <w:p>
            <w:pPr>
              <w:spacing w:before="20" w:after="20"/>
              <w:jc w:val="center"/>
            </w:pPr>
            <w:r/>
            <w:r>
              <w:rPr>
                <w:rFonts w:ascii="Times New Roman" w:hAnsi="Times New Roman" w:eastAsia="Times New Roman"/>
                <w:b w:val="0"/>
                <w:i w:val="0"/>
                <w:sz w:val="18"/>
              </w:rPr>
              <w:t>0.073 (0.497)</w:t>
            </w:r>
          </w:p>
        </w:tc>
        <w:tc>
          <w:tcPr>
            <w:tcW w:type="dxa" w:w="1872"/>
          </w:tcPr>
          <w:p>
            <w:pPr>
              <w:spacing w:before="20" w:after="20"/>
              <w:jc w:val="center"/>
            </w:pPr>
            <w:r/>
            <w:r>
              <w:rPr>
                <w:rFonts w:ascii="Times New Roman" w:hAnsi="Times New Roman" w:eastAsia="Times New Roman"/>
                <w:b w:val="0"/>
                <w:i w:val="0"/>
                <w:sz w:val="18"/>
              </w:rPr>
              <w:t>0.016 (0.107)</w:t>
            </w:r>
          </w:p>
        </w:tc>
      </w:tr>
      <w:tr>
        <w:tc>
          <w:tcPr>
            <w:tcW w:type="dxa" w:w="1872"/>
          </w:tcPr>
          <w:p>
            <w:pPr>
              <w:spacing w:before="20" w:after="20"/>
            </w:pPr>
            <w:r/>
            <w:r>
              <w:rPr>
                <w:rFonts w:ascii="Times New Roman" w:hAnsi="Times New Roman" w:eastAsia="Times New Roman"/>
                <w:b w:val="0"/>
                <w:i w:val="0"/>
                <w:sz w:val="18"/>
              </w:rPr>
              <w:t>Age</w:t>
            </w:r>
          </w:p>
        </w:tc>
        <w:tc>
          <w:tcPr>
            <w:tcW w:type="dxa" w:w="1872"/>
          </w:tcPr>
          <w:p>
            <w:pPr>
              <w:spacing w:before="20" w:after="20"/>
              <w:jc w:val="center"/>
            </w:pPr>
            <w:r/>
            <w:r>
              <w:rPr>
                <w:rFonts w:ascii="Times New Roman" w:hAnsi="Times New Roman" w:eastAsia="Times New Roman"/>
                <w:b w:val="0"/>
                <w:i w:val="0"/>
                <w:sz w:val="18"/>
              </w:rPr>
              <w:t>0.005 (0.006)</w:t>
            </w:r>
          </w:p>
        </w:tc>
        <w:tc>
          <w:tcPr>
            <w:tcW w:type="dxa" w:w="1872"/>
          </w:tcPr>
          <w:p>
            <w:pPr>
              <w:spacing w:before="20" w:after="20"/>
              <w:jc w:val="center"/>
            </w:pPr>
            <w:r/>
            <w:r>
              <w:rPr>
                <w:rFonts w:ascii="Times New Roman" w:hAnsi="Times New Roman" w:eastAsia="Times New Roman"/>
                <w:b w:val="0"/>
                <w:i w:val="0"/>
                <w:sz w:val="18"/>
              </w:rPr>
              <w:t>0.001 (0.001)</w:t>
            </w:r>
          </w:p>
        </w:tc>
        <w:tc>
          <w:tcPr>
            <w:tcW w:type="dxa" w:w="1872"/>
          </w:tcPr>
          <w:p>
            <w:pPr>
              <w:spacing w:before="20" w:after="20"/>
              <w:jc w:val="center"/>
            </w:pPr>
            <w:r/>
            <w:r>
              <w:rPr>
                <w:rFonts w:ascii="Times New Roman" w:hAnsi="Times New Roman" w:eastAsia="Times New Roman"/>
                <w:b w:val="0"/>
                <w:i w:val="0"/>
                <w:sz w:val="18"/>
              </w:rPr>
              <w:t>0.005 (0.006)</w:t>
            </w:r>
          </w:p>
        </w:tc>
        <w:tc>
          <w:tcPr>
            <w:tcW w:type="dxa" w:w="1872"/>
          </w:tcPr>
          <w:p>
            <w:pPr>
              <w:spacing w:before="20" w:after="20"/>
              <w:jc w:val="center"/>
            </w:pPr>
            <w:r/>
            <w:r>
              <w:rPr>
                <w:rFonts w:ascii="Times New Roman" w:hAnsi="Times New Roman" w:eastAsia="Times New Roman"/>
                <w:b w:val="0"/>
                <w:i w:val="0"/>
                <w:sz w:val="18"/>
              </w:rPr>
              <w:t>0.001 (0.001)</w:t>
            </w:r>
          </w:p>
        </w:tc>
      </w:tr>
      <w:tr>
        <w:tc>
          <w:tcPr>
            <w:tcW w:type="dxa" w:w="1872"/>
          </w:tcPr>
          <w:p>
            <w:pPr>
              <w:spacing w:before="20" w:after="20"/>
            </w:pPr>
            <w:r/>
            <w:r>
              <w:rPr>
                <w:rFonts w:ascii="Times New Roman" w:hAnsi="Times New Roman" w:eastAsia="Times New Roman"/>
                <w:b w:val="0"/>
                <w:i w:val="0"/>
                <w:sz w:val="18"/>
              </w:rPr>
              <w:t>Basic education</w:t>
            </w:r>
          </w:p>
        </w:tc>
        <w:tc>
          <w:tcPr>
            <w:tcW w:type="dxa" w:w="1872"/>
          </w:tcPr>
          <w:p>
            <w:pPr>
              <w:spacing w:before="20" w:after="20"/>
              <w:jc w:val="center"/>
            </w:pPr>
            <w:r/>
            <w:r>
              <w:rPr>
                <w:rFonts w:ascii="Times New Roman" w:hAnsi="Times New Roman" w:eastAsia="Times New Roman"/>
                <w:b w:val="0"/>
                <w:i w:val="0"/>
                <w:sz w:val="18"/>
              </w:rPr>
              <w:t>−0.208 (0.201)</w:t>
            </w:r>
          </w:p>
        </w:tc>
        <w:tc>
          <w:tcPr>
            <w:tcW w:type="dxa" w:w="1872"/>
          </w:tcPr>
          <w:p>
            <w:pPr>
              <w:spacing w:before="20" w:after="20"/>
              <w:jc w:val="center"/>
            </w:pPr>
            <w:r/>
            <w:r>
              <w:rPr>
                <w:rFonts w:ascii="Times New Roman" w:hAnsi="Times New Roman" w:eastAsia="Times New Roman"/>
                <w:b w:val="0"/>
                <w:i w:val="0"/>
                <w:sz w:val="18"/>
              </w:rPr>
              <w:t>−0.045 (0.043)</w:t>
            </w:r>
          </w:p>
        </w:tc>
        <w:tc>
          <w:tcPr>
            <w:tcW w:type="dxa" w:w="1872"/>
          </w:tcPr>
          <w:p>
            <w:pPr>
              <w:spacing w:before="20" w:after="20"/>
              <w:jc w:val="center"/>
            </w:pPr>
            <w:r/>
            <w:r>
              <w:rPr>
                <w:rFonts w:ascii="Times New Roman" w:hAnsi="Times New Roman" w:eastAsia="Times New Roman"/>
                <w:b w:val="0"/>
                <w:i w:val="0"/>
                <w:sz w:val="18"/>
              </w:rPr>
              <w:t>−0.207 (0.202)</w:t>
            </w:r>
          </w:p>
        </w:tc>
        <w:tc>
          <w:tcPr>
            <w:tcW w:type="dxa" w:w="1872"/>
          </w:tcPr>
          <w:p>
            <w:pPr>
              <w:spacing w:before="20" w:after="20"/>
              <w:jc w:val="center"/>
            </w:pPr>
            <w:r/>
            <w:r>
              <w:rPr>
                <w:rFonts w:ascii="Times New Roman" w:hAnsi="Times New Roman" w:eastAsia="Times New Roman"/>
                <w:b w:val="0"/>
                <w:i w:val="0"/>
                <w:sz w:val="18"/>
              </w:rPr>
              <w:t>−0.045 (0.043)</w:t>
            </w:r>
          </w:p>
        </w:tc>
      </w:tr>
      <w:tr>
        <w:tc>
          <w:tcPr>
            <w:tcW w:type="dxa" w:w="1872"/>
          </w:tcPr>
          <w:p>
            <w:pPr>
              <w:spacing w:before="20" w:after="20"/>
            </w:pPr>
            <w:r/>
            <w:r>
              <w:rPr>
                <w:rFonts w:ascii="Times New Roman" w:hAnsi="Times New Roman" w:eastAsia="Times New Roman"/>
                <w:b w:val="0"/>
                <w:i w:val="0"/>
                <w:sz w:val="18"/>
              </w:rPr>
              <w:t>Male head</w:t>
            </w:r>
          </w:p>
        </w:tc>
        <w:tc>
          <w:tcPr>
            <w:tcW w:type="dxa" w:w="1872"/>
          </w:tcPr>
          <w:p>
            <w:pPr>
              <w:spacing w:before="20" w:after="20"/>
              <w:jc w:val="center"/>
            </w:pPr>
            <w:r/>
            <w:r>
              <w:rPr>
                <w:rFonts w:ascii="Times New Roman" w:hAnsi="Times New Roman" w:eastAsia="Times New Roman"/>
                <w:b w:val="0"/>
                <w:i w:val="0"/>
                <w:sz w:val="18"/>
              </w:rPr>
              <w:t>−0.407 (0.212)*</w:t>
            </w:r>
          </w:p>
        </w:tc>
        <w:tc>
          <w:tcPr>
            <w:tcW w:type="dxa" w:w="1872"/>
          </w:tcPr>
          <w:p>
            <w:pPr>
              <w:spacing w:before="20" w:after="20"/>
              <w:jc w:val="center"/>
            </w:pPr>
            <w:r/>
            <w:r>
              <w:rPr>
                <w:rFonts w:ascii="Times New Roman" w:hAnsi="Times New Roman" w:eastAsia="Times New Roman"/>
                <w:b w:val="0"/>
                <w:i w:val="0"/>
                <w:sz w:val="18"/>
              </w:rPr>
              <w:t>−0.088 (0.045)*</w:t>
            </w:r>
          </w:p>
        </w:tc>
        <w:tc>
          <w:tcPr>
            <w:tcW w:type="dxa" w:w="1872"/>
          </w:tcPr>
          <w:p>
            <w:pPr>
              <w:spacing w:before="20" w:after="20"/>
              <w:jc w:val="center"/>
            </w:pPr>
            <w:r/>
            <w:r>
              <w:rPr>
                <w:rFonts w:ascii="Times New Roman" w:hAnsi="Times New Roman" w:eastAsia="Times New Roman"/>
                <w:b w:val="0"/>
                <w:i w:val="0"/>
                <w:sz w:val="18"/>
              </w:rPr>
              <w:t>−0.364 (0.317)</w:t>
            </w:r>
          </w:p>
        </w:tc>
        <w:tc>
          <w:tcPr>
            <w:tcW w:type="dxa" w:w="1872"/>
          </w:tcPr>
          <w:p>
            <w:pPr>
              <w:spacing w:before="20" w:after="20"/>
              <w:jc w:val="center"/>
            </w:pPr>
            <w:r/>
            <w:r>
              <w:rPr>
                <w:rFonts w:ascii="Times New Roman" w:hAnsi="Times New Roman" w:eastAsia="Times New Roman"/>
                <w:b w:val="0"/>
                <w:i w:val="0"/>
                <w:sz w:val="18"/>
              </w:rPr>
              <w:t>−0.078 (0.068)</w:t>
            </w:r>
          </w:p>
        </w:tc>
      </w:tr>
      <w:tr>
        <w:tc>
          <w:tcPr>
            <w:tcW w:type="dxa" w:w="1872"/>
          </w:tcPr>
          <w:p>
            <w:pPr>
              <w:spacing w:before="20" w:after="20"/>
            </w:pPr>
            <w:r/>
            <w:r>
              <w:rPr>
                <w:rFonts w:ascii="Times New Roman" w:hAnsi="Times New Roman" w:eastAsia="Times New Roman"/>
                <w:b w:val="0"/>
                <w:i w:val="0"/>
                <w:sz w:val="18"/>
              </w:rPr>
              <w:t>Dependency ratio</w:t>
            </w:r>
          </w:p>
        </w:tc>
        <w:tc>
          <w:tcPr>
            <w:tcW w:type="dxa" w:w="1872"/>
          </w:tcPr>
          <w:p>
            <w:pPr>
              <w:spacing w:before="20" w:after="20"/>
              <w:jc w:val="center"/>
            </w:pPr>
            <w:r/>
            <w:r>
              <w:rPr>
                <w:rFonts w:ascii="Times New Roman" w:hAnsi="Times New Roman" w:eastAsia="Times New Roman"/>
                <w:b w:val="0"/>
                <w:i w:val="0"/>
                <w:sz w:val="18"/>
              </w:rPr>
              <w:t>0.252 (0.111)**</w:t>
            </w:r>
          </w:p>
        </w:tc>
        <w:tc>
          <w:tcPr>
            <w:tcW w:type="dxa" w:w="1872"/>
          </w:tcPr>
          <w:p>
            <w:pPr>
              <w:spacing w:before="20" w:after="20"/>
              <w:jc w:val="center"/>
            </w:pPr>
            <w:r/>
            <w:r>
              <w:rPr>
                <w:rFonts w:ascii="Times New Roman" w:hAnsi="Times New Roman" w:eastAsia="Times New Roman"/>
                <w:b w:val="0"/>
                <w:i w:val="0"/>
                <w:sz w:val="18"/>
              </w:rPr>
              <w:t>0.054 (0.024)**</w:t>
            </w:r>
          </w:p>
        </w:tc>
        <w:tc>
          <w:tcPr>
            <w:tcW w:type="dxa" w:w="1872"/>
          </w:tcPr>
          <w:p>
            <w:pPr>
              <w:spacing w:before="20" w:after="20"/>
              <w:jc w:val="center"/>
            </w:pPr>
            <w:r/>
            <w:r>
              <w:rPr>
                <w:rFonts w:ascii="Times New Roman" w:hAnsi="Times New Roman" w:eastAsia="Times New Roman"/>
                <w:b w:val="0"/>
                <w:i w:val="0"/>
                <w:sz w:val="18"/>
              </w:rPr>
              <w:t>0.252 (0.111)**</w:t>
            </w:r>
          </w:p>
        </w:tc>
        <w:tc>
          <w:tcPr>
            <w:tcW w:type="dxa" w:w="1872"/>
          </w:tcPr>
          <w:p>
            <w:pPr>
              <w:spacing w:before="20" w:after="20"/>
              <w:jc w:val="center"/>
            </w:pPr>
            <w:r/>
            <w:r>
              <w:rPr>
                <w:rFonts w:ascii="Times New Roman" w:hAnsi="Times New Roman" w:eastAsia="Times New Roman"/>
                <w:b w:val="0"/>
                <w:i w:val="0"/>
                <w:sz w:val="18"/>
              </w:rPr>
              <w:t>0.054 (0.023)**</w:t>
            </w:r>
          </w:p>
        </w:tc>
      </w:tr>
      <w:tr>
        <w:tc>
          <w:tcPr>
            <w:tcW w:type="dxa" w:w="1872"/>
          </w:tcPr>
          <w:p>
            <w:pPr>
              <w:spacing w:before="20" w:after="20"/>
            </w:pPr>
            <w:r/>
            <w:r>
              <w:rPr>
                <w:rFonts w:ascii="Times New Roman" w:hAnsi="Times New Roman" w:eastAsia="Times New Roman"/>
                <w:b w:val="0"/>
                <w:i w:val="0"/>
                <w:sz w:val="18"/>
              </w:rPr>
              <w:t>Non-farm enterprise</w:t>
            </w:r>
          </w:p>
        </w:tc>
        <w:tc>
          <w:tcPr>
            <w:tcW w:type="dxa" w:w="1872"/>
          </w:tcPr>
          <w:p>
            <w:pPr>
              <w:spacing w:before="20" w:after="20"/>
              <w:jc w:val="center"/>
            </w:pPr>
            <w:r/>
            <w:r>
              <w:rPr>
                <w:rFonts w:ascii="Times New Roman" w:hAnsi="Times New Roman" w:eastAsia="Times New Roman"/>
                <w:b w:val="0"/>
                <w:i w:val="0"/>
                <w:sz w:val="18"/>
              </w:rPr>
              <w:t>0.166 (0.308)</w:t>
            </w:r>
          </w:p>
        </w:tc>
        <w:tc>
          <w:tcPr>
            <w:tcW w:type="dxa" w:w="1872"/>
          </w:tcPr>
          <w:p>
            <w:pPr>
              <w:spacing w:before="20" w:after="20"/>
              <w:jc w:val="center"/>
            </w:pPr>
            <w:r/>
            <w:r>
              <w:rPr>
                <w:rFonts w:ascii="Times New Roman" w:hAnsi="Times New Roman" w:eastAsia="Times New Roman"/>
                <w:b w:val="0"/>
                <w:i w:val="0"/>
                <w:sz w:val="18"/>
              </w:rPr>
              <w:t>0.036 (0.066)</w:t>
            </w:r>
          </w:p>
        </w:tc>
        <w:tc>
          <w:tcPr>
            <w:tcW w:type="dxa" w:w="1872"/>
          </w:tcPr>
          <w:p>
            <w:pPr>
              <w:spacing w:before="20" w:after="20"/>
              <w:jc w:val="center"/>
            </w:pPr>
            <w:r/>
            <w:r>
              <w:rPr>
                <w:rFonts w:ascii="Times New Roman" w:hAnsi="Times New Roman" w:eastAsia="Times New Roman"/>
                <w:b w:val="0"/>
                <w:i w:val="0"/>
                <w:sz w:val="18"/>
              </w:rPr>
              <w:t>0.163 (0.307)</w:t>
            </w:r>
          </w:p>
        </w:tc>
        <w:tc>
          <w:tcPr>
            <w:tcW w:type="dxa" w:w="1872"/>
          </w:tcPr>
          <w:p>
            <w:pPr>
              <w:spacing w:before="20" w:after="20"/>
              <w:jc w:val="center"/>
            </w:pPr>
            <w:r/>
            <w:r>
              <w:rPr>
                <w:rFonts w:ascii="Times New Roman" w:hAnsi="Times New Roman" w:eastAsia="Times New Roman"/>
                <w:b w:val="0"/>
                <w:i w:val="0"/>
                <w:sz w:val="18"/>
              </w:rPr>
              <w:t>0.035 (0.066)</w:t>
            </w:r>
          </w:p>
        </w:tc>
      </w:tr>
      <w:tr>
        <w:tc>
          <w:tcPr>
            <w:tcW w:type="dxa" w:w="1872"/>
          </w:tcPr>
          <w:p>
            <w:pPr>
              <w:spacing w:before="20" w:after="20"/>
            </w:pPr>
            <w:r/>
            <w:r>
              <w:rPr>
                <w:rFonts w:ascii="Times New Roman" w:hAnsi="Times New Roman" w:eastAsia="Times New Roman"/>
                <w:b w:val="0"/>
                <w:i w:val="0"/>
                <w:sz w:val="18"/>
              </w:rPr>
              <w:t>Wealth index</w:t>
            </w:r>
          </w:p>
        </w:tc>
        <w:tc>
          <w:tcPr>
            <w:tcW w:type="dxa" w:w="1872"/>
          </w:tcPr>
          <w:p>
            <w:pPr>
              <w:spacing w:before="20" w:after="20"/>
              <w:jc w:val="center"/>
            </w:pPr>
            <w:r/>
            <w:r>
              <w:rPr>
                <w:rFonts w:ascii="Times New Roman" w:hAnsi="Times New Roman" w:eastAsia="Times New Roman"/>
                <w:b w:val="0"/>
                <w:i w:val="0"/>
                <w:sz w:val="18"/>
              </w:rPr>
              <w:t>−0.379 (0.197)*</w:t>
            </w:r>
          </w:p>
        </w:tc>
        <w:tc>
          <w:tcPr>
            <w:tcW w:type="dxa" w:w="1872"/>
          </w:tcPr>
          <w:p>
            <w:pPr>
              <w:spacing w:before="20" w:after="20"/>
              <w:jc w:val="center"/>
            </w:pPr>
            <w:r/>
            <w:r>
              <w:rPr>
                <w:rFonts w:ascii="Times New Roman" w:hAnsi="Times New Roman" w:eastAsia="Times New Roman"/>
                <w:b w:val="0"/>
                <w:i w:val="0"/>
                <w:sz w:val="18"/>
              </w:rPr>
              <w:t>−0.082 (0.041)*</w:t>
            </w:r>
          </w:p>
        </w:tc>
        <w:tc>
          <w:tcPr>
            <w:tcW w:type="dxa" w:w="1872"/>
          </w:tcPr>
          <w:p>
            <w:pPr>
              <w:spacing w:before="20" w:after="20"/>
              <w:jc w:val="center"/>
            </w:pPr>
            <w:r/>
            <w:r>
              <w:rPr>
                <w:rFonts w:ascii="Times New Roman" w:hAnsi="Times New Roman" w:eastAsia="Times New Roman"/>
                <w:b w:val="0"/>
                <w:i w:val="0"/>
                <w:sz w:val="18"/>
              </w:rPr>
              <w:t>−0.378 (0.198)*</w:t>
            </w:r>
          </w:p>
        </w:tc>
        <w:tc>
          <w:tcPr>
            <w:tcW w:type="dxa" w:w="1872"/>
          </w:tcPr>
          <w:p>
            <w:pPr>
              <w:spacing w:before="20" w:after="20"/>
              <w:jc w:val="center"/>
            </w:pPr>
            <w:r/>
            <w:r>
              <w:rPr>
                <w:rFonts w:ascii="Times New Roman" w:hAnsi="Times New Roman" w:eastAsia="Times New Roman"/>
                <w:b w:val="0"/>
                <w:i w:val="0"/>
                <w:sz w:val="18"/>
              </w:rPr>
              <w:t>−0.081 (0.042)*</w:t>
            </w:r>
          </w:p>
        </w:tc>
      </w:tr>
      <w:tr>
        <w:tc>
          <w:tcPr>
            <w:tcW w:type="dxa" w:w="1872"/>
          </w:tcPr>
          <w:p>
            <w:pPr>
              <w:spacing w:before="20" w:after="20"/>
            </w:pPr>
            <w:r/>
            <w:r>
              <w:rPr>
                <w:rFonts w:ascii="Times New Roman" w:hAnsi="Times New Roman" w:eastAsia="Times New Roman"/>
                <w:b w:val="0"/>
                <w:i w:val="0"/>
                <w:sz w:val="18"/>
              </w:rPr>
              <w:t>Drought shock</w:t>
            </w:r>
          </w:p>
        </w:tc>
        <w:tc>
          <w:tcPr>
            <w:tcW w:type="dxa" w:w="1872"/>
          </w:tcPr>
          <w:p>
            <w:pPr>
              <w:spacing w:before="20" w:after="20"/>
              <w:jc w:val="center"/>
            </w:pPr>
            <w:r/>
            <w:r>
              <w:rPr>
                <w:rFonts w:ascii="Times New Roman" w:hAnsi="Times New Roman" w:eastAsia="Times New Roman"/>
                <w:b w:val="0"/>
                <w:i w:val="0"/>
                <w:sz w:val="18"/>
              </w:rPr>
              <w:t>0.507 (0.298)*</w:t>
            </w:r>
          </w:p>
        </w:tc>
        <w:tc>
          <w:tcPr>
            <w:tcW w:type="dxa" w:w="1872"/>
          </w:tcPr>
          <w:p>
            <w:pPr>
              <w:spacing w:before="20" w:after="20"/>
              <w:jc w:val="center"/>
            </w:pPr>
            <w:r/>
            <w:r>
              <w:rPr>
                <w:rFonts w:ascii="Times New Roman" w:hAnsi="Times New Roman" w:eastAsia="Times New Roman"/>
                <w:b w:val="0"/>
                <w:i w:val="0"/>
                <w:sz w:val="18"/>
              </w:rPr>
              <w:t>0.109 (0.063)*</w:t>
            </w:r>
          </w:p>
        </w:tc>
        <w:tc>
          <w:tcPr>
            <w:tcW w:type="dxa" w:w="1872"/>
          </w:tcPr>
          <w:p>
            <w:pPr>
              <w:spacing w:before="20" w:after="20"/>
              <w:jc w:val="center"/>
            </w:pPr>
            <w:r/>
            <w:r>
              <w:rPr>
                <w:rFonts w:ascii="Times New Roman" w:hAnsi="Times New Roman" w:eastAsia="Times New Roman"/>
                <w:b w:val="0"/>
                <w:i w:val="0"/>
                <w:sz w:val="18"/>
              </w:rPr>
              <w:t>0.509 (0.300)*</w:t>
            </w:r>
          </w:p>
        </w:tc>
        <w:tc>
          <w:tcPr>
            <w:tcW w:type="dxa" w:w="1872"/>
          </w:tcPr>
          <w:p>
            <w:pPr>
              <w:spacing w:before="20" w:after="20"/>
              <w:jc w:val="center"/>
            </w:pPr>
            <w:r/>
            <w:r>
              <w:rPr>
                <w:rFonts w:ascii="Times New Roman" w:hAnsi="Times New Roman" w:eastAsia="Times New Roman"/>
                <w:b w:val="0"/>
                <w:i w:val="0"/>
                <w:sz w:val="18"/>
              </w:rPr>
              <w:t>0.110 (0.064)*</w:t>
            </w:r>
          </w:p>
        </w:tc>
      </w:tr>
      <w:tr>
        <w:tc>
          <w:tcPr>
            <w:tcW w:type="dxa" w:w="1872"/>
          </w:tcPr>
          <w:p>
            <w:pPr>
              <w:spacing w:before="20" w:after="20"/>
            </w:pPr>
            <w:r/>
            <w:r>
              <w:rPr>
                <w:rFonts w:ascii="Times New Roman" w:hAnsi="Times New Roman" w:eastAsia="Times New Roman"/>
                <w:b w:val="0"/>
                <w:i w:val="0"/>
                <w:sz w:val="18"/>
              </w:rPr>
              <w:t>N</w:t>
            </w:r>
          </w:p>
        </w:tc>
        <w:tc>
          <w:tcPr>
            <w:tcW w:type="dxa" w:w="1872"/>
          </w:tcPr>
          <w:p>
            <w:pPr>
              <w:spacing w:before="20" w:after="20"/>
              <w:jc w:val="center"/>
            </w:pPr>
            <w:r/>
            <w:r>
              <w:rPr>
                <w:rFonts w:ascii="Times New Roman" w:hAnsi="Times New Roman" w:eastAsia="Times New Roman"/>
                <w:b w:val="0"/>
                <w:i w:val="0"/>
                <w:sz w:val="18"/>
              </w:rPr>
              <w:t>1,809</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t>1,809</w:t>
            </w:r>
          </w:p>
        </w:tc>
        <w:tc>
          <w:tcPr>
            <w:tcW w:type="dxa" w:w="1872"/>
          </w:tcPr>
          <w:p>
            <w:pPr>
              <w:spacing w:before="20" w:after="20"/>
              <w:jc w:val="center"/>
            </w:pPr>
            <w:r/>
            <w:r>
              <w:rPr>
                <w:rFonts w:ascii="Times New Roman" w:hAnsi="Times New Roman" w:eastAsia="Times New Roman"/>
                <w:b w:val="0"/>
                <w:i w:val="0"/>
                <w:sz w:val="18"/>
              </w:rPr>
            </w:r>
          </w:p>
        </w:tc>
      </w:tr>
      <w:tr>
        <w:tc>
          <w:tcPr>
            <w:tcW w:type="dxa" w:w="1872"/>
          </w:tcPr>
          <w:p>
            <w:pPr>
              <w:spacing w:before="20" w:after="20"/>
            </w:pPr>
            <w:r/>
            <w:r>
              <w:rPr>
                <w:rFonts w:ascii="Times New Roman" w:hAnsi="Times New Roman" w:eastAsia="Times New Roman"/>
                <w:b w:val="0"/>
                <w:i w:val="0"/>
                <w:sz w:val="18"/>
              </w:rPr>
              <w:t>Wald sole = joint</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t>F = 0.03, p = 0.866</w:t>
            </w:r>
          </w:p>
        </w:tc>
        <w:tc>
          <w:tcPr>
            <w:tcW w:type="dxa" w:w="1872"/>
          </w:tcPr>
          <w:p>
            <w:pPr>
              <w:spacing w:before="20" w:after="20"/>
              <w:jc w:val="center"/>
            </w:pPr>
            <w:r/>
            <w:r>
              <w:rPr>
                <w:rFonts w:ascii="Times New Roman" w:hAnsi="Times New Roman" w:eastAsia="Times New Roman"/>
                <w:b w:val="0"/>
                <w:i w:val="0"/>
                <w:sz w:val="18"/>
              </w:rPr>
            </w:r>
          </w:p>
        </w:tc>
      </w:tr>
    </w:tbl>
    <w:p>
      <w:pPr>
        <w:spacing w:before="40" w:after="160"/>
        <w:ind w:firstLine="0"/>
      </w:pPr>
    </w:p>
    <w:p>
      <w:pPr>
        <w:spacing w:before="200" w:after="120"/>
        <w:ind w:firstLine="0"/>
      </w:pPr>
      <w:r>
        <w:rPr>
          <w:rFonts w:ascii="Times New Roman" w:hAnsi="Times New Roman" w:eastAsia="Times New Roman"/>
          <w:b/>
          <w:i w:val="0"/>
          <w:sz w:val="24"/>
        </w:rPr>
        <w:t>5.3 Severe food insecurity (survey logit)</w:t>
      </w:r>
    </w:p>
    <w:p>
      <w:pPr>
        <w:spacing w:after="160" w:before="0" w:line="276" w:lineRule="auto"/>
        <w:ind w:firstLine="432"/>
      </w:pPr>
      <w:r>
        <w:rPr>
          <w:rFonts w:ascii="Times New Roman" w:hAnsi="Times New Roman" w:eastAsia="Times New Roman"/>
          <w:b w:val="0"/>
          <w:i w:val="0"/>
          <w:sz w:val="22"/>
        </w:rPr>
        <w:t>Any female ownership has a log-odds coefficient of −0.579 (SE 0.277, p = 0.038). The average marginal effect is −6.9 percentage points (SE 3.3, p = 0.040). Joint ownership is −0.704 (SE 0.304, p = 0.022; AME −8.3 pp, p = 0.023). Sole female ownership is −0.076 (SE 0.378, p = 0.840; AME −0.9 pp, p = 0.840). The adjusted Wald test is F(1, 199) = 2.51, p = 0.114. Specification A is still adequate. The column that looks as if “only joint matters” is a precision difference (joint is the larger cell), not a rejected test of equality.</w:t>
      </w:r>
    </w:p>
    <w:p>
      <w:pPr>
        <w:spacing w:before="200" w:after="80"/>
        <w:ind w:firstLine="0"/>
      </w:pPr>
      <w:r>
        <w:rPr>
          <w:rFonts w:ascii="Times New Roman" w:hAnsi="Times New Roman" w:eastAsia="Times New Roman"/>
          <w:b/>
          <w:i/>
          <w:sz w:val="20"/>
        </w:rPr>
        <w:t>Table 6. New design, severe food insecurity (svy: logit). AME = average marginal effect on Pr(FIES &gt; 6). * p&lt;0.10, ** p&lt;0.05, *** p&lt;0.01.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Variable</w:t>
            </w:r>
          </w:p>
        </w:tc>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Spec A coef.</w:t>
            </w:r>
          </w:p>
        </w:tc>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Spec A AME</w:t>
            </w:r>
          </w:p>
        </w:tc>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Spec B coef.</w:t>
            </w:r>
          </w:p>
        </w:tc>
        <w:tc>
          <w:tcPr>
            <w:tcW w:type="dxa" w:w="1872"/>
            <w:shd w:fill="1F4E79" w:val="clear"/>
          </w:tcPr>
          <w:p>
            <w:pPr>
              <w:spacing w:before="20" w:after="20"/>
              <w:jc w:val="center"/>
            </w:pPr>
            <w:r>
              <w:rPr>
                <w:b/>
                <w:color w:val="FFFFFF"/>
              </w:rPr>
            </w:r>
            <w:r>
              <w:rPr>
                <w:rFonts w:ascii="Times New Roman" w:hAnsi="Times New Roman" w:eastAsia="Times New Roman"/>
                <w:b/>
                <w:i w:val="0"/>
                <w:color w:val="FFFFFF"/>
                <w:sz w:val="18"/>
              </w:rPr>
              <w:t>Spec B AME</w:t>
            </w:r>
          </w:p>
        </w:tc>
      </w:tr>
      <w:tr>
        <w:tc>
          <w:tcPr>
            <w:tcW w:type="dxa" w:w="1872"/>
          </w:tcPr>
          <w:p>
            <w:pPr>
              <w:spacing w:before="20" w:after="20"/>
            </w:pPr>
            <w:r/>
            <w:r>
              <w:rPr>
                <w:rFonts w:ascii="Times New Roman" w:hAnsi="Times New Roman" w:eastAsia="Times New Roman"/>
                <w:b w:val="0"/>
                <w:i w:val="0"/>
                <w:sz w:val="18"/>
              </w:rPr>
              <w:t>Female landowner (any)</w:t>
            </w:r>
          </w:p>
        </w:tc>
        <w:tc>
          <w:tcPr>
            <w:tcW w:type="dxa" w:w="1872"/>
          </w:tcPr>
          <w:p>
            <w:pPr>
              <w:spacing w:before="20" w:after="20"/>
              <w:jc w:val="center"/>
            </w:pPr>
            <w:r/>
            <w:r>
              <w:rPr>
                <w:rFonts w:ascii="Times New Roman" w:hAnsi="Times New Roman" w:eastAsia="Times New Roman"/>
                <w:b w:val="0"/>
                <w:i w:val="0"/>
                <w:sz w:val="18"/>
              </w:rPr>
              <w:t>−0.579 (0.277)**</w:t>
            </w:r>
          </w:p>
        </w:tc>
        <w:tc>
          <w:tcPr>
            <w:tcW w:type="dxa" w:w="1872"/>
          </w:tcPr>
          <w:p>
            <w:pPr>
              <w:spacing w:before="20" w:after="20"/>
              <w:jc w:val="center"/>
            </w:pPr>
            <w:r/>
            <w:r>
              <w:rPr>
                <w:rFonts w:ascii="Times New Roman" w:hAnsi="Times New Roman" w:eastAsia="Times New Roman"/>
                <w:b w:val="0"/>
                <w:i w:val="0"/>
                <w:sz w:val="18"/>
              </w:rPr>
              <w:t>−0.069 (0.033)**</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r>
          </w:p>
        </w:tc>
      </w:tr>
      <w:tr>
        <w:tc>
          <w:tcPr>
            <w:tcW w:type="dxa" w:w="1872"/>
          </w:tcPr>
          <w:p>
            <w:pPr>
              <w:spacing w:before="20" w:after="20"/>
            </w:pPr>
            <w:r/>
            <w:r>
              <w:rPr>
                <w:rFonts w:ascii="Times New Roman" w:hAnsi="Times New Roman" w:eastAsia="Times New Roman"/>
                <w:b w:val="0"/>
                <w:i w:val="0"/>
                <w:sz w:val="18"/>
              </w:rPr>
              <w:t>Sole female ownership</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t>−0.076 (0.378)</w:t>
            </w:r>
          </w:p>
        </w:tc>
        <w:tc>
          <w:tcPr>
            <w:tcW w:type="dxa" w:w="1872"/>
          </w:tcPr>
          <w:p>
            <w:pPr>
              <w:spacing w:before="20" w:after="20"/>
              <w:jc w:val="center"/>
            </w:pPr>
            <w:r/>
            <w:r>
              <w:rPr>
                <w:rFonts w:ascii="Times New Roman" w:hAnsi="Times New Roman" w:eastAsia="Times New Roman"/>
                <w:b w:val="0"/>
                <w:i w:val="0"/>
                <w:sz w:val="18"/>
              </w:rPr>
              <w:t>−0.009 (0.045)</w:t>
            </w:r>
          </w:p>
        </w:tc>
      </w:tr>
      <w:tr>
        <w:tc>
          <w:tcPr>
            <w:tcW w:type="dxa" w:w="1872"/>
          </w:tcPr>
          <w:p>
            <w:pPr>
              <w:spacing w:before="20" w:after="20"/>
            </w:pPr>
            <w:r/>
            <w:r>
              <w:rPr>
                <w:rFonts w:ascii="Times New Roman" w:hAnsi="Times New Roman" w:eastAsia="Times New Roman"/>
                <w:b w:val="0"/>
                <w:i w:val="0"/>
                <w:sz w:val="18"/>
              </w:rPr>
              <w:t>Joint ownership</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t>−0.704 (0.304)**</w:t>
            </w:r>
          </w:p>
        </w:tc>
        <w:tc>
          <w:tcPr>
            <w:tcW w:type="dxa" w:w="1872"/>
          </w:tcPr>
          <w:p>
            <w:pPr>
              <w:spacing w:before="20" w:after="20"/>
              <w:jc w:val="center"/>
            </w:pPr>
            <w:r/>
            <w:r>
              <w:rPr>
                <w:rFonts w:ascii="Times New Roman" w:hAnsi="Times New Roman" w:eastAsia="Times New Roman"/>
                <w:b w:val="0"/>
                <w:i w:val="0"/>
                <w:sz w:val="18"/>
              </w:rPr>
              <w:t>−0.083 (0.037)**</w:t>
            </w:r>
          </w:p>
        </w:tc>
      </w:tr>
      <w:tr>
        <w:tc>
          <w:tcPr>
            <w:tcW w:type="dxa" w:w="1872"/>
          </w:tcPr>
          <w:p>
            <w:pPr>
              <w:spacing w:before="20" w:after="20"/>
            </w:pPr>
            <w:r/>
            <w:r>
              <w:rPr>
                <w:rFonts w:ascii="Times New Roman" w:hAnsi="Times New Roman" w:eastAsia="Times New Roman"/>
                <w:b w:val="0"/>
                <w:i w:val="0"/>
                <w:sz w:val="18"/>
              </w:rPr>
              <w:t>SFI</w:t>
            </w:r>
          </w:p>
        </w:tc>
        <w:tc>
          <w:tcPr>
            <w:tcW w:type="dxa" w:w="1872"/>
          </w:tcPr>
          <w:p>
            <w:pPr>
              <w:spacing w:before="20" w:after="20"/>
              <w:jc w:val="center"/>
            </w:pPr>
            <w:r/>
            <w:r>
              <w:rPr>
                <w:rFonts w:ascii="Times New Roman" w:hAnsi="Times New Roman" w:eastAsia="Times New Roman"/>
                <w:b w:val="0"/>
                <w:i w:val="0"/>
                <w:sz w:val="18"/>
              </w:rPr>
              <w:t>−0.616 (0.662)</w:t>
            </w:r>
          </w:p>
        </w:tc>
        <w:tc>
          <w:tcPr>
            <w:tcW w:type="dxa" w:w="1872"/>
          </w:tcPr>
          <w:p>
            <w:pPr>
              <w:spacing w:before="20" w:after="20"/>
              <w:jc w:val="center"/>
            </w:pPr>
            <w:r/>
            <w:r>
              <w:rPr>
                <w:rFonts w:ascii="Times New Roman" w:hAnsi="Times New Roman" w:eastAsia="Times New Roman"/>
                <w:b w:val="0"/>
                <w:i w:val="0"/>
                <w:sz w:val="18"/>
              </w:rPr>
              <w:t>−0.073 (0.079)</w:t>
            </w:r>
          </w:p>
        </w:tc>
        <w:tc>
          <w:tcPr>
            <w:tcW w:type="dxa" w:w="1872"/>
          </w:tcPr>
          <w:p>
            <w:pPr>
              <w:spacing w:before="20" w:after="20"/>
              <w:jc w:val="center"/>
            </w:pPr>
            <w:r/>
            <w:r>
              <w:rPr>
                <w:rFonts w:ascii="Times New Roman" w:hAnsi="Times New Roman" w:eastAsia="Times New Roman"/>
                <w:b w:val="0"/>
                <w:i w:val="0"/>
                <w:sz w:val="18"/>
              </w:rPr>
              <w:t>−0.614 (0.657)</w:t>
            </w:r>
          </w:p>
        </w:tc>
        <w:tc>
          <w:tcPr>
            <w:tcW w:type="dxa" w:w="1872"/>
          </w:tcPr>
          <w:p>
            <w:pPr>
              <w:spacing w:before="20" w:after="20"/>
              <w:jc w:val="center"/>
            </w:pPr>
            <w:r/>
            <w:r>
              <w:rPr>
                <w:rFonts w:ascii="Times New Roman" w:hAnsi="Times New Roman" w:eastAsia="Times New Roman"/>
                <w:b w:val="0"/>
                <w:i w:val="0"/>
                <w:sz w:val="18"/>
              </w:rPr>
              <w:t>−0.073 (0.078)</w:t>
            </w:r>
          </w:p>
        </w:tc>
      </w:tr>
      <w:tr>
        <w:tc>
          <w:tcPr>
            <w:tcW w:type="dxa" w:w="1872"/>
          </w:tcPr>
          <w:p>
            <w:pPr>
              <w:spacing w:before="20" w:after="20"/>
            </w:pPr>
            <w:r/>
            <w:r>
              <w:rPr>
                <w:rFonts w:ascii="Times New Roman" w:hAnsi="Times New Roman" w:eastAsia="Times New Roman"/>
                <w:b w:val="0"/>
                <w:i w:val="0"/>
                <w:sz w:val="18"/>
              </w:rPr>
              <w:t>Age</w:t>
            </w:r>
          </w:p>
        </w:tc>
        <w:tc>
          <w:tcPr>
            <w:tcW w:type="dxa" w:w="1872"/>
          </w:tcPr>
          <w:p>
            <w:pPr>
              <w:spacing w:before="20" w:after="20"/>
              <w:jc w:val="center"/>
            </w:pPr>
            <w:r/>
            <w:r>
              <w:rPr>
                <w:rFonts w:ascii="Times New Roman" w:hAnsi="Times New Roman" w:eastAsia="Times New Roman"/>
                <w:b w:val="0"/>
                <w:i w:val="0"/>
                <w:sz w:val="18"/>
              </w:rPr>
              <w:t>0.010 (0.010)</w:t>
            </w:r>
          </w:p>
        </w:tc>
        <w:tc>
          <w:tcPr>
            <w:tcW w:type="dxa" w:w="1872"/>
          </w:tcPr>
          <w:p>
            <w:pPr>
              <w:spacing w:before="20" w:after="20"/>
              <w:jc w:val="center"/>
            </w:pPr>
            <w:r/>
            <w:r>
              <w:rPr>
                <w:rFonts w:ascii="Times New Roman" w:hAnsi="Times New Roman" w:eastAsia="Times New Roman"/>
                <w:b w:val="0"/>
                <w:i w:val="0"/>
                <w:sz w:val="18"/>
              </w:rPr>
              <w:t>0.001 (0.001)</w:t>
            </w:r>
          </w:p>
        </w:tc>
        <w:tc>
          <w:tcPr>
            <w:tcW w:type="dxa" w:w="1872"/>
          </w:tcPr>
          <w:p>
            <w:pPr>
              <w:spacing w:before="20" w:after="20"/>
              <w:jc w:val="center"/>
            </w:pPr>
            <w:r/>
            <w:r>
              <w:rPr>
                <w:rFonts w:ascii="Times New Roman" w:hAnsi="Times New Roman" w:eastAsia="Times New Roman"/>
                <w:b w:val="0"/>
                <w:i w:val="0"/>
                <w:sz w:val="18"/>
              </w:rPr>
              <w:t>0.010 (0.010)</w:t>
            </w:r>
          </w:p>
        </w:tc>
        <w:tc>
          <w:tcPr>
            <w:tcW w:type="dxa" w:w="1872"/>
          </w:tcPr>
          <w:p>
            <w:pPr>
              <w:spacing w:before="20" w:after="20"/>
              <w:jc w:val="center"/>
            </w:pPr>
            <w:r/>
            <w:r>
              <w:rPr>
                <w:rFonts w:ascii="Times New Roman" w:hAnsi="Times New Roman" w:eastAsia="Times New Roman"/>
                <w:b w:val="0"/>
                <w:i w:val="0"/>
                <w:sz w:val="18"/>
              </w:rPr>
              <w:t>0.001 (0.001)</w:t>
            </w:r>
          </w:p>
        </w:tc>
      </w:tr>
      <w:tr>
        <w:tc>
          <w:tcPr>
            <w:tcW w:type="dxa" w:w="1872"/>
          </w:tcPr>
          <w:p>
            <w:pPr>
              <w:spacing w:before="20" w:after="20"/>
            </w:pPr>
            <w:r/>
            <w:r>
              <w:rPr>
                <w:rFonts w:ascii="Times New Roman" w:hAnsi="Times New Roman" w:eastAsia="Times New Roman"/>
                <w:b w:val="0"/>
                <w:i w:val="0"/>
                <w:sz w:val="18"/>
              </w:rPr>
              <w:t>Basic education</w:t>
            </w:r>
          </w:p>
        </w:tc>
        <w:tc>
          <w:tcPr>
            <w:tcW w:type="dxa" w:w="1872"/>
          </w:tcPr>
          <w:p>
            <w:pPr>
              <w:spacing w:before="20" w:after="20"/>
              <w:jc w:val="center"/>
            </w:pPr>
            <w:r/>
            <w:r>
              <w:rPr>
                <w:rFonts w:ascii="Times New Roman" w:hAnsi="Times New Roman" w:eastAsia="Times New Roman"/>
                <w:b w:val="0"/>
                <w:i w:val="0"/>
                <w:sz w:val="18"/>
              </w:rPr>
              <w:t>−0.037 (0.278)</w:t>
            </w:r>
          </w:p>
        </w:tc>
        <w:tc>
          <w:tcPr>
            <w:tcW w:type="dxa" w:w="1872"/>
          </w:tcPr>
          <w:p>
            <w:pPr>
              <w:spacing w:before="20" w:after="20"/>
              <w:jc w:val="center"/>
            </w:pPr>
            <w:r/>
            <w:r>
              <w:rPr>
                <w:rFonts w:ascii="Times New Roman" w:hAnsi="Times New Roman" w:eastAsia="Times New Roman"/>
                <w:b w:val="0"/>
                <w:i w:val="0"/>
                <w:sz w:val="18"/>
              </w:rPr>
              <w:t>−0.004 (0.033)</w:t>
            </w:r>
          </w:p>
        </w:tc>
        <w:tc>
          <w:tcPr>
            <w:tcW w:type="dxa" w:w="1872"/>
          </w:tcPr>
          <w:p>
            <w:pPr>
              <w:spacing w:before="20" w:after="20"/>
              <w:jc w:val="center"/>
            </w:pPr>
            <w:r/>
            <w:r>
              <w:rPr>
                <w:rFonts w:ascii="Times New Roman" w:hAnsi="Times New Roman" w:eastAsia="Times New Roman"/>
                <w:b w:val="0"/>
                <w:i w:val="0"/>
                <w:sz w:val="18"/>
              </w:rPr>
              <w:t>−0.028 (0.283)</w:t>
            </w:r>
          </w:p>
        </w:tc>
        <w:tc>
          <w:tcPr>
            <w:tcW w:type="dxa" w:w="1872"/>
          </w:tcPr>
          <w:p>
            <w:pPr>
              <w:spacing w:before="20" w:after="20"/>
              <w:jc w:val="center"/>
            </w:pPr>
            <w:r/>
            <w:r>
              <w:rPr>
                <w:rFonts w:ascii="Times New Roman" w:hAnsi="Times New Roman" w:eastAsia="Times New Roman"/>
                <w:b w:val="0"/>
                <w:i w:val="0"/>
                <w:sz w:val="18"/>
              </w:rPr>
              <w:t>−0.003 (0.034)</w:t>
            </w:r>
          </w:p>
        </w:tc>
      </w:tr>
      <w:tr>
        <w:tc>
          <w:tcPr>
            <w:tcW w:type="dxa" w:w="1872"/>
          </w:tcPr>
          <w:p>
            <w:pPr>
              <w:spacing w:before="20" w:after="20"/>
            </w:pPr>
            <w:r/>
            <w:r>
              <w:rPr>
                <w:rFonts w:ascii="Times New Roman" w:hAnsi="Times New Roman" w:eastAsia="Times New Roman"/>
                <w:b w:val="0"/>
                <w:i w:val="0"/>
                <w:sz w:val="18"/>
              </w:rPr>
              <w:t>Male head</w:t>
            </w:r>
          </w:p>
        </w:tc>
        <w:tc>
          <w:tcPr>
            <w:tcW w:type="dxa" w:w="1872"/>
          </w:tcPr>
          <w:p>
            <w:pPr>
              <w:spacing w:before="20" w:after="20"/>
              <w:jc w:val="center"/>
            </w:pPr>
            <w:r/>
            <w:r>
              <w:rPr>
                <w:rFonts w:ascii="Times New Roman" w:hAnsi="Times New Roman" w:eastAsia="Times New Roman"/>
                <w:b w:val="0"/>
                <w:i w:val="0"/>
                <w:sz w:val="18"/>
              </w:rPr>
              <w:t>−0.992 (0.297)***</w:t>
            </w:r>
          </w:p>
        </w:tc>
        <w:tc>
          <w:tcPr>
            <w:tcW w:type="dxa" w:w="1872"/>
          </w:tcPr>
          <w:p>
            <w:pPr>
              <w:spacing w:before="20" w:after="20"/>
              <w:jc w:val="center"/>
            </w:pPr>
            <w:r/>
            <w:r>
              <w:rPr>
                <w:rFonts w:ascii="Times New Roman" w:hAnsi="Times New Roman" w:eastAsia="Times New Roman"/>
                <w:b w:val="0"/>
                <w:i w:val="0"/>
                <w:sz w:val="18"/>
              </w:rPr>
              <w:t>−0.118 (0.038)**</w:t>
            </w:r>
          </w:p>
        </w:tc>
        <w:tc>
          <w:tcPr>
            <w:tcW w:type="dxa" w:w="1872"/>
          </w:tcPr>
          <w:p>
            <w:pPr>
              <w:spacing w:before="20" w:after="20"/>
              <w:jc w:val="center"/>
            </w:pPr>
            <w:r/>
            <w:r>
              <w:rPr>
                <w:rFonts w:ascii="Times New Roman" w:hAnsi="Times New Roman" w:eastAsia="Times New Roman"/>
                <w:b w:val="0"/>
                <w:i w:val="0"/>
                <w:sz w:val="18"/>
              </w:rPr>
              <w:t>−0.638 (0.337)*</w:t>
            </w:r>
          </w:p>
        </w:tc>
        <w:tc>
          <w:tcPr>
            <w:tcW w:type="dxa" w:w="1872"/>
          </w:tcPr>
          <w:p>
            <w:pPr>
              <w:spacing w:before="20" w:after="20"/>
              <w:jc w:val="center"/>
            </w:pPr>
            <w:r/>
            <w:r>
              <w:rPr>
                <w:rFonts w:ascii="Times New Roman" w:hAnsi="Times New Roman" w:eastAsia="Times New Roman"/>
                <w:b w:val="0"/>
                <w:i w:val="0"/>
                <w:sz w:val="18"/>
              </w:rPr>
              <w:t>−0.076 (0.040)*</w:t>
            </w:r>
          </w:p>
        </w:tc>
      </w:tr>
      <w:tr>
        <w:tc>
          <w:tcPr>
            <w:tcW w:type="dxa" w:w="1872"/>
          </w:tcPr>
          <w:p>
            <w:pPr>
              <w:spacing w:before="20" w:after="20"/>
            </w:pPr>
            <w:r/>
            <w:r>
              <w:rPr>
                <w:rFonts w:ascii="Times New Roman" w:hAnsi="Times New Roman" w:eastAsia="Times New Roman"/>
                <w:b w:val="0"/>
                <w:i w:val="0"/>
                <w:sz w:val="18"/>
              </w:rPr>
              <w:t>Dependency ratio</w:t>
            </w:r>
          </w:p>
        </w:tc>
        <w:tc>
          <w:tcPr>
            <w:tcW w:type="dxa" w:w="1872"/>
          </w:tcPr>
          <w:p>
            <w:pPr>
              <w:spacing w:before="20" w:after="20"/>
              <w:jc w:val="center"/>
            </w:pPr>
            <w:r/>
            <w:r>
              <w:rPr>
                <w:rFonts w:ascii="Times New Roman" w:hAnsi="Times New Roman" w:eastAsia="Times New Roman"/>
                <w:b w:val="0"/>
                <w:i w:val="0"/>
                <w:sz w:val="18"/>
              </w:rPr>
              <w:t>0.300 (0.105)**</w:t>
            </w:r>
          </w:p>
        </w:tc>
        <w:tc>
          <w:tcPr>
            <w:tcW w:type="dxa" w:w="1872"/>
          </w:tcPr>
          <w:p>
            <w:pPr>
              <w:spacing w:before="20" w:after="20"/>
              <w:jc w:val="center"/>
            </w:pPr>
            <w:r/>
            <w:r>
              <w:rPr>
                <w:rFonts w:ascii="Times New Roman" w:hAnsi="Times New Roman" w:eastAsia="Times New Roman"/>
                <w:b w:val="0"/>
                <w:i w:val="0"/>
                <w:sz w:val="18"/>
              </w:rPr>
              <w:t>0.036 (0.012)**</w:t>
            </w:r>
          </w:p>
        </w:tc>
        <w:tc>
          <w:tcPr>
            <w:tcW w:type="dxa" w:w="1872"/>
          </w:tcPr>
          <w:p>
            <w:pPr>
              <w:spacing w:before="20" w:after="20"/>
              <w:jc w:val="center"/>
            </w:pPr>
            <w:r/>
            <w:r>
              <w:rPr>
                <w:rFonts w:ascii="Times New Roman" w:hAnsi="Times New Roman" w:eastAsia="Times New Roman"/>
                <w:b w:val="0"/>
                <w:i w:val="0"/>
                <w:sz w:val="18"/>
              </w:rPr>
              <w:t>0.309 (0.103)**</w:t>
            </w:r>
          </w:p>
        </w:tc>
        <w:tc>
          <w:tcPr>
            <w:tcW w:type="dxa" w:w="1872"/>
          </w:tcPr>
          <w:p>
            <w:pPr>
              <w:spacing w:before="20" w:after="20"/>
              <w:jc w:val="center"/>
            </w:pPr>
            <w:r/>
            <w:r>
              <w:rPr>
                <w:rFonts w:ascii="Times New Roman" w:hAnsi="Times New Roman" w:eastAsia="Times New Roman"/>
                <w:b w:val="0"/>
                <w:i w:val="0"/>
                <w:sz w:val="18"/>
              </w:rPr>
              <w:t>0.037 (0.012)**</w:t>
            </w:r>
          </w:p>
        </w:tc>
      </w:tr>
      <w:tr>
        <w:tc>
          <w:tcPr>
            <w:tcW w:type="dxa" w:w="1872"/>
          </w:tcPr>
          <w:p>
            <w:pPr>
              <w:spacing w:before="20" w:after="20"/>
            </w:pPr>
            <w:r/>
            <w:r>
              <w:rPr>
                <w:rFonts w:ascii="Times New Roman" w:hAnsi="Times New Roman" w:eastAsia="Times New Roman"/>
                <w:b w:val="0"/>
                <w:i w:val="0"/>
                <w:sz w:val="18"/>
              </w:rPr>
              <w:t>Non-farm enterprise</w:t>
            </w:r>
          </w:p>
        </w:tc>
        <w:tc>
          <w:tcPr>
            <w:tcW w:type="dxa" w:w="1872"/>
          </w:tcPr>
          <w:p>
            <w:pPr>
              <w:spacing w:before="20" w:after="20"/>
              <w:jc w:val="center"/>
            </w:pPr>
            <w:r/>
            <w:r>
              <w:rPr>
                <w:rFonts w:ascii="Times New Roman" w:hAnsi="Times New Roman" w:eastAsia="Times New Roman"/>
                <w:b w:val="0"/>
                <w:i w:val="0"/>
                <w:sz w:val="18"/>
              </w:rPr>
              <w:t>1.261 (0.293)***</w:t>
            </w:r>
          </w:p>
        </w:tc>
        <w:tc>
          <w:tcPr>
            <w:tcW w:type="dxa" w:w="1872"/>
          </w:tcPr>
          <w:p>
            <w:pPr>
              <w:spacing w:before="20" w:after="20"/>
              <w:jc w:val="center"/>
            </w:pPr>
            <w:r/>
            <w:r>
              <w:rPr>
                <w:rFonts w:ascii="Times New Roman" w:hAnsi="Times New Roman" w:eastAsia="Times New Roman"/>
                <w:b w:val="0"/>
                <w:i w:val="0"/>
                <w:sz w:val="18"/>
              </w:rPr>
              <w:t>0.150 (0.033)***</w:t>
            </w:r>
          </w:p>
        </w:tc>
        <w:tc>
          <w:tcPr>
            <w:tcW w:type="dxa" w:w="1872"/>
          </w:tcPr>
          <w:p>
            <w:pPr>
              <w:spacing w:before="20" w:after="20"/>
              <w:jc w:val="center"/>
            </w:pPr>
            <w:r/>
            <w:r>
              <w:rPr>
                <w:rFonts w:ascii="Times New Roman" w:hAnsi="Times New Roman" w:eastAsia="Times New Roman"/>
                <w:b w:val="0"/>
                <w:i w:val="0"/>
                <w:sz w:val="18"/>
              </w:rPr>
              <w:t>1.233 (0.291)***</w:t>
            </w:r>
          </w:p>
        </w:tc>
        <w:tc>
          <w:tcPr>
            <w:tcW w:type="dxa" w:w="1872"/>
          </w:tcPr>
          <w:p>
            <w:pPr>
              <w:spacing w:before="20" w:after="20"/>
              <w:jc w:val="center"/>
            </w:pPr>
            <w:r/>
            <w:r>
              <w:rPr>
                <w:rFonts w:ascii="Times New Roman" w:hAnsi="Times New Roman" w:eastAsia="Times New Roman"/>
                <w:b w:val="0"/>
                <w:i w:val="0"/>
                <w:sz w:val="18"/>
              </w:rPr>
              <w:t>0.146 (0.033)***</w:t>
            </w:r>
          </w:p>
        </w:tc>
      </w:tr>
      <w:tr>
        <w:tc>
          <w:tcPr>
            <w:tcW w:type="dxa" w:w="1872"/>
          </w:tcPr>
          <w:p>
            <w:pPr>
              <w:spacing w:before="20" w:after="20"/>
            </w:pPr>
            <w:r/>
            <w:r>
              <w:rPr>
                <w:rFonts w:ascii="Times New Roman" w:hAnsi="Times New Roman" w:eastAsia="Times New Roman"/>
                <w:b w:val="0"/>
                <w:i w:val="0"/>
                <w:sz w:val="18"/>
              </w:rPr>
              <w:t>Wealth index</w:t>
            </w:r>
          </w:p>
        </w:tc>
        <w:tc>
          <w:tcPr>
            <w:tcW w:type="dxa" w:w="1872"/>
          </w:tcPr>
          <w:p>
            <w:pPr>
              <w:spacing w:before="20" w:after="20"/>
              <w:jc w:val="center"/>
            </w:pPr>
            <w:r/>
            <w:r>
              <w:rPr>
                <w:rFonts w:ascii="Times New Roman" w:hAnsi="Times New Roman" w:eastAsia="Times New Roman"/>
                <w:b w:val="0"/>
                <w:i w:val="0"/>
                <w:sz w:val="18"/>
              </w:rPr>
              <w:t>−0.387 (0.244)</w:t>
            </w:r>
          </w:p>
        </w:tc>
        <w:tc>
          <w:tcPr>
            <w:tcW w:type="dxa" w:w="1872"/>
          </w:tcPr>
          <w:p>
            <w:pPr>
              <w:spacing w:before="20" w:after="20"/>
              <w:jc w:val="center"/>
            </w:pPr>
            <w:r/>
            <w:r>
              <w:rPr>
                <w:rFonts w:ascii="Times New Roman" w:hAnsi="Times New Roman" w:eastAsia="Times New Roman"/>
                <w:b w:val="0"/>
                <w:i w:val="0"/>
                <w:sz w:val="18"/>
              </w:rPr>
              <w:t>−0.046 (0.030)</w:t>
            </w:r>
          </w:p>
        </w:tc>
        <w:tc>
          <w:tcPr>
            <w:tcW w:type="dxa" w:w="1872"/>
          </w:tcPr>
          <w:p>
            <w:pPr>
              <w:spacing w:before="20" w:after="20"/>
              <w:jc w:val="center"/>
            </w:pPr>
            <w:r/>
            <w:r>
              <w:rPr>
                <w:rFonts w:ascii="Times New Roman" w:hAnsi="Times New Roman" w:eastAsia="Times New Roman"/>
                <w:b w:val="0"/>
                <w:i w:val="0"/>
                <w:sz w:val="18"/>
              </w:rPr>
              <w:t>−0.380 (0.245)</w:t>
            </w:r>
          </w:p>
        </w:tc>
        <w:tc>
          <w:tcPr>
            <w:tcW w:type="dxa" w:w="1872"/>
          </w:tcPr>
          <w:p>
            <w:pPr>
              <w:spacing w:before="20" w:after="20"/>
              <w:jc w:val="center"/>
            </w:pPr>
            <w:r/>
            <w:r>
              <w:rPr>
                <w:rFonts w:ascii="Times New Roman" w:hAnsi="Times New Roman" w:eastAsia="Times New Roman"/>
                <w:b w:val="0"/>
                <w:i w:val="0"/>
                <w:sz w:val="18"/>
              </w:rPr>
              <w:t>−0.045 (0.030)</w:t>
            </w:r>
          </w:p>
        </w:tc>
      </w:tr>
      <w:tr>
        <w:tc>
          <w:tcPr>
            <w:tcW w:type="dxa" w:w="1872"/>
          </w:tcPr>
          <w:p>
            <w:pPr>
              <w:spacing w:before="20" w:after="20"/>
            </w:pPr>
            <w:r/>
            <w:r>
              <w:rPr>
                <w:rFonts w:ascii="Times New Roman" w:hAnsi="Times New Roman" w:eastAsia="Times New Roman"/>
                <w:b w:val="0"/>
                <w:i w:val="0"/>
                <w:sz w:val="18"/>
              </w:rPr>
              <w:t>Drought shock</w:t>
            </w:r>
          </w:p>
        </w:tc>
        <w:tc>
          <w:tcPr>
            <w:tcW w:type="dxa" w:w="1872"/>
          </w:tcPr>
          <w:p>
            <w:pPr>
              <w:spacing w:before="20" w:after="20"/>
              <w:jc w:val="center"/>
            </w:pPr>
            <w:r/>
            <w:r>
              <w:rPr>
                <w:rFonts w:ascii="Times New Roman" w:hAnsi="Times New Roman" w:eastAsia="Times New Roman"/>
                <w:b w:val="0"/>
                <w:i w:val="0"/>
                <w:sz w:val="18"/>
              </w:rPr>
              <w:t>1.030 (0.407)**</w:t>
            </w:r>
          </w:p>
        </w:tc>
        <w:tc>
          <w:tcPr>
            <w:tcW w:type="dxa" w:w="1872"/>
          </w:tcPr>
          <w:p>
            <w:pPr>
              <w:spacing w:before="20" w:after="20"/>
              <w:jc w:val="center"/>
            </w:pPr>
            <w:r/>
            <w:r>
              <w:rPr>
                <w:rFonts w:ascii="Times New Roman" w:hAnsi="Times New Roman" w:eastAsia="Times New Roman"/>
                <w:b w:val="0"/>
                <w:i w:val="0"/>
                <w:sz w:val="18"/>
              </w:rPr>
              <w:t>0.122 (0.048)**</w:t>
            </w:r>
          </w:p>
        </w:tc>
        <w:tc>
          <w:tcPr>
            <w:tcW w:type="dxa" w:w="1872"/>
          </w:tcPr>
          <w:p>
            <w:pPr>
              <w:spacing w:before="20" w:after="20"/>
              <w:jc w:val="center"/>
            </w:pPr>
            <w:r/>
            <w:r>
              <w:rPr>
                <w:rFonts w:ascii="Times New Roman" w:hAnsi="Times New Roman" w:eastAsia="Times New Roman"/>
                <w:b w:val="0"/>
                <w:i w:val="0"/>
                <w:sz w:val="18"/>
              </w:rPr>
              <w:t>1.060 (0.413)**</w:t>
            </w:r>
          </w:p>
        </w:tc>
        <w:tc>
          <w:tcPr>
            <w:tcW w:type="dxa" w:w="1872"/>
          </w:tcPr>
          <w:p>
            <w:pPr>
              <w:spacing w:before="20" w:after="20"/>
              <w:jc w:val="center"/>
            </w:pPr>
            <w:r/>
            <w:r>
              <w:rPr>
                <w:rFonts w:ascii="Times New Roman" w:hAnsi="Times New Roman" w:eastAsia="Times New Roman"/>
                <w:b w:val="0"/>
                <w:i w:val="0"/>
                <w:sz w:val="18"/>
              </w:rPr>
              <w:t>0.126 (0.048)**</w:t>
            </w:r>
          </w:p>
        </w:tc>
      </w:tr>
      <w:tr>
        <w:tc>
          <w:tcPr>
            <w:tcW w:type="dxa" w:w="1872"/>
          </w:tcPr>
          <w:p>
            <w:pPr>
              <w:spacing w:before="20" w:after="20"/>
            </w:pPr>
            <w:r/>
            <w:r>
              <w:rPr>
                <w:rFonts w:ascii="Times New Roman" w:hAnsi="Times New Roman" w:eastAsia="Times New Roman"/>
                <w:b w:val="0"/>
                <w:i w:val="0"/>
                <w:sz w:val="18"/>
              </w:rPr>
              <w:t>N</w:t>
            </w:r>
          </w:p>
        </w:tc>
        <w:tc>
          <w:tcPr>
            <w:tcW w:type="dxa" w:w="1872"/>
          </w:tcPr>
          <w:p>
            <w:pPr>
              <w:spacing w:before="20" w:after="20"/>
              <w:jc w:val="center"/>
            </w:pPr>
            <w:r/>
            <w:r>
              <w:rPr>
                <w:rFonts w:ascii="Times New Roman" w:hAnsi="Times New Roman" w:eastAsia="Times New Roman"/>
                <w:b w:val="0"/>
                <w:i w:val="0"/>
                <w:sz w:val="18"/>
              </w:rPr>
              <w:t>1,809</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t>1,809</w:t>
            </w:r>
          </w:p>
        </w:tc>
        <w:tc>
          <w:tcPr>
            <w:tcW w:type="dxa" w:w="1872"/>
          </w:tcPr>
          <w:p>
            <w:pPr>
              <w:spacing w:before="20" w:after="20"/>
              <w:jc w:val="center"/>
            </w:pPr>
            <w:r/>
            <w:r>
              <w:rPr>
                <w:rFonts w:ascii="Times New Roman" w:hAnsi="Times New Roman" w:eastAsia="Times New Roman"/>
                <w:b w:val="0"/>
                <w:i w:val="0"/>
                <w:sz w:val="18"/>
              </w:rPr>
            </w:r>
          </w:p>
        </w:tc>
      </w:tr>
      <w:tr>
        <w:tc>
          <w:tcPr>
            <w:tcW w:type="dxa" w:w="1872"/>
          </w:tcPr>
          <w:p>
            <w:pPr>
              <w:spacing w:before="20" w:after="20"/>
            </w:pPr>
            <w:r/>
            <w:r>
              <w:rPr>
                <w:rFonts w:ascii="Times New Roman" w:hAnsi="Times New Roman" w:eastAsia="Times New Roman"/>
                <w:b w:val="0"/>
                <w:i w:val="0"/>
                <w:sz w:val="18"/>
              </w:rPr>
              <w:t>Wald sole = joint</w:t>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r>
          </w:p>
        </w:tc>
        <w:tc>
          <w:tcPr>
            <w:tcW w:type="dxa" w:w="1872"/>
          </w:tcPr>
          <w:p>
            <w:pPr>
              <w:spacing w:before="20" w:after="20"/>
              <w:jc w:val="center"/>
            </w:pPr>
            <w:r/>
            <w:r>
              <w:rPr>
                <w:rFonts w:ascii="Times New Roman" w:hAnsi="Times New Roman" w:eastAsia="Times New Roman"/>
                <w:b w:val="0"/>
                <w:i w:val="0"/>
                <w:sz w:val="18"/>
              </w:rPr>
              <w:t>F = 2.51, p = 0.114</w:t>
            </w:r>
          </w:p>
        </w:tc>
        <w:tc>
          <w:tcPr>
            <w:tcW w:type="dxa" w:w="1872"/>
          </w:tcPr>
          <w:p>
            <w:pPr>
              <w:spacing w:before="20" w:after="20"/>
              <w:jc w:val="center"/>
            </w:pPr>
            <w:r/>
            <w:r>
              <w:rPr>
                <w:rFonts w:ascii="Times New Roman" w:hAnsi="Times New Roman" w:eastAsia="Times New Roman"/>
                <w:b w:val="0"/>
                <w:i w:val="0"/>
                <w:sz w:val="18"/>
              </w:rPr>
            </w:r>
          </w:p>
        </w:tc>
      </w:tr>
    </w:tbl>
    <w:p>
      <w:pPr>
        <w:spacing w:before="40" w:after="160"/>
        <w:ind w:firstLine="0"/>
      </w:pPr>
    </w:p>
    <w:p>
      <w:pPr>
        <w:spacing w:before="280" w:after="120"/>
        <w:ind w:firstLine="0"/>
      </w:pPr>
      <w:r>
        <w:rPr>
          <w:rFonts w:ascii="Times New Roman" w:hAnsi="Times New Roman" w:eastAsia="Times New Roman"/>
          <w:b/>
          <w:i w:val="0"/>
          <w:sz w:val="28"/>
        </w:rPr>
        <w:t>6. Previous versus new: do the numbers match?</w:t>
      </w:r>
    </w:p>
    <w:p>
      <w:pPr>
        <w:spacing w:after="160" w:before="0" w:line="276" w:lineRule="auto"/>
        <w:ind w:firstLine="432"/>
      </w:pPr>
      <w:r>
        <w:rPr>
          <w:rFonts w:ascii="Times New Roman" w:hAnsi="Times New Roman" w:eastAsia="Times New Roman"/>
          <w:b w:val="0"/>
          <w:i w:val="0"/>
          <w:sz w:val="22"/>
        </w:rPr>
        <w:t>Table 7 puts the ownership coefficients from the two designs next to each other. This is the comparison printed at the end of the Stata log (estimates table). Both columns use the same 1,809 households.</w:t>
      </w:r>
    </w:p>
    <w:p>
      <w:pPr>
        <w:spacing w:before="200" w:after="80"/>
        <w:ind w:firstLine="0"/>
      </w:pPr>
      <w:r>
        <w:rPr>
          <w:rFonts w:ascii="Times New Roman" w:hAnsi="Times New Roman" w:eastAsia="Times New Roman"/>
          <w:b/>
          <w:i/>
          <w:sz w:val="20"/>
        </w:rPr>
        <w:t>Table 7. Ownership coefficients, previous versus new. Same N = 1,809. Previous OLS also includes married. Stars follow the Stata estimates-table legend in the log (* p&lt;0.05, ** p&lt;0.01), except the new moderate/severe any-female logit, which is p = 0.095.</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Outcome and regressor</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Previous (robust)</w:t>
            </w:r>
          </w:p>
        </w:tc>
        <w:tc>
          <w:tcPr>
            <w:tcW w:type="dxa" w:w="3120"/>
            <w:shd w:fill="1F4E79" w:val="clear"/>
          </w:tcPr>
          <w:p>
            <w:pPr>
              <w:spacing w:before="20" w:after="20"/>
              <w:jc w:val="center"/>
            </w:pPr>
            <w:r>
              <w:rPr>
                <w:b/>
                <w:color w:val="FFFFFF"/>
              </w:rPr>
            </w:r>
            <w:r>
              <w:rPr>
                <w:rFonts w:ascii="Times New Roman" w:hAnsi="Times New Roman" w:eastAsia="Times New Roman"/>
                <w:b/>
                <w:i w:val="0"/>
                <w:color w:val="FFFFFF"/>
                <w:sz w:val="18"/>
              </w:rPr>
              <w:t>New (survey)</w:t>
            </w:r>
          </w:p>
        </w:tc>
      </w:tr>
      <w:tr>
        <w:tc>
          <w:tcPr>
            <w:tcW w:type="dxa" w:w="3120"/>
          </w:tcPr>
          <w:p>
            <w:pPr>
              <w:spacing w:before="20" w:after="20"/>
            </w:pPr>
            <w:r/>
            <w:r>
              <w:rPr>
                <w:rFonts w:ascii="Times New Roman" w:hAnsi="Times New Roman" w:eastAsia="Times New Roman"/>
                <w:b w:val="0"/>
                <w:i w:val="0"/>
                <w:sz w:val="18"/>
              </w:rPr>
              <w:t>FIES score, any female</w:t>
            </w:r>
          </w:p>
        </w:tc>
        <w:tc>
          <w:tcPr>
            <w:tcW w:type="dxa" w:w="3120"/>
          </w:tcPr>
          <w:p>
            <w:pPr>
              <w:spacing w:before="20" w:after="20"/>
              <w:jc w:val="center"/>
            </w:pPr>
            <w:r/>
            <w:r>
              <w:rPr>
                <w:rFonts w:ascii="Times New Roman" w:hAnsi="Times New Roman" w:eastAsia="Times New Roman"/>
                <w:b w:val="0"/>
                <w:i w:val="0"/>
                <w:sz w:val="18"/>
              </w:rPr>
              <w:t>−0.344 (0.130)**</w:t>
            </w:r>
          </w:p>
        </w:tc>
        <w:tc>
          <w:tcPr>
            <w:tcW w:type="dxa" w:w="3120"/>
          </w:tcPr>
          <w:p>
            <w:pPr>
              <w:spacing w:before="20" w:after="20"/>
              <w:jc w:val="center"/>
            </w:pPr>
            <w:r/>
            <w:r>
              <w:rPr>
                <w:rFonts w:ascii="Times New Roman" w:hAnsi="Times New Roman" w:eastAsia="Times New Roman"/>
                <w:b w:val="0"/>
                <w:i w:val="0"/>
                <w:sz w:val="18"/>
              </w:rPr>
              <w:t>−0.611 (0.295)**</w:t>
            </w:r>
          </w:p>
        </w:tc>
      </w:tr>
      <w:tr>
        <w:tc>
          <w:tcPr>
            <w:tcW w:type="dxa" w:w="3120"/>
          </w:tcPr>
          <w:p>
            <w:pPr>
              <w:spacing w:before="20" w:after="20"/>
            </w:pPr>
            <w:r/>
            <w:r>
              <w:rPr>
                <w:rFonts w:ascii="Times New Roman" w:hAnsi="Times New Roman" w:eastAsia="Times New Roman"/>
                <w:b w:val="0"/>
                <w:i w:val="0"/>
                <w:sz w:val="18"/>
              </w:rPr>
              <w:t>FIES score, sole female</w:t>
            </w:r>
          </w:p>
        </w:tc>
        <w:tc>
          <w:tcPr>
            <w:tcW w:type="dxa" w:w="3120"/>
          </w:tcPr>
          <w:p>
            <w:pPr>
              <w:spacing w:before="20" w:after="20"/>
              <w:jc w:val="center"/>
            </w:pPr>
            <w:r/>
            <w:r>
              <w:rPr>
                <w:rFonts w:ascii="Times New Roman" w:hAnsi="Times New Roman" w:eastAsia="Times New Roman"/>
                <w:b w:val="0"/>
                <w:i w:val="0"/>
                <w:sz w:val="18"/>
              </w:rPr>
              <w:t>−0.026 (0.260)</w:t>
            </w:r>
          </w:p>
        </w:tc>
        <w:tc>
          <w:tcPr>
            <w:tcW w:type="dxa" w:w="3120"/>
          </w:tcPr>
          <w:p>
            <w:pPr>
              <w:spacing w:before="20" w:after="20"/>
              <w:jc w:val="center"/>
            </w:pPr>
            <w:r/>
            <w:r>
              <w:rPr>
                <w:rFonts w:ascii="Times New Roman" w:hAnsi="Times New Roman" w:eastAsia="Times New Roman"/>
                <w:b w:val="0"/>
                <w:i w:val="0"/>
                <w:sz w:val="18"/>
              </w:rPr>
              <w:t>−0.414 (0.497)</w:t>
            </w:r>
          </w:p>
        </w:tc>
      </w:tr>
      <w:tr>
        <w:tc>
          <w:tcPr>
            <w:tcW w:type="dxa" w:w="3120"/>
          </w:tcPr>
          <w:p>
            <w:pPr>
              <w:spacing w:before="20" w:after="20"/>
            </w:pPr>
            <w:r/>
            <w:r>
              <w:rPr>
                <w:rFonts w:ascii="Times New Roman" w:hAnsi="Times New Roman" w:eastAsia="Times New Roman"/>
                <w:b w:val="0"/>
                <w:i w:val="0"/>
                <w:sz w:val="18"/>
              </w:rPr>
              <w:t>FIES score, joint</w:t>
            </w:r>
          </w:p>
        </w:tc>
        <w:tc>
          <w:tcPr>
            <w:tcW w:type="dxa" w:w="3120"/>
          </w:tcPr>
          <w:p>
            <w:pPr>
              <w:spacing w:before="20" w:after="20"/>
              <w:jc w:val="center"/>
            </w:pPr>
            <w:r/>
            <w:r>
              <w:rPr>
                <w:rFonts w:ascii="Times New Roman" w:hAnsi="Times New Roman" w:eastAsia="Times New Roman"/>
                <w:b w:val="0"/>
                <w:i w:val="0"/>
                <w:sz w:val="18"/>
              </w:rPr>
              <w:t>−0.422 (0.136)**</w:t>
            </w:r>
          </w:p>
        </w:tc>
        <w:tc>
          <w:tcPr>
            <w:tcW w:type="dxa" w:w="3120"/>
          </w:tcPr>
          <w:p>
            <w:pPr>
              <w:spacing w:before="20" w:after="20"/>
              <w:jc w:val="center"/>
            </w:pPr>
            <w:r/>
            <w:r>
              <w:rPr>
                <w:rFonts w:ascii="Times New Roman" w:hAnsi="Times New Roman" w:eastAsia="Times New Roman"/>
                <w:b w:val="0"/>
                <w:i w:val="0"/>
                <w:sz w:val="18"/>
              </w:rPr>
              <w:t>−0.641 (0.299)**</w:t>
            </w:r>
          </w:p>
        </w:tc>
      </w:tr>
      <w:tr>
        <w:tc>
          <w:tcPr>
            <w:tcW w:type="dxa" w:w="3120"/>
          </w:tcPr>
          <w:p>
            <w:pPr>
              <w:spacing w:before="20" w:after="20"/>
            </w:pPr>
            <w:r/>
            <w:r>
              <w:rPr>
                <w:rFonts w:ascii="Times New Roman" w:hAnsi="Times New Roman" w:eastAsia="Times New Roman"/>
                <w:b w:val="0"/>
                <w:i w:val="0"/>
                <w:sz w:val="18"/>
              </w:rPr>
              <w:t>Mod./sev. FI, any female</w:t>
            </w:r>
          </w:p>
        </w:tc>
        <w:tc>
          <w:tcPr>
            <w:tcW w:type="dxa" w:w="3120"/>
          </w:tcPr>
          <w:p>
            <w:pPr>
              <w:spacing w:before="20" w:after="20"/>
              <w:jc w:val="center"/>
            </w:pPr>
            <w:r/>
            <w:r>
              <w:rPr>
                <w:rFonts w:ascii="Times New Roman" w:hAnsi="Times New Roman" w:eastAsia="Times New Roman"/>
                <w:b w:val="0"/>
                <w:i w:val="0"/>
                <w:sz w:val="18"/>
              </w:rPr>
              <w:t>−0.355 (0.121)**</w:t>
            </w:r>
          </w:p>
        </w:tc>
        <w:tc>
          <w:tcPr>
            <w:tcW w:type="dxa" w:w="3120"/>
          </w:tcPr>
          <w:p>
            <w:pPr>
              <w:spacing w:before="20" w:after="20"/>
              <w:jc w:val="center"/>
            </w:pPr>
            <w:r/>
            <w:r>
              <w:rPr>
                <w:rFonts w:ascii="Times New Roman" w:hAnsi="Times New Roman" w:eastAsia="Times New Roman"/>
                <w:b w:val="0"/>
                <w:i w:val="0"/>
                <w:sz w:val="18"/>
              </w:rPr>
              <w:t>−0.407 (0.242)*</w:t>
            </w:r>
          </w:p>
        </w:tc>
      </w:tr>
      <w:tr>
        <w:tc>
          <w:tcPr>
            <w:tcW w:type="dxa" w:w="3120"/>
          </w:tcPr>
          <w:p>
            <w:pPr>
              <w:spacing w:before="20" w:after="20"/>
            </w:pPr>
            <w:r/>
            <w:r>
              <w:rPr>
                <w:rFonts w:ascii="Times New Roman" w:hAnsi="Times New Roman" w:eastAsia="Times New Roman"/>
                <w:b w:val="0"/>
                <w:i w:val="0"/>
                <w:sz w:val="18"/>
              </w:rPr>
              <w:t>Mod./sev. FI, sole female</w:t>
            </w:r>
          </w:p>
        </w:tc>
        <w:tc>
          <w:tcPr>
            <w:tcW w:type="dxa" w:w="3120"/>
          </w:tcPr>
          <w:p>
            <w:pPr>
              <w:spacing w:before="20" w:after="20"/>
              <w:jc w:val="center"/>
            </w:pPr>
            <w:r/>
            <w:r>
              <w:rPr>
                <w:rFonts w:ascii="Times New Roman" w:hAnsi="Times New Roman" w:eastAsia="Times New Roman"/>
                <w:b w:val="0"/>
                <w:i w:val="0"/>
                <w:sz w:val="18"/>
              </w:rPr>
              <w:t>−0.077 (0.224)</w:t>
            </w:r>
          </w:p>
        </w:tc>
        <w:tc>
          <w:tcPr>
            <w:tcW w:type="dxa" w:w="3120"/>
          </w:tcPr>
          <w:p>
            <w:pPr>
              <w:spacing w:before="20" w:after="20"/>
              <w:jc w:val="center"/>
            </w:pPr>
            <w:r/>
            <w:r>
              <w:rPr>
                <w:rFonts w:ascii="Times New Roman" w:hAnsi="Times New Roman" w:eastAsia="Times New Roman"/>
                <w:b w:val="0"/>
                <w:i w:val="0"/>
                <w:sz w:val="18"/>
              </w:rPr>
              <w:t>−0.349 (0.423)</w:t>
            </w:r>
          </w:p>
        </w:tc>
      </w:tr>
      <w:tr>
        <w:tc>
          <w:tcPr>
            <w:tcW w:type="dxa" w:w="3120"/>
          </w:tcPr>
          <w:p>
            <w:pPr>
              <w:spacing w:before="20" w:after="20"/>
            </w:pPr>
            <w:r/>
            <w:r>
              <w:rPr>
                <w:rFonts w:ascii="Times New Roman" w:hAnsi="Times New Roman" w:eastAsia="Times New Roman"/>
                <w:b w:val="0"/>
                <w:i w:val="0"/>
                <w:sz w:val="18"/>
              </w:rPr>
              <w:t>Mod./sev. FI, joint</w:t>
            </w:r>
          </w:p>
        </w:tc>
        <w:tc>
          <w:tcPr>
            <w:tcW w:type="dxa" w:w="3120"/>
          </w:tcPr>
          <w:p>
            <w:pPr>
              <w:spacing w:before="20" w:after="20"/>
              <w:jc w:val="center"/>
            </w:pPr>
            <w:r/>
            <w:r>
              <w:rPr>
                <w:rFonts w:ascii="Times New Roman" w:hAnsi="Times New Roman" w:eastAsia="Times New Roman"/>
                <w:b w:val="0"/>
                <w:i w:val="0"/>
                <w:sz w:val="18"/>
              </w:rPr>
              <w:t>−0.427 (0.131)**</w:t>
            </w:r>
          </w:p>
        </w:tc>
        <w:tc>
          <w:tcPr>
            <w:tcW w:type="dxa" w:w="3120"/>
          </w:tcPr>
          <w:p>
            <w:pPr>
              <w:spacing w:before="20" w:after="20"/>
              <w:jc w:val="center"/>
            </w:pPr>
            <w:r/>
            <w:r>
              <w:rPr>
                <w:rFonts w:ascii="Times New Roman" w:hAnsi="Times New Roman" w:eastAsia="Times New Roman"/>
                <w:b w:val="0"/>
                <w:i w:val="0"/>
                <w:sz w:val="18"/>
              </w:rPr>
              <w:t>−0.415 (0.246)*</w:t>
            </w:r>
          </w:p>
        </w:tc>
      </w:tr>
      <w:tr>
        <w:tc>
          <w:tcPr>
            <w:tcW w:type="dxa" w:w="3120"/>
          </w:tcPr>
          <w:p>
            <w:pPr>
              <w:spacing w:before="20" w:after="20"/>
            </w:pPr>
            <w:r/>
            <w:r>
              <w:rPr>
                <w:rFonts w:ascii="Times New Roman" w:hAnsi="Times New Roman" w:eastAsia="Times New Roman"/>
                <w:b w:val="0"/>
                <w:i w:val="0"/>
                <w:sz w:val="18"/>
              </w:rPr>
              <w:t>Severe FI, any female</w:t>
            </w:r>
          </w:p>
        </w:tc>
        <w:tc>
          <w:tcPr>
            <w:tcW w:type="dxa" w:w="3120"/>
          </w:tcPr>
          <w:p>
            <w:pPr>
              <w:spacing w:before="20" w:after="20"/>
              <w:jc w:val="center"/>
            </w:pPr>
            <w:r/>
            <w:r>
              <w:rPr>
                <w:rFonts w:ascii="Times New Roman" w:hAnsi="Times New Roman" w:eastAsia="Times New Roman"/>
                <w:b w:val="0"/>
                <w:i w:val="0"/>
                <w:sz w:val="18"/>
              </w:rPr>
              <w:t>−0.499 (0.181)**</w:t>
            </w:r>
          </w:p>
        </w:tc>
        <w:tc>
          <w:tcPr>
            <w:tcW w:type="dxa" w:w="3120"/>
          </w:tcPr>
          <w:p>
            <w:pPr>
              <w:spacing w:before="20" w:after="20"/>
              <w:jc w:val="center"/>
            </w:pPr>
            <w:r/>
            <w:r>
              <w:rPr>
                <w:rFonts w:ascii="Times New Roman" w:hAnsi="Times New Roman" w:eastAsia="Times New Roman"/>
                <w:b w:val="0"/>
                <w:i w:val="0"/>
                <w:sz w:val="18"/>
              </w:rPr>
              <w:t>−0.579 (0.277)**</w:t>
            </w:r>
          </w:p>
        </w:tc>
      </w:tr>
      <w:tr>
        <w:tc>
          <w:tcPr>
            <w:tcW w:type="dxa" w:w="3120"/>
          </w:tcPr>
          <w:p>
            <w:pPr>
              <w:spacing w:before="20" w:after="20"/>
            </w:pPr>
            <w:r/>
            <w:r>
              <w:rPr>
                <w:rFonts w:ascii="Times New Roman" w:hAnsi="Times New Roman" w:eastAsia="Times New Roman"/>
                <w:b w:val="0"/>
                <w:i w:val="0"/>
                <w:sz w:val="18"/>
              </w:rPr>
              <w:t>Severe FI, sole female</w:t>
            </w:r>
          </w:p>
        </w:tc>
        <w:tc>
          <w:tcPr>
            <w:tcW w:type="dxa" w:w="3120"/>
          </w:tcPr>
          <w:p>
            <w:pPr>
              <w:spacing w:before="20" w:after="20"/>
              <w:jc w:val="center"/>
            </w:pPr>
            <w:r/>
            <w:r>
              <w:rPr>
                <w:rFonts w:ascii="Times New Roman" w:hAnsi="Times New Roman" w:eastAsia="Times New Roman"/>
                <w:b w:val="0"/>
                <w:i w:val="0"/>
                <w:sz w:val="18"/>
              </w:rPr>
              <w:t>−0.186 (0.276)</w:t>
            </w:r>
          </w:p>
        </w:tc>
        <w:tc>
          <w:tcPr>
            <w:tcW w:type="dxa" w:w="3120"/>
          </w:tcPr>
          <w:p>
            <w:pPr>
              <w:spacing w:before="20" w:after="20"/>
              <w:jc w:val="center"/>
            </w:pPr>
            <w:r/>
            <w:r>
              <w:rPr>
                <w:rFonts w:ascii="Times New Roman" w:hAnsi="Times New Roman" w:eastAsia="Times New Roman"/>
                <w:b w:val="0"/>
                <w:i w:val="0"/>
                <w:sz w:val="18"/>
              </w:rPr>
              <w:t>−0.076 (0.378)</w:t>
            </w:r>
          </w:p>
        </w:tc>
      </w:tr>
      <w:tr>
        <w:tc>
          <w:tcPr>
            <w:tcW w:type="dxa" w:w="3120"/>
          </w:tcPr>
          <w:p>
            <w:pPr>
              <w:spacing w:before="20" w:after="20"/>
            </w:pPr>
            <w:r/>
            <w:r>
              <w:rPr>
                <w:rFonts w:ascii="Times New Roman" w:hAnsi="Times New Roman" w:eastAsia="Times New Roman"/>
                <w:b w:val="0"/>
                <w:i w:val="0"/>
                <w:sz w:val="18"/>
              </w:rPr>
              <w:t>Severe FI, joint</w:t>
            </w:r>
          </w:p>
        </w:tc>
        <w:tc>
          <w:tcPr>
            <w:tcW w:type="dxa" w:w="3120"/>
          </w:tcPr>
          <w:p>
            <w:pPr>
              <w:spacing w:before="20" w:after="20"/>
              <w:jc w:val="center"/>
            </w:pPr>
            <w:r/>
            <w:r>
              <w:rPr>
                <w:rFonts w:ascii="Times New Roman" w:hAnsi="Times New Roman" w:eastAsia="Times New Roman"/>
                <w:b w:val="0"/>
                <w:i w:val="0"/>
                <w:sz w:val="18"/>
              </w:rPr>
              <w:t>−0.613 (0.208)**</w:t>
            </w:r>
          </w:p>
        </w:tc>
        <w:tc>
          <w:tcPr>
            <w:tcW w:type="dxa" w:w="3120"/>
          </w:tcPr>
          <w:p>
            <w:pPr>
              <w:spacing w:before="20" w:after="20"/>
              <w:jc w:val="center"/>
            </w:pPr>
            <w:r/>
            <w:r>
              <w:rPr>
                <w:rFonts w:ascii="Times New Roman" w:hAnsi="Times New Roman" w:eastAsia="Times New Roman"/>
                <w:b w:val="0"/>
                <w:i w:val="0"/>
                <w:sz w:val="18"/>
              </w:rPr>
              <w:t>−0.704 (0.304)**</w:t>
            </w:r>
          </w:p>
        </w:tc>
      </w:tr>
      <w:tr>
        <w:tc>
          <w:tcPr>
            <w:tcW w:type="dxa" w:w="3120"/>
          </w:tcPr>
          <w:p>
            <w:pPr>
              <w:spacing w:before="20" w:after="20"/>
            </w:pPr>
            <w:r/>
            <w:r>
              <w:rPr>
                <w:rFonts w:ascii="Times New Roman" w:hAnsi="Times New Roman" w:eastAsia="Times New Roman"/>
                <w:b w:val="0"/>
                <w:i w:val="0"/>
                <w:sz w:val="18"/>
              </w:rPr>
              <w:t>Wald p, FIES score</w:t>
            </w:r>
          </w:p>
        </w:tc>
        <w:tc>
          <w:tcPr>
            <w:tcW w:type="dxa" w:w="3120"/>
          </w:tcPr>
          <w:p>
            <w:pPr>
              <w:spacing w:before="20" w:after="20"/>
              <w:jc w:val="center"/>
            </w:pPr>
            <w:r/>
            <w:r>
              <w:rPr>
                <w:rFonts w:ascii="Times New Roman" w:hAnsi="Times New Roman" w:eastAsia="Times New Roman"/>
                <w:b w:val="0"/>
                <w:i w:val="0"/>
                <w:sz w:val="18"/>
              </w:rPr>
              <w:t>0.135</w:t>
            </w:r>
          </w:p>
        </w:tc>
        <w:tc>
          <w:tcPr>
            <w:tcW w:type="dxa" w:w="3120"/>
          </w:tcPr>
          <w:p>
            <w:pPr>
              <w:spacing w:before="20" w:after="20"/>
              <w:jc w:val="center"/>
            </w:pPr>
            <w:r/>
            <w:r>
              <w:rPr>
                <w:rFonts w:ascii="Times New Roman" w:hAnsi="Times New Roman" w:eastAsia="Times New Roman"/>
                <w:b w:val="0"/>
                <w:i w:val="0"/>
                <w:sz w:val="18"/>
              </w:rPr>
              <w:t>0.615</w:t>
            </w:r>
          </w:p>
        </w:tc>
      </w:tr>
      <w:tr>
        <w:tc>
          <w:tcPr>
            <w:tcW w:type="dxa" w:w="3120"/>
          </w:tcPr>
          <w:p>
            <w:pPr>
              <w:spacing w:before="20" w:after="20"/>
            </w:pPr>
            <w:r/>
            <w:r>
              <w:rPr>
                <w:rFonts w:ascii="Times New Roman" w:hAnsi="Times New Roman" w:eastAsia="Times New Roman"/>
                <w:b w:val="0"/>
                <w:i w:val="0"/>
                <w:sz w:val="18"/>
              </w:rPr>
              <w:t>Wald p, mod./sev. FI</w:t>
            </w:r>
          </w:p>
        </w:tc>
        <w:tc>
          <w:tcPr>
            <w:tcW w:type="dxa" w:w="3120"/>
          </w:tcPr>
          <w:p>
            <w:pPr>
              <w:spacing w:before="20" w:after="20"/>
              <w:jc w:val="center"/>
            </w:pPr>
            <w:r/>
            <w:r>
              <w:rPr>
                <w:rFonts w:ascii="Times New Roman" w:hAnsi="Times New Roman" w:eastAsia="Times New Roman"/>
                <w:b w:val="0"/>
                <w:i w:val="0"/>
                <w:sz w:val="18"/>
              </w:rPr>
              <w:t>0.137</w:t>
            </w:r>
          </w:p>
        </w:tc>
        <w:tc>
          <w:tcPr>
            <w:tcW w:type="dxa" w:w="3120"/>
          </w:tcPr>
          <w:p>
            <w:pPr>
              <w:spacing w:before="20" w:after="20"/>
              <w:jc w:val="center"/>
            </w:pPr>
            <w:r/>
            <w:r>
              <w:rPr>
                <w:rFonts w:ascii="Times New Roman" w:hAnsi="Times New Roman" w:eastAsia="Times New Roman"/>
                <w:b w:val="0"/>
                <w:i w:val="0"/>
                <w:sz w:val="18"/>
              </w:rPr>
              <w:t>0.866</w:t>
            </w:r>
          </w:p>
        </w:tc>
      </w:tr>
      <w:tr>
        <w:tc>
          <w:tcPr>
            <w:tcW w:type="dxa" w:w="3120"/>
          </w:tcPr>
          <w:p>
            <w:pPr>
              <w:spacing w:before="20" w:after="20"/>
            </w:pPr>
            <w:r/>
            <w:r>
              <w:rPr>
                <w:rFonts w:ascii="Times New Roman" w:hAnsi="Times New Roman" w:eastAsia="Times New Roman"/>
                <w:b w:val="0"/>
                <w:i w:val="0"/>
                <w:sz w:val="18"/>
              </w:rPr>
              <w:t>Wald p, severe FI</w:t>
            </w:r>
          </w:p>
        </w:tc>
        <w:tc>
          <w:tcPr>
            <w:tcW w:type="dxa" w:w="3120"/>
          </w:tcPr>
          <w:p>
            <w:pPr>
              <w:spacing w:before="20" w:after="20"/>
              <w:jc w:val="center"/>
            </w:pPr>
            <w:r/>
            <w:r>
              <w:rPr>
                <w:rFonts w:ascii="Times New Roman" w:hAnsi="Times New Roman" w:eastAsia="Times New Roman"/>
                <w:b w:val="0"/>
                <w:i w:val="0"/>
                <w:sz w:val="18"/>
              </w:rPr>
              <w:t>0.164</w:t>
            </w:r>
          </w:p>
        </w:tc>
        <w:tc>
          <w:tcPr>
            <w:tcW w:type="dxa" w:w="3120"/>
          </w:tcPr>
          <w:p>
            <w:pPr>
              <w:spacing w:before="20" w:after="20"/>
              <w:jc w:val="center"/>
            </w:pPr>
            <w:r/>
            <w:r>
              <w:rPr>
                <w:rFonts w:ascii="Times New Roman" w:hAnsi="Times New Roman" w:eastAsia="Times New Roman"/>
                <w:b w:val="0"/>
                <w:i w:val="0"/>
                <w:sz w:val="18"/>
              </w:rPr>
              <w:t>0.114</w:t>
            </w:r>
          </w:p>
        </w:tc>
      </w:tr>
    </w:tbl>
    <w:p>
      <w:pPr>
        <w:spacing w:before="40" w:after="160"/>
        <w:ind w:firstLine="0"/>
      </w:pPr>
    </w:p>
    <w:p>
      <w:pPr>
        <w:spacing w:after="160" w:before="0" w:line="276" w:lineRule="auto"/>
        <w:ind w:firstLine="432"/>
      </w:pPr>
      <w:r>
        <w:rPr>
          <w:rFonts w:ascii="Times New Roman" w:hAnsi="Times New Roman" w:eastAsia="Times New Roman"/>
          <w:b w:val="0"/>
          <w:i w:val="0"/>
          <w:sz w:val="22"/>
        </w:rPr>
        <w:t>The previous column is the specification in female landowner analysis.do. It should match an older robust-SE table on this sample. It will not match a table estimated after additional inner merges (agricultural practices, improved seed) that shrink the sample further. The new column should match the R survey results already produced from the same files (any-female FIES score −0.611, moderate/severe logit −0.407, severe logit −0.579).</w:t>
      </w:r>
    </w:p>
    <w:p>
      <w:pPr>
        <w:spacing w:after="160" w:before="0" w:line="276" w:lineRule="auto"/>
        <w:ind w:firstLine="432"/>
      </w:pPr>
      <w:r>
        <w:rPr>
          <w:rFonts w:ascii="Times New Roman" w:hAnsi="Times New Roman" w:eastAsia="Times New Roman"/>
          <w:b w:val="0"/>
          <w:i w:val="0"/>
          <w:sz w:val="22"/>
        </w:rPr>
        <w:t>Two things change when the survey design is imposed. First, coefficients shift because pw_w5 is not uniform: the FIES-score association moves from −0.34 to −0.61. Second, standard errors rise because clustering on the enumeration area recognizes intra-cluster correlation. The moderate or severe food-insecurity logit is the most affected: it is significant at 1 percent without clustering and only at 10 percent with it. Signs stay negative. Joint ownership remains the precisely estimated piece. Sole female ownership is never significant. No Wald test rejects equality of sole and joint, so the paper should report Specification A.</w:t>
      </w:r>
    </w:p>
    <w:p>
      <w:pPr>
        <w:spacing w:before="280" w:after="120"/>
        <w:ind w:firstLine="0"/>
      </w:pPr>
      <w:r>
        <w:rPr>
          <w:rFonts w:ascii="Times New Roman" w:hAnsi="Times New Roman" w:eastAsia="Times New Roman"/>
          <w:b/>
          <w:i w:val="0"/>
          <w:sz w:val="28"/>
        </w:rPr>
        <w:t>7. Other covariates in the new design</w:t>
      </w:r>
    </w:p>
    <w:p>
      <w:pPr>
        <w:spacing w:after="160" w:before="0" w:line="276" w:lineRule="auto"/>
        <w:ind w:firstLine="432"/>
      </w:pPr>
      <w:r>
        <w:rPr>
          <w:rFonts w:ascii="Times New Roman" w:hAnsi="Times New Roman" w:eastAsia="Times New Roman"/>
          <w:b w:val="0"/>
          <w:i w:val="0"/>
          <w:sz w:val="22"/>
        </w:rPr>
        <w:t>In the survey-weighted models, a higher dependency ratio and a drought shock are associated with more food insecurity on all three outcomes. The wealth index is associated with a lower FIES score and, at the 10 percent level, a lower probability of moderate or severe food insecurity. A male household head is associated with a lower FIES score and a lower probability of severe food insecurity. Non-farm enterprise is not associated with the FIES score or moderate food insecurity, but it is strongly associated with a higher probability of severe food insecurity (AME about 15 percentage points). That last result is unexpected and should be treated as a residual correlation in this selected crop-holding sample, not as a structural effect of enterprise ownership. SFI, which was strongly protective in the unweighted models, is indistinguishable from zero once weights and clustering are used. Oromia and SNNP have higher FIES and higher moderate-food-insecurity probabilities than Afar. Gambela has a lower probability of severe food insecurity.</w:t>
      </w:r>
    </w:p>
    <w:p>
      <w:pPr>
        <w:spacing w:before="280" w:after="120"/>
        <w:ind w:firstLine="0"/>
      </w:pPr>
      <w:r>
        <w:rPr>
          <w:rFonts w:ascii="Times New Roman" w:hAnsi="Times New Roman" w:eastAsia="Times New Roman"/>
          <w:b/>
          <w:i w:val="0"/>
          <w:sz w:val="28"/>
        </w:rPr>
        <w:t>8. What to report</w:t>
      </w:r>
    </w:p>
    <w:p>
      <w:pPr>
        <w:spacing w:after="160" w:before="0" w:line="276" w:lineRule="auto"/>
        <w:ind w:firstLine="432"/>
      </w:pPr>
      <w:r>
        <w:rPr>
          <w:rFonts w:ascii="Times New Roman" w:hAnsi="Times New Roman" w:eastAsia="Times New Roman"/>
          <w:b w:val="0"/>
          <w:i w:val="0"/>
          <w:sz w:val="22"/>
        </w:rPr>
        <w:t>The formal test answers the sole-versus-joint question. Because H0 is never rejected, the correct specification is any female ownership. On the preferred survey design, female land ownership is associated with a 0.61-point lower FIES score (p = 0.040), an 8.8 percentage-point lower probability of moderate or severe food insecurity (p = 0.087), and a 6.9 percentage-point lower probability of severe food insecurity (p = 0.040), after region fixed effects and the full control set, with household weights and enumeration-area clustered standard errors.</w:t>
      </w:r>
    </w:p>
    <w:p>
      <w:pPr>
        <w:spacing w:after="160" w:before="0" w:line="276" w:lineRule="auto"/>
        <w:ind w:firstLine="432"/>
      </w:pPr>
      <w:r>
        <w:rPr>
          <w:rFonts w:ascii="Times New Roman" w:hAnsi="Times New Roman" w:eastAsia="Times New Roman"/>
          <w:b w:val="0"/>
          <w:i w:val="0"/>
          <w:sz w:val="22"/>
        </w:rPr>
        <w:t>These are associations, not causal estimates. The sample is crop-holding households with a parcel record. The reference group still contains households with blank owner fields. Setting owner_identified_only to 1 and re-running the do-file restricts the reference to sole-male owners and produces larger associations; that run is not in this log.</w:t>
      </w:r>
    </w:p>
    <w:p>
      <w:pPr>
        <w:spacing w:before="280" w:after="120"/>
        <w:ind w:firstLine="0"/>
      </w:pPr>
      <w:r>
        <w:rPr>
          <w:rFonts w:ascii="Times New Roman" w:hAnsi="Times New Roman" w:eastAsia="Times New Roman"/>
          <w:b/>
          <w:i w:val="0"/>
          <w:sz w:val="28"/>
        </w:rPr>
        <w:t>9. Source</w:t>
      </w:r>
    </w:p>
    <w:p>
      <w:pPr>
        <w:spacing w:after="160" w:before="0" w:line="276" w:lineRule="auto"/>
        <w:ind w:firstLine="432"/>
      </w:pPr>
      <w:r>
        <w:rPr>
          <w:rFonts w:ascii="Times New Roman" w:hAnsi="Times New Roman" w:eastAsia="Times New Roman"/>
          <w:b w:val="0"/>
          <w:i w:val="0"/>
          <w:sz w:val="22"/>
        </w:rPr>
        <w:t>All figures in this note are taken from new_analysis_sep4.log, produced by food_security_ownership.do on 4 September 2026. The log records weight = pw_w5, a 1,969-household matched merge, 1,809 observations after casewise deletion, 200 PSUs, and a complete previous-versus-new estimates table. No coefficient in this document was copied from the parallel R run.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