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Copy Activity Source Flexibility</w:t>
      </w:r>
    </w:p>
    <w:p>
      <w:pPr>
        <w:pStyle w:val="Heading2"/>
      </w:pPr>
      <w:r>
        <w:t xml:space="preserve">1. ADLS to ADLS</w:t>
      </w:r>
    </w:p>
    <w:p>
      <w:pPr>
        <w:pStyle w:val="Normal"/>
      </w:pPr>
      <w:r>
        <w:t xml:space="preserve">Within same or different storage accounts</w:t>
      </w:r>
    </w:p>
    <w:p>
      <w:pPr>
        <w:pStyle w:val="ListParagraph"/>
        <w:numPr>
          <w:ilvl w:val="0"/>
          <w:numId w:val="2"/>
        </w:numPr>
      </w:pPr>
      <w:r>
        <w:t xml:space="preserve">Source: ADLS Gen2 folder</w:t>
      </w:r>
    </w:p>
    <w:p>
      <w:pPr>
        <w:pStyle w:val="ListParagraph"/>
        <w:numPr>
          <w:ilvl w:val="0"/>
          <w:numId w:val="2"/>
        </w:numPr>
      </w:pPr>
      <w:r>
        <w:t xml:space="preserve">Destination: ADLS Gen2 folder</w:t>
      </w:r>
    </w:p>
    <w:p>
      <w:pPr>
        <w:pStyle w:val="ListParagraph"/>
        <w:numPr>
          <w:ilvl w:val="0"/>
          <w:numId w:val="2"/>
        </w:numPr>
      </w:pPr>
      <w:r>
        <w:t xml:space="preserve">Most common use case</w:t>
      </w:r>
    </w:p>
    <w:p>
      <w:pPr>
        <w:spacing w:after="120"/>
      </w:pPr>
    </w:p>
    <w:p>
      <w:pPr>
        <w:pStyle w:val="Heading2"/>
      </w:pPr>
      <w:r>
        <w:t xml:space="preserve">2. External Sources to ADLS</w:t>
      </w:r>
    </w:p>
    <w:p>
      <w:pPr>
        <w:spacing w:after="120"/>
      </w:pPr>
      <w:r>
        <w:t xml:space="preserve">Copy Activity can ingest data from various external sources into ADLS:</w:t>
      </w:r>
    </w:p>
    <w:p>
      <w:pPr>
        <w:pStyle w:val="ListParagraph"/>
        <w:numPr>
          <w:ilvl w:val="0"/>
          <w:numId w:val="2"/>
        </w:numPr>
      </w:pPr>
      <w:r>
        <w:t xml:space="preserve">Databases</w:t>
      </w:r>
    </w:p>
    <w:p>
      <w:pPr>
        <w:pStyle w:val="ListParagraph"/>
        <w:numPr>
          <w:ilvl w:val="1"/>
          <w:numId w:val="2"/>
        </w:numPr>
      </w:pPr>
      <w:r>
        <w:t xml:space="preserve">SQL Server, Azure SQL Database, MySQL, PostgreSQL, Oracle, SAP systems</w:t>
      </w:r>
    </w:p>
    <w:p>
      <w:pPr>
        <w:pStyle w:val="ListParagraph"/>
        <w:numPr>
          <w:ilvl w:val="1"/>
          <w:numId w:val="2"/>
        </w:numPr>
      </w:pPr>
      <w:r>
        <w:t xml:space="preserve">Teradata, Netezza, Vertica, Snowflake</w:t>
      </w:r>
    </w:p>
    <w:p>
      <w:pPr>
        <w:pStyle w:val="ListParagraph"/>
        <w:numPr>
          <w:ilvl w:val="0"/>
          <w:numId w:val="2"/>
        </w:numPr>
      </w:pPr>
      <w:r>
        <w:t xml:space="preserve">Cloud Services</w:t>
      </w:r>
    </w:p>
    <w:p>
      <w:pPr>
        <w:pStyle w:val="ListParagraph"/>
        <w:numPr>
          <w:ilvl w:val="1"/>
          <w:numId w:val="2"/>
        </w:numPr>
      </w:pPr>
      <w:r>
        <w:t xml:space="preserve">Amazon S3, Google Cloud Storage</w:t>
      </w:r>
    </w:p>
    <w:p>
      <w:pPr>
        <w:pStyle w:val="ListParagraph"/>
        <w:numPr>
          <w:ilvl w:val="1"/>
          <w:numId w:val="2"/>
        </w:numPr>
      </w:pPr>
      <w:r>
        <w:t xml:space="preserve">Azure Blob Storage</w:t>
      </w:r>
    </w:p>
    <w:p>
      <w:pPr>
        <w:pStyle w:val="ListParagraph"/>
        <w:numPr>
          <w:ilvl w:val="1"/>
          <w:numId w:val="2"/>
        </w:numPr>
      </w:pPr>
      <w:r>
        <w:t xml:space="preserve">Salesforce, Dynamics 365, ServiceNow</w:t>
      </w:r>
    </w:p>
    <w:p>
      <w:pPr>
        <w:pStyle w:val="ListParagraph"/>
        <w:numPr>
          <w:ilvl w:val="0"/>
          <w:numId w:val="2"/>
        </w:numPr>
      </w:pPr>
      <w:r>
        <w:t xml:space="preserve">File Systems</w:t>
      </w:r>
    </w:p>
    <w:p>
      <w:pPr>
        <w:pStyle w:val="ListParagraph"/>
        <w:numPr>
          <w:ilvl w:val="1"/>
          <w:numId w:val="2"/>
        </w:numPr>
      </w:pPr>
      <w:r>
        <w:t xml:space="preserve">SFTP, FTP servers</w:t>
      </w:r>
    </w:p>
    <w:p>
      <w:pPr>
        <w:pStyle w:val="ListParagraph"/>
        <w:numPr>
          <w:ilvl w:val="1"/>
          <w:numId w:val="2"/>
        </w:numPr>
      </w:pPr>
      <w:r>
        <w:t xml:space="preserve">On-premises file shares (via Self-Hosted Integration Runtime)</w:t>
      </w:r>
    </w:p>
    <w:p>
      <w:pPr>
        <w:pStyle w:val="ListParagraph"/>
        <w:numPr>
          <w:ilvl w:val="1"/>
          <w:numId w:val="2"/>
        </w:numPr>
      </w:pPr>
      <w:r>
        <w:t xml:space="preserve">HDFS</w:t>
      </w:r>
    </w:p>
    <w:p>
      <w:pPr>
        <w:pStyle w:val="ListParagraph"/>
        <w:numPr>
          <w:ilvl w:val="0"/>
          <w:numId w:val="2"/>
        </w:numPr>
      </w:pPr>
      <w:r>
        <w:t xml:space="preserve">Enterprise Applications</w:t>
      </w:r>
    </w:p>
    <w:p>
      <w:pPr>
        <w:pStyle w:val="ListParagraph"/>
        <w:numPr>
          <w:ilvl w:val="1"/>
          <w:numId w:val="2"/>
        </w:numPr>
      </w:pPr>
      <w:r>
        <w:t xml:space="preserve">SAP ECC, SAP BW</w:t>
      </w:r>
    </w:p>
    <w:p>
      <w:pPr>
        <w:pStyle w:val="ListParagraph"/>
        <w:numPr>
          <w:ilvl w:val="1"/>
          <w:numId w:val="2"/>
        </w:numPr>
      </w:pPr>
      <w:r>
        <w:t xml:space="preserve">Marketo, Eloqua</w:t>
      </w:r>
    </w:p>
    <w:p>
      <w:pPr>
        <w:pStyle w:val="ListParagraph"/>
        <w:numPr>
          <w:ilvl w:val="1"/>
          <w:numId w:val="2"/>
        </w:numPr>
      </w:pPr>
      <w:r>
        <w:t xml:space="preserve">Jira, REST APIs</w:t>
      </w:r>
    </w:p>
    <w:p>
      <w:pPr>
        <w:pStyle w:val="ListParagraph"/>
        <w:numPr>
          <w:ilvl w:val="0"/>
          <w:numId w:val="2"/>
        </w:numPr>
      </w:pPr>
      <w:r>
        <w:t xml:space="preserve">Other Formats</w:t>
      </w:r>
    </w:p>
    <w:p>
      <w:pPr>
        <w:pStyle w:val="ListParagraph"/>
        <w:numPr>
          <w:ilvl w:val="1"/>
          <w:numId w:val="2"/>
        </w:numPr>
      </w:pPr>
      <w:r>
        <w:t xml:space="preserve">Delimited text, JSON, XML, Parquet, ORC</w:t>
      </w:r>
    </w:p>
    <w:p>
      <w:pPr>
        <w:pStyle w:val="ListParagraph"/>
        <w:numPr>
          <w:ilvl w:val="1"/>
          <w:numId w:val="2"/>
        </w:numPr>
      </w:pPr>
      <w:r>
        <w:t xml:space="preserve">Excel files</w:t>
      </w:r>
    </w:p>
    <w:p>
      <w:pPr>
        <w:pStyle w:val="ListParagraph"/>
        <w:numPr>
          <w:ilvl w:val="1"/>
          <w:numId w:val="2"/>
        </w:numPr>
      </w:pPr>
      <w:r>
        <w:t xml:space="preserve">Binary data</w:t>
      </w:r>
    </w:p>
    <w:p>
      <w:pPr>
        <w:spacing w:after="120"/>
      </w:pPr>
    </w:p>
    <w:p>
      <w:pPr>
        <w:pStyle w:val="Heading2"/>
      </w:pPr>
      <w:r>
        <w:t xml:space="preserve">3. ADLS to External Destinations</w:t>
      </w:r>
    </w:p>
    <w:p>
      <w:pPr>
        <w:pStyle w:val="ListParagraph"/>
        <w:numPr>
          <w:ilvl w:val="0"/>
          <w:numId w:val="2"/>
        </w:numPr>
      </w:pPr>
      <w:r>
        <w:t xml:space="preserve">You can copy from ADLS to external systems</w:t>
      </w:r>
    </w:p>
    <w:p>
      <w:pPr>
        <w:pStyle w:val="ListParagraph"/>
        <w:numPr>
          <w:ilvl w:val="0"/>
          <w:numId w:val="2"/>
        </w:numPr>
      </w:pPr>
      <w:r>
        <w:t xml:space="preserve">Typical pattern: landing data in ADLS is the standard approach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2026-04-19T00:12:46.751Z</dcterms:created>
  <dcterms:modified xsi:type="dcterms:W3CDTF">2026-04-19T00:12:46.751Z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