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Data Platform: Architectural Specifications &amp; Requirements</w:t>
      </w:r>
    </w:p>
    <w:p>
      <w:r>
        <w:t>Document Author: Lead Architect Elena Rostova | Published on January 12, 2025.</w:t>
      </w:r>
    </w:p>
    <w:p>
      <w:r>
        <w:t>The primary datacenter is located in Frankfurt, Germany, with failover capacity located in Amsterdam.</w:t>
      </w:r>
    </w:p>
    <w:p>
      <w:pPr>
        <w:pStyle w:val="Heading2"/>
      </w:pPr>
      <w:r>
        <w:t>1. Regulatory and Performance Requirements</w:t>
      </w:r>
    </w:p>
    <w:p>
      <w:r>
        <w:t>The microservices mesh must sustain 50,000 requests per second with 99.99% availability.</w:t>
      </w:r>
    </w:p>
    <w:p>
      <w:r>
        <w:t>Developers are required to submit vulnerability scan reports before every major release.</w:t>
      </w:r>
    </w:p>
    <w:p>
      <w:r>
        <w:t>The final migration milestone deadline is December 20, 2025, and cannot be extended.</w:t>
      </w:r>
    </w:p>
    <w:p>
      <w:pPr>
        <w:pStyle w:val="Heading2"/>
      </w:pPr>
      <w:r>
        <w:t>2. Core Infrastructure Milestones &amp; Budget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Milestone Phase</w:t>
            </w:r>
          </w:p>
        </w:tc>
        <w:tc>
          <w:tcPr>
            <w:tcW w:type="dxa" w:w="2160"/>
          </w:tcPr>
          <w:p>
            <w:r>
              <w:t>Allocated Budget</w:t>
            </w:r>
          </w:p>
        </w:tc>
        <w:tc>
          <w:tcPr>
            <w:tcW w:type="dxa" w:w="2160"/>
          </w:tcPr>
          <w:p>
            <w:r>
              <w:t>Target Completion Date</w:t>
            </w:r>
          </w:p>
        </w:tc>
        <w:tc>
          <w:tcPr>
            <w:tcW w:type="dxa" w:w="2160"/>
          </w:tcPr>
          <w:p>
            <w:r>
              <w:t>Compliance Obligation</w:t>
            </w:r>
          </w:p>
        </w:tc>
      </w:tr>
      <w:tr>
        <w:tc>
          <w:tcPr>
            <w:tcW w:type="dxa" w:w="2160"/>
          </w:tcPr>
          <w:p>
            <w:r>
              <w:t>Phase 1: Ingestion Engine</w:t>
            </w:r>
          </w:p>
        </w:tc>
        <w:tc>
          <w:tcPr>
            <w:tcW w:type="dxa" w:w="2160"/>
          </w:tcPr>
          <w:p>
            <w:r>
              <w:t>$4,200,000</w:t>
            </w:r>
          </w:p>
        </w:tc>
        <w:tc>
          <w:tcPr>
            <w:tcW w:type="dxa" w:w="2160"/>
          </w:tcPr>
          <w:p>
            <w:r>
              <w:t>April 15, 2025</w:t>
            </w:r>
          </w:p>
        </w:tc>
        <w:tc>
          <w:tcPr>
            <w:tcW w:type="dxa" w:w="2160"/>
          </w:tcPr>
          <w:p>
            <w:r>
              <w:t>Must support Kafka and gRPC</w:t>
            </w:r>
          </w:p>
        </w:tc>
      </w:tr>
      <w:tr>
        <w:tc>
          <w:tcPr>
            <w:tcW w:type="dxa" w:w="2160"/>
          </w:tcPr>
          <w:p>
            <w:r>
              <w:t>Phase 2: Knowledge Graph Integration</w:t>
            </w:r>
          </w:p>
        </w:tc>
        <w:tc>
          <w:tcPr>
            <w:tcW w:type="dxa" w:w="2160"/>
          </w:tcPr>
          <w:p>
            <w:r>
              <w:t>$6,800,000</w:t>
            </w:r>
          </w:p>
        </w:tc>
        <w:tc>
          <w:tcPr>
            <w:tcW w:type="dxa" w:w="2160"/>
          </w:tcPr>
          <w:p>
            <w:r>
              <w:t>August 30, 2025</w:t>
            </w:r>
          </w:p>
        </w:tc>
        <w:tc>
          <w:tcPr>
            <w:tcW w:type="dxa" w:w="2160"/>
          </w:tcPr>
          <w:p>
            <w:r>
              <w:t>Mandatory graph query latency &lt; 15ms</w:t>
            </w:r>
          </w:p>
        </w:tc>
      </w:tr>
      <w:tr>
        <w:tc>
          <w:tcPr>
            <w:tcW w:type="dxa" w:w="2160"/>
          </w:tcPr>
          <w:p>
            <w:r>
              <w:t>Phase 3: Automated Verification Pipeline</w:t>
            </w:r>
          </w:p>
        </w:tc>
        <w:tc>
          <w:tcPr>
            <w:tcW w:type="dxa" w:w="2160"/>
          </w:tcPr>
          <w:p>
            <w:r>
              <w:t>$3,500,000</w:t>
            </w:r>
          </w:p>
        </w:tc>
        <w:tc>
          <w:tcPr>
            <w:tcW w:type="dxa" w:w="2160"/>
          </w:tcPr>
          <w:p>
            <w:r>
              <w:t>November 10, 2025</w:t>
            </w:r>
          </w:p>
        </w:tc>
        <w:tc>
          <w:tcPr>
            <w:tcW w:type="dxa" w:w="2160"/>
          </w:tcPr>
          <w:p>
            <w:r>
              <w:t>Shall achieve 98% claim extraction recall</w:t>
            </w:r>
          </w:p>
        </w:tc>
      </w:tr>
    </w:tbl>
    <w:p>
      <w:r>
        <w:t>Overall project budget is capped at $14,500,000.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