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A99482" w14:textId="77777777" w:rsidR="00715340" w:rsidRDefault="00715340" w:rsidP="00715340">
      <w:pPr>
        <w:jc w:val="center"/>
      </w:pPr>
      <w:r>
        <w:rPr>
          <w:noProof/>
        </w:rPr>
        <w:drawing>
          <wp:inline distT="0" distB="0" distL="0" distR="0" wp14:anchorId="345C4BE8" wp14:editId="53D8E164">
            <wp:extent cx="5731510" cy="863600"/>
            <wp:effectExtent l="0" t="0" r="2540" b="0"/>
            <wp:docPr id="2" name="image1.png" title="Image">
              <a:extLst xmlns:a="http://schemas.openxmlformats.org/drawingml/2006/main">
                <a:ext uri="{FF2B5EF4-FFF2-40B4-BE49-F238E27FC236}">
                  <a16:creationId xmlns:a16="http://schemas.microsoft.com/office/drawing/2014/main" id="{8C5DAA2E-8704-4E5C-BDB2-9D5AE9D2BD08}"/>
                </a:ext>
              </a:extLst>
            </wp:docPr>
            <wp:cNvGraphicFramePr/>
            <a:graphic xmlns:a="http://schemas.openxmlformats.org/drawingml/2006/main">
              <a:graphicData uri="http://schemas.openxmlformats.org/drawingml/2006/picture">
                <pic:pic xmlns:pic="http://schemas.openxmlformats.org/drawingml/2006/picture">
                  <pic:nvPicPr>
                    <pic:cNvPr id="2" name="image1.png" title="Image">
                      <a:extLst>
                        <a:ext uri="{FF2B5EF4-FFF2-40B4-BE49-F238E27FC236}">
                          <a16:creationId xmlns:a16="http://schemas.microsoft.com/office/drawing/2014/main" id="{8C5DAA2E-8704-4E5C-BDB2-9D5AE9D2BD08}"/>
                        </a:ext>
                      </a:extLst>
                    </pic:cNvPr>
                    <pic:cNvPicPr preferRelativeResize="0"/>
                  </pic:nvPicPr>
                  <pic:blipFill>
                    <a:blip r:embed="rId4" cstate="print"/>
                    <a:stretch>
                      <a:fillRect/>
                    </a:stretch>
                  </pic:blipFill>
                  <pic:spPr>
                    <a:xfrm>
                      <a:off x="0" y="0"/>
                      <a:ext cx="5731510" cy="863600"/>
                    </a:xfrm>
                    <a:prstGeom prst="rect">
                      <a:avLst/>
                    </a:prstGeom>
                    <a:noFill/>
                  </pic:spPr>
                </pic:pic>
              </a:graphicData>
            </a:graphic>
          </wp:inline>
        </w:drawing>
      </w:r>
    </w:p>
    <w:p w14:paraId="1DB32941"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424B9890" wp14:editId="5A0469ED">
                <wp:simplePos x="0" y="0"/>
                <wp:positionH relativeFrom="margin">
                  <wp:align>left</wp:align>
                </wp:positionH>
                <wp:positionV relativeFrom="paragraph">
                  <wp:posOffset>266065</wp:posOffset>
                </wp:positionV>
                <wp:extent cx="6080760" cy="0"/>
                <wp:effectExtent l="0" t="0" r="0" b="0"/>
                <wp:wrapNone/>
                <wp:docPr id="105798585" name="Straight Connector 1"/>
                <wp:cNvGraphicFramePr/>
                <a:graphic xmlns:a="http://schemas.openxmlformats.org/drawingml/2006/main">
                  <a:graphicData uri="http://schemas.microsoft.com/office/word/2010/wordprocessingShape">
                    <wps:wsp>
                      <wps:cNvCnPr/>
                      <wps:spPr>
                        <a:xfrm>
                          <a:off x="0" y="0"/>
                          <a:ext cx="608076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071829D" id="Straight Connector 1"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20.95pt" to="478.8pt,20.9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VqCPOmgEAAIgDAAAOAAAAZHJzL2Uyb0RvYy54bWysU02P0zAQvSPxHyzfadIeyipquoddwQXB io8f4HXGjYXtscamSf89Y7dNEaA9IC6OP957M29msrufvRNHoGQx9HK9aqWAoHGw4dDLb1/fvbmT ImUVBuUwQC9PkOT9/vWr3RQ72OCIbgASLBJSN8VejjnHrmmSHsGrtMIIgR8NkleZj3RoBlITq3vX bNp220xIQyTUkBLfPp4f5b7qGwM6fzImQRaul5xbrivV9bmszX6nugOpOFp9SUP9QxZe2cBBF6lH lZX4QfYPKW81YUKTVxp9g8ZYDdUDu1m3v7n5MqoI1QsXJ8WlTOn/yeqPx4fwRFyGKaYuxScqLmZD vnw5PzHXYp2WYsGchebLbXvXvt1yTfX1rbkRI6X8HtCLsumls6H4UJ06fkiZgzH0CuHDLXTd5ZOD AnbhMxhhBw62qew6FfDgSBwV93P4vi79Y62KLBRjnVtI7cukC7bQoE7KQly/TFzQNSKGvBC9DUh/ I+f5mqo546+uz16L7WccTrURtRzc7ursMpplnn49V/rtB9r/BAAA//8DAFBLAwQUAAYACAAAACEA cHtKJdwAAAAGAQAADwAAAGRycy9kb3ducmV2LnhtbEyPQUvDQBCF74L/YRnBi9hNpWltzKaI4CGC gq14nmanSTQ7G7LbNP57Rzzocd57vPdNvplcp0YaQuvZwHyWgCKuvG25NvC2e7y+BRUissXOMxn4 ogCb4vwsx8z6E7/SuI21khIOGRpoYuwzrUPVkMMw8z2xeAc/OIxyDrW2A56k3HX6JkmW2mHLstBg Tw8NVZ/bozPwUb6XdXq1ag8vi/QJd2P6zGNpzOXFdH8HKtIU/8Lwgy/oUAjT3h/ZBtUZkEeigcV8 DUrcdbpagtr/CrrI9X/84hsAAP//AwBQSwECLQAUAAYACAAAACEAtoM4kv4AAADhAQAAEwAAAAAA AAAAAAAAAAAAAAAAW0NvbnRlbnRfVHlwZXNdLnhtbFBLAQItABQABgAIAAAAIQA4/SH/1gAAAJQB AAALAAAAAAAAAAAAAAAAAC8BAABfcmVscy8ucmVsc1BLAQItABQABgAIAAAAIQCVqCPOmgEAAIgD AAAOAAAAAAAAAAAAAAAAAC4CAABkcnMvZTJvRG9jLnhtbFBLAQItABQABgAIAAAAIQBwe0ol3AAA AAYBAAAPAAAAAAAAAAAAAAAAAPQDAABkcnMvZG93bnJldi54bWxQSwUGAAAAAAQABADzAAAA/QQA AAAA " strokecolor="black [3200]" strokeweight="1.5pt">
                <v:stroke joinstyle="miter"/>
                <w10:wrap anchorx="margin"/>
              </v:line>
            </w:pict>
          </mc:Fallback>
        </mc:AlternateContent>
      </w:r>
      <w:r>
        <w:rPr>
          <w:rFonts w:ascii="Times New Roman" w:hAnsi="Times New Roman" w:cs="Times New Roman"/>
          <w:b/>
          <w:bCs/>
          <w:sz w:val="28"/>
          <w:szCs w:val="28"/>
        </w:rPr>
        <w:t>DEPARTMENT OF CSE</w:t>
      </w:r>
    </w:p>
    <w:p w14:paraId="7D426DEA" w14:textId="77777777" w:rsidR="00715340" w:rsidRPr="00286D28" w:rsidRDefault="00715340" w:rsidP="00715340">
      <w:pPr>
        <w:jc w:val="center"/>
        <w:rPr>
          <w:rFonts w:ascii="Times New Roman" w:hAnsi="Times New Roman" w:cs="Times New Roman"/>
          <w:b/>
          <w:bCs/>
        </w:rPr>
      </w:pPr>
      <w:r>
        <w:rPr>
          <w:rFonts w:ascii="Times New Roman" w:hAnsi="Times New Roman" w:cs="Times New Roman"/>
          <w:b/>
          <w:bCs/>
        </w:rPr>
        <w:t xml:space="preserve">PROJECT ABSTRACT SUBMISSION </w:t>
      </w:r>
    </w:p>
    <w:p w14:paraId="787F98E6" w14:textId="77777777" w:rsidR="00715340" w:rsidRDefault="00715340" w:rsidP="00715340">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SOA PROGRAMMING AND MICROSERVICES– (24SDCS03)                            A.Y. 2026 - 2027</w:t>
      </w:r>
    </w:p>
    <w:tbl>
      <w:tblPr>
        <w:tblStyle w:val="TableGrid"/>
        <w:tblW w:w="9963" w:type="dxa"/>
        <w:jc w:val="center"/>
        <w:tblLook w:val="04A0" w:firstRow="1" w:lastRow="0" w:firstColumn="1" w:lastColumn="0" w:noHBand="0" w:noVBand="1"/>
      </w:tblPr>
      <w:tblGrid>
        <w:gridCol w:w="1458"/>
        <w:gridCol w:w="2977"/>
        <w:gridCol w:w="5528"/>
      </w:tblGrid>
      <w:tr w:rsidR="00715340" w14:paraId="42EE1270" w14:textId="77777777" w:rsidTr="00024E80">
        <w:trPr>
          <w:trHeight w:val="557"/>
          <w:jc w:val="center"/>
        </w:trPr>
        <w:tc>
          <w:tcPr>
            <w:tcW w:w="1458" w:type="dxa"/>
          </w:tcPr>
          <w:p w14:paraId="5219A92A"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TITLE OF THE PROJECT</w:t>
            </w:r>
          </w:p>
        </w:tc>
        <w:tc>
          <w:tcPr>
            <w:tcW w:w="8505" w:type="dxa"/>
            <w:gridSpan w:val="2"/>
          </w:tcPr>
          <w:p w14:paraId="3D7B829B" w14:textId="77777777" w:rsidR="00715340" w:rsidRDefault="00715340" w:rsidP="00FE2B3A">
            <w:pPr>
              <w:jc w:val="center"/>
              <w:rPr>
                <w:rFonts w:ascii="Times New Roman" w:hAnsi="Times New Roman" w:cs="Times New Roman"/>
                <w:b/>
                <w:bCs/>
              </w:rPr>
            </w:pPr>
            <w:r>
              <w:rPr>
                <w:rFonts w:ascii="Times New Roman" w:hAnsi="Times New Roman" w:cs="Times New Roman"/>
                <w:b/>
                <w:bCs/>
              </w:rPr>
              <w:t>ImpactFlow – A Cloud-Native Software Change Impact &amp; Risk Prediction Platform using Microservices, DevOps and DevSecOps</w:t>
            </w:r>
          </w:p>
          <w:p w14:paraId="464E3FB0" w14:textId="77777777" w:rsidR="00715340" w:rsidRPr="00286D28" w:rsidRDefault="00715340" w:rsidP="00FE2B3A">
            <w:pPr>
              <w:jc w:val="center"/>
              <w:rPr>
                <w:rFonts w:ascii="Times New Roman" w:hAnsi="Times New Roman" w:cs="Times New Roman"/>
                <w:b/>
                <w:bCs/>
              </w:rPr>
            </w:pPr>
          </w:p>
        </w:tc>
      </w:tr>
      <w:tr w:rsidR="00715340" w14:paraId="23F9C53E" w14:textId="77777777" w:rsidTr="00024E80">
        <w:trPr>
          <w:jc w:val="center"/>
        </w:trPr>
        <w:tc>
          <w:tcPr>
            <w:tcW w:w="1458" w:type="dxa"/>
          </w:tcPr>
          <w:p w14:paraId="424621D0"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S. No.</w:t>
            </w:r>
          </w:p>
        </w:tc>
        <w:tc>
          <w:tcPr>
            <w:tcW w:w="2977" w:type="dxa"/>
          </w:tcPr>
          <w:p w14:paraId="178BFB36"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University ID</w:t>
            </w:r>
          </w:p>
        </w:tc>
        <w:tc>
          <w:tcPr>
            <w:tcW w:w="5528" w:type="dxa"/>
          </w:tcPr>
          <w:p w14:paraId="70310781" w14:textId="77777777" w:rsidR="00715340" w:rsidRPr="00286D28" w:rsidRDefault="00715340" w:rsidP="00FE2B3A">
            <w:pPr>
              <w:jc w:val="center"/>
              <w:rPr>
                <w:rFonts w:ascii="Times New Roman" w:hAnsi="Times New Roman" w:cs="Times New Roman"/>
                <w:b/>
                <w:bCs/>
              </w:rPr>
            </w:pPr>
            <w:r>
              <w:rPr>
                <w:rFonts w:ascii="Times New Roman" w:hAnsi="Times New Roman" w:cs="Times New Roman"/>
                <w:b/>
                <w:bCs/>
              </w:rPr>
              <w:t>Name</w:t>
            </w:r>
          </w:p>
        </w:tc>
      </w:tr>
      <w:tr w:rsidR="00715340" w14:paraId="697A35AD" w14:textId="77777777" w:rsidTr="00024E80">
        <w:trPr>
          <w:jc w:val="center"/>
        </w:trPr>
        <w:tc>
          <w:tcPr>
            <w:tcW w:w="1458" w:type="dxa"/>
          </w:tcPr>
          <w:p w14:paraId="4010AC39"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1</w:t>
            </w:r>
          </w:p>
        </w:tc>
        <w:tc>
          <w:tcPr>
            <w:tcW w:w="2977" w:type="dxa"/>
          </w:tcPr>
          <w:p w14:paraId="5AABD23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2420030045</w:t>
            </w:r>
          </w:p>
        </w:tc>
        <w:tc>
          <w:tcPr>
            <w:tcW w:w="5528" w:type="dxa"/>
          </w:tcPr>
          <w:p w14:paraId="0CAD253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Susmitha</w:t>
            </w:r>
          </w:p>
        </w:tc>
      </w:tr>
      <w:tr w:rsidR="00715340" w14:paraId="114E586B" w14:textId="77777777" w:rsidTr="00024E80">
        <w:trPr>
          <w:jc w:val="center"/>
        </w:trPr>
        <w:tc>
          <w:tcPr>
            <w:tcW w:w="1458" w:type="dxa"/>
          </w:tcPr>
          <w:p w14:paraId="106A279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w:t>
            </w:r>
          </w:p>
        </w:tc>
        <w:tc>
          <w:tcPr>
            <w:tcW w:w="2977" w:type="dxa"/>
          </w:tcPr>
          <w:p w14:paraId="537E4584"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2420030477</w:t>
            </w:r>
          </w:p>
        </w:tc>
        <w:tc>
          <w:tcPr>
            <w:tcW w:w="5528" w:type="dxa"/>
          </w:tcPr>
          <w:p w14:paraId="2E3DBB7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 Amrutha Lekha</w:t>
            </w:r>
          </w:p>
        </w:tc>
      </w:tr>
      <w:tr w:rsidR="00715340" w14:paraId="1FB91E76" w14:textId="77777777" w:rsidTr="00024E80">
        <w:trPr>
          <w:jc w:val="center"/>
        </w:trPr>
        <w:tc>
          <w:tcPr>
            <w:tcW w:w="4435" w:type="dxa"/>
            <w:gridSpan w:val="2"/>
          </w:tcPr>
          <w:p w14:paraId="7AB6548C" w14:textId="77777777" w:rsidR="00715340" w:rsidRPr="00286D28" w:rsidRDefault="00715340" w:rsidP="00FE2B3A">
            <w:pPr>
              <w:jc w:val="center"/>
              <w:rPr>
                <w:rFonts w:ascii="Times New Roman" w:hAnsi="Times New Roman" w:cs="Times New Roman"/>
              </w:rPr>
            </w:pPr>
            <w:r>
              <w:rPr>
                <w:rFonts w:ascii="Times New Roman" w:hAnsi="Times New Roman" w:cs="Times New Roman"/>
              </w:rPr>
              <w:t>Name of the Guide</w:t>
            </w:r>
          </w:p>
        </w:tc>
        <w:tc>
          <w:tcPr>
            <w:tcW w:w="5528" w:type="dxa"/>
          </w:tcPr>
          <w:p w14:paraId="3FD66A4F" w14:textId="77777777" w:rsidR="00715340" w:rsidRPr="00024E80" w:rsidRDefault="00715340" w:rsidP="00FE2B3A">
            <w:pPr>
              <w:jc w:val="center"/>
              <w:rPr>
                <w:rFonts w:ascii="Times New Roman" w:hAnsi="Times New Roman" w:cs="Times New Roman"/>
                <w:b/>
                <w:bCs/>
              </w:rPr>
            </w:pPr>
            <w:r>
              <w:rPr>
                <w:rFonts w:ascii="Times New Roman" w:hAnsi="Times New Roman" w:cs="Times New Roman"/>
                <w:b/>
                <w:bCs/>
              </w:rPr>
              <w:t>Dr. Neelima Gogineni</w:t>
            </w:r>
          </w:p>
        </w:tc>
      </w:tr>
    </w:tbl>
    <w:p w14:paraId="1BD24C77" w14:textId="77777777" w:rsidR="00715340" w:rsidRPr="00715340" w:rsidRDefault="00715340" w:rsidP="00715340">
      <w:pPr>
        <w:spacing w:after="0" w:line="360" w:lineRule="auto"/>
        <w:jc w:val="both"/>
        <w:rPr>
          <w:b/>
          <w:bCs/>
        </w:rPr>
      </w:pPr>
    </w:p>
    <w:p w14:paraId="6DCC4286" w14:textId="77777777" w:rsidR="00715340" w:rsidRPr="00715340" w:rsidRDefault="00715340" w:rsidP="00024E80">
      <w:pPr>
        <w:spacing w:after="0" w:line="360" w:lineRule="auto"/>
        <w:ind w:left="-360"/>
        <w:jc w:val="both"/>
        <w:rPr>
          <w:rFonts w:ascii="Times New Roman" w:hAnsi="Times New Roman" w:cs="Times New Roman"/>
          <w:b/>
          <w:bCs/>
          <w:sz w:val="18"/>
          <w:szCs w:val="18"/>
        </w:rPr>
      </w:pPr>
      <w:r>
        <w:rPr>
          <w:rFonts w:ascii="Times New Roman" w:hAnsi="Times New Roman" w:cs="Times New Roman"/>
          <w:b/>
          <w:bCs/>
          <w:sz w:val="28"/>
          <w:szCs w:val="28"/>
        </w:rPr>
        <w:t>Abstract:</w:t>
      </w:r>
    </w:p>
    <w:p w14:paraId="1FBAA079" w14:textId="186A7D0D" w:rsidR="00203158" w:rsidRDefault="00000000" w:rsidP="00B52352">
      <w:pPr>
        <w:spacing w:after="0" w:line="360" w:lineRule="auto"/>
        <w:ind w:left="-360"/>
        <w:jc w:val="both"/>
        <w:rPr>
          <w:rFonts w:ascii="Times New Roman" w:hAnsi="Times New Roman" w:cs="Times New Roman"/>
        </w:rPr>
      </w:pPr>
      <w:r>
        <w:rPr>
          <w:rFonts w:ascii="Times New Roman" w:hAnsi="Times New Roman" w:cs="Times New Roman"/>
          <w:b/>
          <w:bCs/>
        </w:rPr>
        <w:t>Modern software systems evolve continuously,</w:t>
      </w:r>
      <w:r>
        <w:rPr>
          <w:rFonts w:ascii="Times New Roman" w:hAnsi="Times New Roman" w:cs="Times New Roman"/>
        </w:rPr>
        <w:t xml:space="preserve"> with development teams pushing frequent changes to meet business and user demands. In large systems built using distributed and microservices-based architectures, even a small code change can affect multiple interconnected services, leading to unexpected failures, downtime, or security vulnerabilities. Developers and DevOps teams often lack visibility into which components, services, or modules a given change is likely to affect before it is deployed. Traditional CI/CD pipelines validate code correctness through testing but do not explicitly assess the impact or risk a change introduces to the broader system. This gap between change submission and its downstream consequences increases the likelihood of production incidents, rollback efforts, and delayed releases, highlighting the need for a system that can proactively assess change risk before deployment.</w:t>
      </w:r>
    </w:p>
    <w:p w14:paraId="55AB0BD6" w14:textId="77777777" w:rsidR="00203158" w:rsidRDefault="0000000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To address this need,</w:t>
      </w:r>
      <w:r>
        <w:rPr>
          <w:rFonts w:ascii="Times New Roman" w:hAnsi="Times New Roman" w:cs="Times New Roman"/>
        </w:rPr>
        <w:t xml:space="preserve"> this project proposes ImpactFlow, a cloud-native platform that analyzes proposed software changes and predicts their potential impact and risk prior to deployment. The platform examines factors such as the changed components, their dependencies, historical change patterns, and code complexity metrics to identify services and modules likely to be affected by a given change. Based on this analysis, an AI/ML-based prediction model generates a risk score along with </w:t>
      </w:r>
      <w:r>
        <w:rPr>
          <w:rFonts w:ascii="Times New Roman" w:hAnsi="Times New Roman" w:cs="Times New Roman"/>
        </w:rPr>
        <w:lastRenderedPageBreak/>
        <w:t>recommendations, enabling developers to make informed decisions before pushing changes into production.</w:t>
      </w:r>
    </w:p>
    <w:p w14:paraId="1DF1EE54" w14:textId="77777777" w:rsidR="00203158" w:rsidRDefault="0000000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system design draws on Advanced Software Engineering principles</w:t>
      </w:r>
      <w:r>
        <w:rPr>
          <w:rFonts w:ascii="Times New Roman" w:hAnsi="Times New Roman" w:cs="Times New Roman"/>
        </w:rPr>
        <w:t xml:space="preserve"> by structuring development around Agile/Scrum practices and by treating change impact and risk analysis as a core software engineering activity. The prediction component follows an MLOps workflow encompassing data preparation, model training, versioning, deployment, and monitoring, ensuring that the risk-prediction model can be retrained and improved as new change data becomes available. Testing and secure development practices are embedded throughout, in line with DevSecOps principles, so that security checks are treated as an integral part of the development lifecycle rather than an afterthought.</w:t>
      </w:r>
    </w:p>
    <w:p w14:paraId="6550E155" w14:textId="77777777" w:rsidR="00203158" w:rsidRDefault="0000000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The platform itself is implemented as a set of Spring Boot microservices</w:t>
      </w:r>
      <w:r>
        <w:rPr>
          <w:rFonts w:ascii="Times New Roman" w:hAnsi="Times New Roman" w:cs="Times New Roman"/>
        </w:rPr>
        <w:t xml:space="preserve"> communicating through REST APIs with well-defined service contracts, coordinated using Eureka for service discovery and Spring Cloud Gateway for routing and request handling. Where asynchronous processing is beneficial, such as propagating change events for downstream analysis, Kafka-based event-driven communication is used. Each microservice maintains its own database following the database-per-service pattern, and access to the platform is secured using JWT-based authentication with Spring Security, along with CORS configuration to control cross-origin access. Unit, integration and contract testing are used to validate individual services and their interactions.</w:t>
      </w:r>
    </w:p>
    <w:p w14:paraId="6AE16B65" w14:textId="77777777" w:rsidR="00203158" w:rsidRDefault="0000000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On the infrastructure side,</w:t>
      </w:r>
      <w:r>
        <w:rPr>
          <w:rFonts w:ascii="Times New Roman" w:hAnsi="Times New Roman" w:cs="Times New Roman"/>
        </w:rPr>
        <w:t xml:space="preserve"> each microservice is containerized using Docker and deployed on Kubernetes, with Helm charts used to manage deployment configurations across environments. A CI/CD pipeline built with GitHub Actions automates the build, test, security scan, image push and deployment stages, incorporating SonarQube for code quality analysis, Trivy for container vulnerability scanning, and OWASP ZAP for dynamic security testing. Kubernetes health probes and rolling deployment strategies support reliable service availability, while NGINX Ingress with TLS secures external access. Prometheus and Grafana are used to monitor service health and system performance in real time.</w:t>
      </w:r>
    </w:p>
    <w:p w14:paraId="64E1E2A6" w14:textId="77777777" w:rsidR="00203158" w:rsidRDefault="00000000">
      <w:pPr>
        <w:spacing w:after="0" w:line="360" w:lineRule="auto"/>
        <w:ind w:left="-360"/>
        <w:jc w:val="both"/>
        <w:rPr>
          <w:rFonts w:ascii="Times New Roman" w:hAnsi="Times New Roman" w:cs="Times New Roman"/>
        </w:rPr>
      </w:pPr>
      <w:r>
        <w:rPr>
          <w:rFonts w:ascii="Times New Roman" w:hAnsi="Times New Roman" w:cs="Times New Roman"/>
        </w:rPr>
        <w:tab/>
      </w:r>
      <w:r>
        <w:rPr>
          <w:rFonts w:ascii="Times New Roman" w:hAnsi="Times New Roman" w:cs="Times New Roman"/>
          <w:b/>
          <w:bCs/>
        </w:rPr>
        <w:t>In the proposed workflow,</w:t>
      </w:r>
      <w:r>
        <w:rPr>
          <w:rFonts w:ascii="Times New Roman" w:hAnsi="Times New Roman" w:cs="Times New Roman"/>
        </w:rPr>
        <w:t xml:space="preserve"> a developer submits a proposed change, after which ImpactFlow analyzes the change and its dependencies, identifies the relevant affected services, and applies the ML model to compute a risk score and associated recommendations. The change can then be tested and deployed through the platform's CI/CD and cloud-native infrastructure with greater confidence. Overall, ImpactFlow aims to demonstrate how software engineering, service-oriented architecture, and cloud-native DevSecOps practices can be combined to build a practical, deployable system that </w:t>
      </w:r>
      <w:r>
        <w:rPr>
          <w:rFonts w:ascii="Times New Roman" w:hAnsi="Times New Roman" w:cs="Times New Roman"/>
        </w:rPr>
        <w:lastRenderedPageBreak/>
        <w:t>helps development teams anticipate the consequences of software changes before they reach production.</w:t>
      </w:r>
    </w:p>
    <w:p w14:paraId="48C0D5F1" w14:textId="77777777" w:rsidR="00203158" w:rsidRDefault="00203158">
      <w:pPr>
        <w:spacing w:after="0" w:line="360" w:lineRule="auto"/>
        <w:ind w:left="-360"/>
        <w:jc w:val="both"/>
        <w:rPr>
          <w:rFonts w:ascii="Times New Roman" w:hAnsi="Times New Roman" w:cs="Times New Roman"/>
        </w:rPr>
      </w:pPr>
    </w:p>
    <w:p w14:paraId="28DC5E03" w14:textId="77777777" w:rsidR="00715340" w:rsidRDefault="00715340" w:rsidP="00024E80">
      <w:pPr>
        <w:spacing w:after="0" w:line="360" w:lineRule="auto"/>
        <w:ind w:left="-360"/>
        <w:jc w:val="both"/>
      </w:pPr>
    </w:p>
    <w:p w14:paraId="290F5C4D" w14:textId="77777777" w:rsidR="00024E80" w:rsidRDefault="00024E80" w:rsidP="00024E80">
      <w:pPr>
        <w:spacing w:after="0" w:line="360" w:lineRule="auto"/>
        <w:ind w:left="-360"/>
        <w:jc w:val="both"/>
        <w:rPr>
          <w:b/>
          <w:bCs/>
        </w:rPr>
      </w:pPr>
      <w:r>
        <w:rPr>
          <w:b/>
          <w:bCs/>
        </w:rPr>
        <w:t>Project Architecture/Project Overview:</w:t>
      </w:r>
    </w:p>
    <w:p w14:paraId="4D54CD30" w14:textId="77777777" w:rsidR="00024E80" w:rsidRDefault="00024E80" w:rsidP="00024E80">
      <w:pPr>
        <w:spacing w:after="0" w:line="360" w:lineRule="auto"/>
        <w:ind w:left="-360"/>
        <w:jc w:val="both"/>
        <w:rPr>
          <w:b/>
          <w:bCs/>
        </w:rPr>
      </w:pPr>
    </w:p>
    <w:p w14:paraId="495094C3" w14:textId="77777777" w:rsidR="00024E80" w:rsidRPr="00024E80" w:rsidRDefault="00024E80" w:rsidP="00024E80">
      <w:pPr>
        <w:spacing w:after="0" w:line="360" w:lineRule="auto"/>
        <w:ind w:left="-360"/>
        <w:jc w:val="center"/>
        <w:rPr>
          <w:b/>
          <w:bCs/>
        </w:rPr>
      </w:pPr>
      <w:r>
        <w:rPr>
          <w:b/>
          <w:bCs/>
          <w:noProof/>
        </w:rPr>
        <w:drawing>
          <wp:inline distT="0" distB="0" distL="0" distR="0" wp14:anchorId="70024B62" wp14:editId="44F4D01A">
            <wp:extent cx="6419088" cy="3531932"/>
            <wp:effectExtent l="0" t="0" r="1270" b="0"/>
            <wp:docPr id="3" name="Picture 2">
              <a:extLst xmlns:a="http://schemas.openxmlformats.org/drawingml/2006/main">
                <a:ext uri="{FF2B5EF4-FFF2-40B4-BE49-F238E27FC236}">
                  <a16:creationId xmlns:a16="http://schemas.microsoft.com/office/drawing/2014/main" id="{F7D82838-FB4F-E463-2D3E-0A41ED292D3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7D82838-FB4F-E463-2D3E-0A41ED292D31}"/>
                        </a:ext>
                      </a:extLst>
                    </pic:cNvPr>
                    <pic:cNvPicPr>
                      <a:picLocks noChangeAspect="1"/>
                    </pic:cNvPicPr>
                  </pic:nvPicPr>
                  <pic:blipFill rotWithShape="1">
                    <a:blip r:embed="rId5" cstate="print">
                      <a:extLst>
                        <a:ext uri="{28A0092B-C50C-407E-A947-70E740481C1C}">
                          <a14:useLocalDpi xmlns:a14="http://schemas.microsoft.com/office/drawing/2010/main" val="0"/>
                        </a:ext>
                      </a:extLst>
                    </a:blip>
                    <a:stretch>
                      <a:fillRect/>
                    </a:stretch>
                  </pic:blipFill>
                  <pic:spPr>
                    <a:xfrm>
                      <a:off x="0" y="0"/>
                      <a:ext cx="6419088" cy="3531932"/>
                    </a:xfrm>
                    <a:prstGeom prst="rect">
                      <a:avLst/>
                    </a:prstGeom>
                  </pic:spPr>
                </pic:pic>
              </a:graphicData>
            </a:graphic>
          </wp:inline>
        </w:drawing>
      </w:r>
    </w:p>
    <w:p w14:paraId="3367CD04" w14:textId="77777777" w:rsidR="00715340" w:rsidRDefault="00715340" w:rsidP="00024E80">
      <w:pPr>
        <w:spacing w:after="0" w:line="360" w:lineRule="auto"/>
        <w:ind w:left="-360"/>
        <w:jc w:val="both"/>
      </w:pPr>
    </w:p>
    <w:sectPr w:rsidR="007153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ato">
    <w:charset w:val="00"/>
    <w:family w:val="swiss"/>
    <w:pitch w:val="variable"/>
    <w:sig w:usb0="E10002FF" w:usb1="5000ECFF" w:usb2="0000002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40"/>
    <w:rsid w:val="00024E80"/>
    <w:rsid w:val="001B2739"/>
    <w:rsid w:val="001E6402"/>
    <w:rsid w:val="00203158"/>
    <w:rsid w:val="00222D4E"/>
    <w:rsid w:val="00542717"/>
    <w:rsid w:val="00562E22"/>
    <w:rsid w:val="00715340"/>
    <w:rsid w:val="007302AE"/>
    <w:rsid w:val="00793E5E"/>
    <w:rsid w:val="009924FC"/>
    <w:rsid w:val="00994114"/>
    <w:rsid w:val="00B52352"/>
    <w:rsid w:val="00BD59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0E28"/>
  <w15:chartTrackingRefBased/>
  <w15:docId w15:val="{4E69DFEA-1277-43E0-86AF-1C0C0B38A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5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5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5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5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5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5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5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5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5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5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5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5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5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5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5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5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5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5340"/>
    <w:rPr>
      <w:rFonts w:eastAsiaTheme="majorEastAsia" w:cstheme="majorBidi"/>
      <w:color w:val="272727" w:themeColor="text1" w:themeTint="D8"/>
    </w:rPr>
  </w:style>
  <w:style w:type="paragraph" w:styleId="Title">
    <w:name w:val="Title"/>
    <w:basedOn w:val="Normal"/>
    <w:next w:val="Normal"/>
    <w:link w:val="TitleChar"/>
    <w:uiPriority w:val="10"/>
    <w:qFormat/>
    <w:rsid w:val="00715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5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5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5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5340"/>
    <w:pPr>
      <w:spacing w:before="160"/>
      <w:jc w:val="center"/>
    </w:pPr>
    <w:rPr>
      <w:i/>
      <w:iCs/>
      <w:color w:val="404040" w:themeColor="text1" w:themeTint="BF"/>
    </w:rPr>
  </w:style>
  <w:style w:type="character" w:customStyle="1" w:styleId="QuoteChar">
    <w:name w:val="Quote Char"/>
    <w:basedOn w:val="DefaultParagraphFont"/>
    <w:link w:val="Quote"/>
    <w:uiPriority w:val="29"/>
    <w:rsid w:val="00715340"/>
    <w:rPr>
      <w:i/>
      <w:iCs/>
      <w:color w:val="404040" w:themeColor="text1" w:themeTint="BF"/>
    </w:rPr>
  </w:style>
  <w:style w:type="paragraph" w:styleId="ListParagraph">
    <w:name w:val="List Paragraph"/>
    <w:basedOn w:val="Normal"/>
    <w:uiPriority w:val="34"/>
    <w:qFormat/>
    <w:rsid w:val="00715340"/>
    <w:pPr>
      <w:ind w:left="720"/>
      <w:contextualSpacing/>
    </w:pPr>
  </w:style>
  <w:style w:type="character" w:styleId="IntenseEmphasis">
    <w:name w:val="Intense Emphasis"/>
    <w:basedOn w:val="DefaultParagraphFont"/>
    <w:uiPriority w:val="21"/>
    <w:qFormat/>
    <w:rsid w:val="00715340"/>
    <w:rPr>
      <w:i/>
      <w:iCs/>
      <w:color w:val="0F4761" w:themeColor="accent1" w:themeShade="BF"/>
    </w:rPr>
  </w:style>
  <w:style w:type="paragraph" w:styleId="IntenseQuote">
    <w:name w:val="Intense Quote"/>
    <w:basedOn w:val="Normal"/>
    <w:next w:val="Normal"/>
    <w:link w:val="IntenseQuoteChar"/>
    <w:uiPriority w:val="30"/>
    <w:qFormat/>
    <w:rsid w:val="00715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5340"/>
    <w:rPr>
      <w:i/>
      <w:iCs/>
      <w:color w:val="0F4761" w:themeColor="accent1" w:themeShade="BF"/>
    </w:rPr>
  </w:style>
  <w:style w:type="character" w:styleId="IntenseReference">
    <w:name w:val="Intense Reference"/>
    <w:basedOn w:val="DefaultParagraphFont"/>
    <w:uiPriority w:val="32"/>
    <w:qFormat/>
    <w:rsid w:val="00715340"/>
    <w:rPr>
      <w:b/>
      <w:bCs/>
      <w:smallCaps/>
      <w:color w:val="0F4761" w:themeColor="accent1" w:themeShade="BF"/>
      <w:spacing w:val="5"/>
    </w:rPr>
  </w:style>
  <w:style w:type="table" w:styleId="TableGrid">
    <w:name w:val="Table Grid"/>
    <w:basedOn w:val="TableNormal"/>
    <w:uiPriority w:val="39"/>
    <w:rsid w:val="007153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711</Words>
  <Characters>4055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srikanth ch</dc:creator>
  <cp:keywords/>
  <dc:description/>
  <cp:lastModifiedBy>Narne Amrutha Lekha</cp:lastModifiedBy>
  <cp:revision>4</cp:revision>
  <dcterms:created xsi:type="dcterms:W3CDTF">2026-08-19T03:15:00Z</dcterms:created>
  <dcterms:modified xsi:type="dcterms:W3CDTF">2026-08-19T17:17:00Z</dcterms:modified>
</cp:coreProperties>
</file>