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736BCA" w14:textId="77777777" w:rsidR="002C0053" w:rsidRDefault="00000000">
      <w:pPr>
        <w:spacing w:before="480" w:after="80"/>
        <w:jc w:val="center"/>
      </w:pPr>
      <w:r>
        <w:rPr>
          <w:b/>
          <w:bCs/>
          <w:color w:val="1F4E79"/>
          <w:sz w:val="52"/>
          <w:szCs w:val="52"/>
        </w:rPr>
        <w:t>User Stories &amp; Use Cases</w:t>
      </w:r>
    </w:p>
    <w:p w14:paraId="5AFAC7D3" w14:textId="77777777" w:rsidR="002C0053" w:rsidRDefault="00000000">
      <w:pPr>
        <w:spacing w:after="80"/>
        <w:jc w:val="center"/>
      </w:pPr>
      <w:r>
        <w:rPr>
          <w:color w:val="2E75B6"/>
          <w:sz w:val="36"/>
          <w:szCs w:val="36"/>
        </w:rPr>
        <w:t xml:space="preserve">for the </w:t>
      </w:r>
      <w:proofErr w:type="spellStart"/>
      <w:r>
        <w:rPr>
          <w:color w:val="2E75B6"/>
          <w:sz w:val="36"/>
          <w:szCs w:val="36"/>
        </w:rPr>
        <w:t>OpenCDC</w:t>
      </w:r>
      <w:proofErr w:type="spellEnd"/>
      <w:r>
        <w:rPr>
          <w:color w:val="2E75B6"/>
          <w:sz w:val="36"/>
          <w:szCs w:val="36"/>
        </w:rPr>
        <w:t xml:space="preserve"> Initiative</w:t>
      </w:r>
    </w:p>
    <w:p w14:paraId="61D0C045" w14:textId="34F2F972" w:rsidR="002C0053" w:rsidRDefault="009649E5">
      <w:pPr>
        <w:spacing w:before="160" w:after="640"/>
        <w:jc w:val="center"/>
      </w:pPr>
      <w:r>
        <w:rPr>
          <w:i/>
          <w:iCs/>
          <w:color w:val="595959"/>
        </w:rPr>
        <w:t>Fifth</w:t>
      </w:r>
      <w:r w:rsidR="00C272C0">
        <w:rPr>
          <w:i/>
          <w:iCs/>
          <w:color w:val="595959"/>
        </w:rPr>
        <w:t xml:space="preserve"> Draft · </w:t>
      </w:r>
      <w:r>
        <w:rPr>
          <w:i/>
          <w:iCs/>
          <w:color w:val="595959"/>
        </w:rPr>
        <w:t>June 4</w:t>
      </w:r>
      <w:r w:rsidRPr="009649E5">
        <w:rPr>
          <w:i/>
          <w:iCs/>
          <w:color w:val="595959"/>
          <w:vertAlign w:val="superscript"/>
        </w:rPr>
        <w:t>th</w:t>
      </w:r>
      <w:r w:rsidR="00C272C0">
        <w:rPr>
          <w:i/>
          <w:iCs/>
          <w:color w:val="595959"/>
        </w:rPr>
        <w:t>, 2026</w:t>
      </w:r>
    </w:p>
    <w:p w14:paraId="206CF002" w14:textId="4B5FB7FC" w:rsidR="002C0053" w:rsidRDefault="00000000">
      <w:pPr>
        <w:pBdr>
          <w:left w:val="thick" w:sz="12" w:space="8" w:color="2E75B6"/>
        </w:pBdr>
        <w:spacing w:after="160"/>
        <w:ind w:left="360"/>
      </w:pPr>
      <w:proofErr w:type="spellStart"/>
      <w:r>
        <w:rPr>
          <w:i/>
          <w:iCs/>
          <w:color w:val="333333"/>
        </w:rPr>
        <w:t>OpenCDC</w:t>
      </w:r>
      <w:proofErr w:type="spellEnd"/>
      <w:r>
        <w:rPr>
          <w:i/>
          <w:iCs/>
          <w:color w:val="333333"/>
        </w:rPr>
        <w:t xml:space="preserve"> is a proposed standard for the structure and semantics of database change events. Any compliant producer — CDC tool or database — can interoperate with any compliant consumer — </w:t>
      </w:r>
      <w:r w:rsidR="004E5AA0">
        <w:rPr>
          <w:i/>
          <w:iCs/>
          <w:color w:val="333333"/>
        </w:rPr>
        <w:t xml:space="preserve">CDC </w:t>
      </w:r>
      <w:r>
        <w:rPr>
          <w:i/>
          <w:iCs/>
          <w:color w:val="333333"/>
        </w:rPr>
        <w:t xml:space="preserve">tool, pipeline, </w:t>
      </w:r>
      <w:proofErr w:type="spellStart"/>
      <w:r w:rsidR="004E5AA0">
        <w:rPr>
          <w:i/>
          <w:iCs/>
          <w:color w:val="333333"/>
        </w:rPr>
        <w:t>lakehouse</w:t>
      </w:r>
      <w:proofErr w:type="spellEnd"/>
      <w:r w:rsidR="004E5AA0">
        <w:rPr>
          <w:i/>
          <w:iCs/>
          <w:color w:val="333333"/>
        </w:rPr>
        <w:t xml:space="preserve"> </w:t>
      </w:r>
      <w:r>
        <w:rPr>
          <w:i/>
          <w:iCs/>
          <w:color w:val="333333"/>
        </w:rPr>
        <w:t xml:space="preserve">or </w:t>
      </w:r>
      <w:r w:rsidR="004E5AA0">
        <w:rPr>
          <w:i/>
          <w:iCs/>
          <w:color w:val="333333"/>
        </w:rPr>
        <w:t xml:space="preserve">AI </w:t>
      </w:r>
      <w:r>
        <w:rPr>
          <w:i/>
          <w:iCs/>
          <w:color w:val="333333"/>
        </w:rPr>
        <w:t>application — without custom translation</w:t>
      </w:r>
      <w:r w:rsidR="004E5AA0">
        <w:rPr>
          <w:i/>
          <w:iCs/>
          <w:color w:val="333333"/>
        </w:rPr>
        <w:t>s or complex processing</w:t>
      </w:r>
      <w:r>
        <w:rPr>
          <w:i/>
          <w:iCs/>
          <w:color w:val="333333"/>
        </w:rPr>
        <w:t>.</w:t>
      </w:r>
    </w:p>
    <w:p w14:paraId="0E404782" w14:textId="77777777" w:rsidR="002C0053" w:rsidRDefault="002C0053">
      <w:pPr>
        <w:spacing w:before="160" w:after="160"/>
      </w:pPr>
    </w:p>
    <w:p w14:paraId="53040457" w14:textId="77777777" w:rsidR="002C0053" w:rsidRDefault="00000000" w:rsidP="00A67EC6">
      <w:pPr>
        <w:spacing w:after="160"/>
      </w:pPr>
      <w:r>
        <w:t xml:space="preserve">This document describes six use cases for an </w:t>
      </w:r>
      <w:proofErr w:type="spellStart"/>
      <w:r>
        <w:t>OpenCDC</w:t>
      </w:r>
      <w:proofErr w:type="spellEnd"/>
      <w:r>
        <w:t xml:space="preserve"> specification, organized by complexity and working-group priority</w:t>
      </w:r>
      <w:r w:rsidR="00A67EC6">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7"/>
        <w:gridCol w:w="6243"/>
        <w:gridCol w:w="2400"/>
      </w:tblGrid>
      <w:tr w:rsidR="002C0053" w14:paraId="1DC20D33" w14:textId="77777777" w:rsidTr="003003E8">
        <w:tc>
          <w:tcPr>
            <w:tcW w:w="717"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5C276DB2" w14:textId="77777777" w:rsidR="002C0053" w:rsidRDefault="00000000">
            <w:r>
              <w:rPr>
                <w:b/>
                <w:bCs/>
                <w:color w:val="FFFFFF"/>
                <w:sz w:val="20"/>
                <w:szCs w:val="20"/>
              </w:rPr>
              <w:t>#</w:t>
            </w:r>
          </w:p>
        </w:tc>
        <w:tc>
          <w:tcPr>
            <w:tcW w:w="6243"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6FA83BAC" w14:textId="77777777" w:rsidR="002C0053" w:rsidRDefault="00000000">
            <w:r>
              <w:rPr>
                <w:b/>
                <w:bCs/>
                <w:color w:val="FFFFFF"/>
                <w:sz w:val="20"/>
                <w:szCs w:val="20"/>
              </w:rPr>
              <w:t>Story</w:t>
            </w:r>
          </w:p>
        </w:tc>
        <w:tc>
          <w:tcPr>
            <w:tcW w:w="240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240638E9" w14:textId="77777777" w:rsidR="002C0053" w:rsidRDefault="00000000">
            <w:r>
              <w:rPr>
                <w:b/>
                <w:bCs/>
                <w:color w:val="FFFFFF"/>
                <w:sz w:val="20"/>
                <w:szCs w:val="20"/>
              </w:rPr>
              <w:t>Priority</w:t>
            </w:r>
          </w:p>
        </w:tc>
      </w:tr>
      <w:tr w:rsidR="002C0053" w14:paraId="2A97D4A9"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38812D1A" w14:textId="77777777" w:rsidR="002C0053" w:rsidRDefault="00000000">
            <w:r>
              <w:rPr>
                <w:b/>
                <w:bCs/>
                <w:sz w:val="20"/>
                <w:szCs w:val="20"/>
              </w:rPr>
              <w:t>1</w:t>
            </w:r>
          </w:p>
        </w:tc>
        <w:tc>
          <w:tcPr>
            <w:tcW w:w="62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AC148A" w14:textId="24410B5E" w:rsidR="002C0053" w:rsidRDefault="003003E8">
            <w:r>
              <w:rPr>
                <w:sz w:val="20"/>
                <w:szCs w:val="20"/>
              </w:rPr>
              <w:t>Interoperability of mixed-vendor CDC tools, same DB type</w:t>
            </w:r>
          </w:p>
        </w:tc>
        <w:tc>
          <w:tcPr>
            <w:tcW w:w="2400" w:type="dxa"/>
            <w:tcBorders>
              <w:top w:val="single" w:sz="1" w:space="0" w:color="CCCCCC"/>
              <w:left w:val="single" w:sz="1" w:space="0" w:color="CCCCCC"/>
              <w:bottom w:val="single" w:sz="1" w:space="0" w:color="CCCCCC"/>
              <w:right w:val="single" w:sz="2" w:space="0" w:color="2E75B6"/>
            </w:tcBorders>
            <w:shd w:val="clear" w:color="auto" w:fill="E8F4E8"/>
            <w:tcMar>
              <w:top w:w="60" w:type="dxa"/>
              <w:left w:w="120" w:type="dxa"/>
              <w:bottom w:w="60" w:type="dxa"/>
              <w:right w:w="120" w:type="dxa"/>
            </w:tcMar>
          </w:tcPr>
          <w:p w14:paraId="3A9CC0A9" w14:textId="77777777" w:rsidR="002C0053" w:rsidRDefault="00000000">
            <w:r>
              <w:rPr>
                <w:b/>
                <w:bCs/>
                <w:color w:val="2D7A2D"/>
                <w:sz w:val="20"/>
                <w:szCs w:val="20"/>
              </w:rPr>
              <w:t>● Core</w:t>
            </w:r>
          </w:p>
        </w:tc>
      </w:tr>
      <w:tr w:rsidR="003003E8" w14:paraId="7B2BCC03"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4858B160" w14:textId="7DCB6078" w:rsidR="003003E8" w:rsidRDefault="003003E8">
            <w:pPr>
              <w:rPr>
                <w:b/>
                <w:bCs/>
                <w:sz w:val="20"/>
                <w:szCs w:val="20"/>
              </w:rPr>
            </w:pPr>
            <w:r>
              <w:rPr>
                <w:b/>
                <w:bCs/>
                <w:sz w:val="20"/>
                <w:szCs w:val="20"/>
              </w:rPr>
              <w:t>2</w:t>
            </w:r>
          </w:p>
        </w:tc>
        <w:tc>
          <w:tcPr>
            <w:tcW w:w="6243"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9993AF" w14:textId="49403A33" w:rsidR="003003E8" w:rsidRDefault="003003E8">
            <w:pPr>
              <w:rPr>
                <w:sz w:val="20"/>
                <w:szCs w:val="20"/>
              </w:rPr>
            </w:pPr>
            <w:r>
              <w:rPr>
                <w:sz w:val="20"/>
                <w:szCs w:val="20"/>
              </w:rPr>
              <w:t>Interoperability of mixed-vendor CDC tools, different DBs</w:t>
            </w:r>
          </w:p>
        </w:tc>
        <w:tc>
          <w:tcPr>
            <w:tcW w:w="2400" w:type="dxa"/>
            <w:tcBorders>
              <w:top w:val="single" w:sz="1" w:space="0" w:color="CCCCCC"/>
              <w:left w:val="single" w:sz="1" w:space="0" w:color="CCCCCC"/>
              <w:bottom w:val="single" w:sz="1" w:space="0" w:color="CCCCCC"/>
              <w:right w:val="single" w:sz="2" w:space="0" w:color="2E75B6"/>
            </w:tcBorders>
            <w:shd w:val="clear" w:color="auto" w:fill="E8F4E8"/>
            <w:tcMar>
              <w:top w:w="60" w:type="dxa"/>
              <w:left w:w="120" w:type="dxa"/>
              <w:bottom w:w="60" w:type="dxa"/>
              <w:right w:w="120" w:type="dxa"/>
            </w:tcMar>
          </w:tcPr>
          <w:p w14:paraId="57C351F3" w14:textId="573370B3" w:rsidR="003003E8" w:rsidRDefault="003003E8">
            <w:pPr>
              <w:rPr>
                <w:b/>
                <w:bCs/>
                <w:color w:val="2D7A2D"/>
                <w:sz w:val="20"/>
                <w:szCs w:val="20"/>
              </w:rPr>
            </w:pPr>
            <w:r>
              <w:rPr>
                <w:b/>
                <w:bCs/>
                <w:color w:val="2D7A2D"/>
                <w:sz w:val="20"/>
                <w:szCs w:val="20"/>
              </w:rPr>
              <w:t>● Core</w:t>
            </w:r>
          </w:p>
        </w:tc>
      </w:tr>
      <w:tr w:rsidR="002C0053" w14:paraId="6029E390"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15FCEC51" w14:textId="77777777" w:rsidR="002C0053" w:rsidRDefault="00000000">
            <w:r>
              <w:rPr>
                <w:b/>
                <w:bCs/>
                <w:sz w:val="20"/>
                <w:szCs w:val="20"/>
              </w:rPr>
              <w:t>3</w:t>
            </w:r>
          </w:p>
        </w:tc>
        <w:tc>
          <w:tcPr>
            <w:tcW w:w="62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02A064" w14:textId="77777777" w:rsidR="002C0053" w:rsidRDefault="00000000">
            <w:r>
              <w:rPr>
                <w:sz w:val="20"/>
                <w:szCs w:val="20"/>
              </w:rPr>
              <w:t xml:space="preserve">Unified </w:t>
            </w:r>
            <w:proofErr w:type="spellStart"/>
            <w:r>
              <w:rPr>
                <w:sz w:val="20"/>
                <w:szCs w:val="20"/>
              </w:rPr>
              <w:t>lakehouse</w:t>
            </w:r>
            <w:proofErr w:type="spellEnd"/>
            <w:r>
              <w:rPr>
                <w:sz w:val="20"/>
                <w:szCs w:val="20"/>
              </w:rPr>
              <w:t>/warehouse CDC ingestion</w:t>
            </w:r>
          </w:p>
        </w:tc>
        <w:tc>
          <w:tcPr>
            <w:tcW w:w="2400" w:type="dxa"/>
            <w:tcBorders>
              <w:top w:val="single" w:sz="1" w:space="0" w:color="CCCCCC"/>
              <w:left w:val="single" w:sz="1" w:space="0" w:color="CCCCCC"/>
              <w:bottom w:val="single" w:sz="1" w:space="0" w:color="CCCCCC"/>
              <w:right w:val="single" w:sz="2" w:space="0" w:color="2E75B6"/>
            </w:tcBorders>
            <w:shd w:val="clear" w:color="auto" w:fill="E8F4E8"/>
            <w:tcMar>
              <w:top w:w="60" w:type="dxa"/>
              <w:left w:w="120" w:type="dxa"/>
              <w:bottom w:w="60" w:type="dxa"/>
              <w:right w:w="120" w:type="dxa"/>
            </w:tcMar>
          </w:tcPr>
          <w:p w14:paraId="36CFE250" w14:textId="77777777" w:rsidR="002C0053" w:rsidRDefault="00000000">
            <w:r>
              <w:rPr>
                <w:b/>
                <w:bCs/>
                <w:color w:val="2D7A2D"/>
                <w:sz w:val="20"/>
                <w:szCs w:val="20"/>
              </w:rPr>
              <w:t>● Core</w:t>
            </w:r>
          </w:p>
        </w:tc>
      </w:tr>
      <w:tr w:rsidR="003003E8" w14:paraId="637CFE68"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2461BA3F" w14:textId="76E941F4" w:rsidR="003003E8" w:rsidRDefault="003003E8" w:rsidP="003003E8">
            <w:pPr>
              <w:rPr>
                <w:b/>
                <w:bCs/>
                <w:sz w:val="20"/>
                <w:szCs w:val="20"/>
              </w:rPr>
            </w:pPr>
            <w:r>
              <w:rPr>
                <w:b/>
                <w:bCs/>
                <w:sz w:val="20"/>
                <w:szCs w:val="20"/>
              </w:rPr>
              <w:t>4</w:t>
            </w:r>
          </w:p>
        </w:tc>
        <w:tc>
          <w:tcPr>
            <w:tcW w:w="6243"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32D0BC" w14:textId="1C63EF82" w:rsidR="003003E8" w:rsidRDefault="003003E8" w:rsidP="003003E8">
            <w:pPr>
              <w:rPr>
                <w:sz w:val="20"/>
                <w:szCs w:val="20"/>
              </w:rPr>
            </w:pPr>
            <w:r>
              <w:rPr>
                <w:sz w:val="20"/>
                <w:szCs w:val="20"/>
              </w:rPr>
              <w:t>AI agent (reactive) listens to CDC event stream</w:t>
            </w:r>
          </w:p>
        </w:tc>
        <w:tc>
          <w:tcPr>
            <w:tcW w:w="2400" w:type="dxa"/>
            <w:tcBorders>
              <w:top w:val="single" w:sz="1" w:space="0" w:color="CCCCCC"/>
              <w:left w:val="single" w:sz="1" w:space="0" w:color="CCCCCC"/>
              <w:bottom w:val="single" w:sz="1" w:space="0" w:color="CCCCCC"/>
              <w:right w:val="single" w:sz="2" w:space="0" w:color="2E75B6"/>
            </w:tcBorders>
            <w:shd w:val="clear" w:color="auto" w:fill="FFF8E8"/>
            <w:tcMar>
              <w:top w:w="60" w:type="dxa"/>
              <w:left w:w="120" w:type="dxa"/>
              <w:bottom w:w="60" w:type="dxa"/>
              <w:right w:w="120" w:type="dxa"/>
            </w:tcMar>
          </w:tcPr>
          <w:p w14:paraId="3C7EB1EF" w14:textId="076533B3" w:rsidR="003003E8" w:rsidRDefault="003003E8" w:rsidP="003003E8">
            <w:pPr>
              <w:rPr>
                <w:b/>
                <w:bCs/>
                <w:color w:val="8B6914"/>
                <w:sz w:val="20"/>
                <w:szCs w:val="20"/>
              </w:rPr>
            </w:pPr>
            <w:r>
              <w:rPr>
                <w:b/>
                <w:bCs/>
                <w:color w:val="8B6914"/>
                <w:sz w:val="20"/>
                <w:szCs w:val="20"/>
              </w:rPr>
              <w:t>○ Stretch</w:t>
            </w:r>
          </w:p>
        </w:tc>
      </w:tr>
      <w:tr w:rsidR="003003E8" w14:paraId="1F092C9C"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auto"/>
            <w:tcMar>
              <w:top w:w="60" w:type="dxa"/>
              <w:left w:w="120" w:type="dxa"/>
              <w:bottom w:w="60" w:type="dxa"/>
              <w:right w:w="120" w:type="dxa"/>
            </w:tcMar>
          </w:tcPr>
          <w:p w14:paraId="420BF69C" w14:textId="6D942779" w:rsidR="003003E8" w:rsidRDefault="003003E8" w:rsidP="003003E8">
            <w:r>
              <w:rPr>
                <w:b/>
                <w:bCs/>
                <w:sz w:val="20"/>
                <w:szCs w:val="20"/>
              </w:rPr>
              <w:t>5</w:t>
            </w:r>
          </w:p>
        </w:tc>
        <w:tc>
          <w:tcPr>
            <w:tcW w:w="6243" w:type="dxa"/>
            <w:tcBorders>
              <w:top w:val="single" w:sz="1" w:space="0" w:color="CCCCCC"/>
              <w:left w:val="single" w:sz="1" w:space="0" w:color="CCCCCC"/>
              <w:bottom w:val="single" w:sz="1" w:space="0" w:color="CCCCCC"/>
              <w:right w:val="single" w:sz="1" w:space="0" w:color="CCCCCC"/>
            </w:tcBorders>
            <w:shd w:val="clear" w:color="auto" w:fill="auto"/>
            <w:tcMar>
              <w:top w:w="60" w:type="dxa"/>
              <w:left w:w="120" w:type="dxa"/>
              <w:bottom w:w="60" w:type="dxa"/>
              <w:right w:w="120" w:type="dxa"/>
            </w:tcMar>
          </w:tcPr>
          <w:p w14:paraId="60009CB5" w14:textId="77777777" w:rsidR="003003E8" w:rsidRDefault="003003E8" w:rsidP="003003E8">
            <w:r>
              <w:rPr>
                <w:sz w:val="20"/>
                <w:szCs w:val="20"/>
              </w:rPr>
              <w:t xml:space="preserve">Database fire-and-forget to </w:t>
            </w:r>
            <w:proofErr w:type="gramStart"/>
            <w:r>
              <w:rPr>
                <w:sz w:val="20"/>
                <w:szCs w:val="20"/>
              </w:rPr>
              <w:t>streaming</w:t>
            </w:r>
            <w:proofErr w:type="gramEnd"/>
            <w:r>
              <w:rPr>
                <w:sz w:val="20"/>
                <w:szCs w:val="20"/>
              </w:rPr>
              <w:t xml:space="preserve"> pipeline (no CDC tools)</w:t>
            </w:r>
          </w:p>
        </w:tc>
        <w:tc>
          <w:tcPr>
            <w:tcW w:w="2400" w:type="dxa"/>
            <w:tcBorders>
              <w:top w:val="single" w:sz="1" w:space="0" w:color="CCCCCC"/>
              <w:left w:val="single" w:sz="1" w:space="0" w:color="CCCCCC"/>
              <w:bottom w:val="single" w:sz="1" w:space="0" w:color="CCCCCC"/>
              <w:right w:val="single" w:sz="2" w:space="0" w:color="2E75B6"/>
            </w:tcBorders>
            <w:shd w:val="clear" w:color="auto" w:fill="FFF8E8"/>
            <w:tcMar>
              <w:top w:w="60" w:type="dxa"/>
              <w:left w:w="120" w:type="dxa"/>
              <w:bottom w:w="60" w:type="dxa"/>
              <w:right w:w="120" w:type="dxa"/>
            </w:tcMar>
          </w:tcPr>
          <w:p w14:paraId="1288A406" w14:textId="77777777" w:rsidR="003003E8" w:rsidRDefault="003003E8" w:rsidP="003003E8">
            <w:r>
              <w:rPr>
                <w:b/>
                <w:bCs/>
                <w:color w:val="8B6914"/>
                <w:sz w:val="20"/>
                <w:szCs w:val="20"/>
              </w:rPr>
              <w:t>○ Stretch</w:t>
            </w:r>
          </w:p>
        </w:tc>
      </w:tr>
      <w:tr w:rsidR="003003E8" w14:paraId="146565B1" w14:textId="77777777" w:rsidTr="003003E8">
        <w:tc>
          <w:tcPr>
            <w:tcW w:w="717" w:type="dxa"/>
            <w:tcBorders>
              <w:top w:val="single" w:sz="1" w:space="0" w:color="CCCCCC"/>
              <w:left w:val="single" w:sz="2" w:space="0" w:color="2E75B6"/>
              <w:bottom w:val="single" w:sz="1" w:space="0" w:color="CCCCCC"/>
              <w:right w:val="single" w:sz="1" w:space="0" w:color="CCCCCC"/>
            </w:tcBorders>
            <w:shd w:val="clear" w:color="auto" w:fill="F2F2F2" w:themeFill="background1" w:themeFillShade="F2"/>
            <w:tcMar>
              <w:top w:w="60" w:type="dxa"/>
              <w:left w:w="120" w:type="dxa"/>
              <w:bottom w:w="60" w:type="dxa"/>
              <w:right w:w="120" w:type="dxa"/>
            </w:tcMar>
          </w:tcPr>
          <w:p w14:paraId="3E011984" w14:textId="67BB3448" w:rsidR="003003E8" w:rsidRDefault="003003E8" w:rsidP="003003E8">
            <w:r>
              <w:rPr>
                <w:b/>
                <w:bCs/>
                <w:sz w:val="20"/>
                <w:szCs w:val="20"/>
              </w:rPr>
              <w:t>6</w:t>
            </w:r>
          </w:p>
        </w:tc>
        <w:tc>
          <w:tcPr>
            <w:tcW w:w="6243"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60" w:type="dxa"/>
              <w:left w:w="120" w:type="dxa"/>
              <w:bottom w:w="60" w:type="dxa"/>
              <w:right w:w="120" w:type="dxa"/>
            </w:tcMar>
          </w:tcPr>
          <w:p w14:paraId="4B3CA34F" w14:textId="77777777" w:rsidR="003003E8" w:rsidRDefault="003003E8" w:rsidP="003003E8">
            <w:r>
              <w:rPr>
                <w:sz w:val="20"/>
                <w:szCs w:val="20"/>
              </w:rPr>
              <w:t>Database-to-database sync without CDC tools</w:t>
            </w:r>
          </w:p>
        </w:tc>
        <w:tc>
          <w:tcPr>
            <w:tcW w:w="2400" w:type="dxa"/>
            <w:tcBorders>
              <w:top w:val="single" w:sz="1" w:space="0" w:color="CCCCCC"/>
              <w:left w:val="single" w:sz="1" w:space="0" w:color="CCCCCC"/>
              <w:bottom w:val="single" w:sz="1" w:space="0" w:color="CCCCCC"/>
              <w:right w:val="single" w:sz="2" w:space="0" w:color="2E75B6"/>
            </w:tcBorders>
            <w:shd w:val="clear" w:color="auto" w:fill="FFF8E8"/>
            <w:tcMar>
              <w:top w:w="60" w:type="dxa"/>
              <w:left w:w="120" w:type="dxa"/>
              <w:bottom w:w="60" w:type="dxa"/>
              <w:right w:w="120" w:type="dxa"/>
            </w:tcMar>
          </w:tcPr>
          <w:p w14:paraId="7051FD0A" w14:textId="77777777" w:rsidR="003003E8" w:rsidRDefault="003003E8" w:rsidP="003003E8">
            <w:r>
              <w:rPr>
                <w:b/>
                <w:bCs/>
                <w:color w:val="8B6914"/>
                <w:sz w:val="20"/>
                <w:szCs w:val="20"/>
              </w:rPr>
              <w:t>○ Stretch</w:t>
            </w:r>
          </w:p>
        </w:tc>
      </w:tr>
    </w:tbl>
    <w:p w14:paraId="7589086B" w14:textId="77777777" w:rsidR="002C0053" w:rsidRDefault="002C0053">
      <w:pPr>
        <w:spacing w:before="160" w:after="80"/>
      </w:pPr>
    </w:p>
    <w:p w14:paraId="442D1E07" w14:textId="77777777" w:rsidR="00EE693E" w:rsidRDefault="00000000">
      <w:pPr>
        <w:spacing w:after="160"/>
      </w:pPr>
      <w:r>
        <w:rPr>
          <w:b/>
          <w:bCs/>
        </w:rPr>
        <w:t>Core stories</w:t>
      </w:r>
      <w:r>
        <w:t xml:space="preserve"> are the initial focus of the working group. </w:t>
      </w:r>
      <w:r>
        <w:rPr>
          <w:b/>
          <w:bCs/>
        </w:rPr>
        <w:t>Stretch stories</w:t>
      </w:r>
      <w:r>
        <w:t xml:space="preserve"> represent conceptually important use cases for mid- and long-term consideration.</w:t>
      </w:r>
      <w:r w:rsidR="00A67EC6">
        <w:t xml:space="preserve"> </w:t>
      </w:r>
    </w:p>
    <w:p w14:paraId="2514E191" w14:textId="627B5052" w:rsidR="00A67EC6" w:rsidRDefault="00EE693E">
      <w:pPr>
        <w:spacing w:after="160"/>
      </w:pPr>
      <w:r w:rsidRPr="00EE693E">
        <w:rPr>
          <w:b/>
          <w:bCs/>
        </w:rPr>
        <w:t xml:space="preserve">Design Goals and </w:t>
      </w:r>
      <w:r w:rsidR="00A67EC6" w:rsidRPr="00EE693E">
        <w:rPr>
          <w:b/>
          <w:bCs/>
        </w:rPr>
        <w:t>Non-goals:</w:t>
      </w:r>
      <w:r w:rsidR="00A67EC6">
        <w:t xml:space="preserve"> </w:t>
      </w:r>
      <w:proofErr w:type="spellStart"/>
      <w:r>
        <w:t>OpenCDC</w:t>
      </w:r>
      <w:proofErr w:type="spellEnd"/>
      <w:r w:rsidR="00A67EC6">
        <w:t xml:space="preserve"> </w:t>
      </w:r>
      <w:r>
        <w:t>is</w:t>
      </w:r>
      <w:r w:rsidR="00A67EC6">
        <w:t xml:space="preserve"> focused on payload</w:t>
      </w:r>
      <w:r>
        <w:t xml:space="preserve"> structure and semantics</w:t>
      </w:r>
      <w:r w:rsidR="00A67EC6">
        <w:t>, not the transport</w:t>
      </w:r>
      <w:r>
        <w:t xml:space="preserve">, </w:t>
      </w:r>
      <w:proofErr w:type="gramStart"/>
      <w:r>
        <w:t>serialization</w:t>
      </w:r>
      <w:proofErr w:type="gramEnd"/>
      <w:r>
        <w:t xml:space="preserve"> or infrastructure details</w:t>
      </w:r>
      <w:r w:rsidR="00A67EC6">
        <w:t>. Therefore, all mentions of databases, CDC tools</w:t>
      </w:r>
      <w:r>
        <w:t xml:space="preserve">, file formats </w:t>
      </w:r>
      <w:r w:rsidR="00A67EC6">
        <w:t>and transports in this document are intended as examples only.</w:t>
      </w:r>
      <w:r w:rsidR="002A51DD">
        <w:br/>
      </w:r>
    </w:p>
    <w:p w14:paraId="67383F73" w14:textId="1C97BF48" w:rsidR="00C272C0" w:rsidRPr="002A51DD" w:rsidRDefault="002A51DD">
      <w:pPr>
        <w:spacing w:after="160"/>
        <w:rPr>
          <w:b/>
          <w:bCs/>
        </w:rPr>
      </w:pPr>
      <w:r w:rsidRPr="002A51DD">
        <w:rPr>
          <w:b/>
          <w:bCs/>
        </w:rPr>
        <w:t xml:space="preserve">Why now, for </w:t>
      </w:r>
      <w:proofErr w:type="spellStart"/>
      <w:r w:rsidRPr="002A51DD">
        <w:rPr>
          <w:b/>
          <w:bCs/>
        </w:rPr>
        <w:t>OpenCDC</w:t>
      </w:r>
      <w:proofErr w:type="spellEnd"/>
      <w:r w:rsidRPr="002A51DD">
        <w:rPr>
          <w:b/>
          <w:bCs/>
        </w:rPr>
        <w:t>?</w:t>
      </w:r>
    </w:p>
    <w:p w14:paraId="23FC148F" w14:textId="5249338A" w:rsidR="005F0597" w:rsidRDefault="005F0597" w:rsidP="005F0597">
      <w:r>
        <w:t>The rise of AI, streaming, and real-time data architectures has made change data the backbone of modern enterprise systems. Yet despite CDC becoming ubiquitous infrastructure, there is still no standard for how change events are represented and exchanged. That gap forces organizations into custom integration logic — fragmentation, duplicated effort, and inconsistent semantics that compound with every new source and consumer.</w:t>
      </w:r>
      <w:r>
        <w:br/>
      </w:r>
    </w:p>
    <w:p w14:paraId="6A154BAA" w14:textId="63172813" w:rsidR="008F5EA1" w:rsidRDefault="00EE693E" w:rsidP="005F0597">
      <w:r>
        <w:t xml:space="preserve">Databases and </w:t>
      </w:r>
      <w:r w:rsidR="005F0597">
        <w:t xml:space="preserve">CDC tools </w:t>
      </w:r>
      <w:r>
        <w:t xml:space="preserve">have already </w:t>
      </w:r>
      <w:r w:rsidR="005F0597">
        <w:t xml:space="preserve">solved how to </w:t>
      </w:r>
      <w:r>
        <w:t xml:space="preserve">log, </w:t>
      </w:r>
      <w:proofErr w:type="gramStart"/>
      <w:r w:rsidR="005F0597">
        <w:t>detect</w:t>
      </w:r>
      <w:proofErr w:type="gramEnd"/>
      <w:r w:rsidR="005F0597">
        <w:t xml:space="preserve"> and capture</w:t>
      </w:r>
      <w:r>
        <w:t xml:space="preserve"> transaction</w:t>
      </w:r>
      <w:r w:rsidR="005F0597">
        <w:t xml:space="preserve"> change</w:t>
      </w:r>
      <w:r>
        <w:t>s</w:t>
      </w:r>
      <w:r w:rsidR="005F0597">
        <w:t xml:space="preserve">. </w:t>
      </w:r>
      <w:proofErr w:type="spellStart"/>
      <w:r w:rsidR="005F0597">
        <w:t>OpenCDC</w:t>
      </w:r>
      <w:proofErr w:type="spellEnd"/>
      <w:r w:rsidR="005F0597">
        <w:t xml:space="preserve"> standardizes the remaining layer: the structure and semantics of the change event itself, enabling any producer to interoperate with any consumer regardless of vendor, database, </w:t>
      </w:r>
      <w:r>
        <w:t xml:space="preserve">CDC tool </w:t>
      </w:r>
      <w:r w:rsidR="005F0597">
        <w:t>or transport.</w:t>
      </w:r>
    </w:p>
    <w:p w14:paraId="6E7A7666" w14:textId="77777777" w:rsidR="008F5EA1" w:rsidRDefault="008F5EA1" w:rsidP="005F0597"/>
    <w:p w14:paraId="7DFB1A8F" w14:textId="591FBE5D" w:rsidR="00563D68" w:rsidRPr="00DC2A54" w:rsidRDefault="00DC2A54" w:rsidP="00DC2A54">
      <w:pPr>
        <w:pStyle w:val="Heading1"/>
      </w:pPr>
      <w:proofErr w:type="spellStart"/>
      <w:r>
        <w:lastRenderedPageBreak/>
        <w:t>OpenCDC</w:t>
      </w:r>
      <w:proofErr w:type="spellEnd"/>
      <w:r w:rsidR="008F5EA1">
        <w:t xml:space="preserve"> </w:t>
      </w:r>
      <w:r w:rsidR="008F5EA1" w:rsidRPr="008F5EA1">
        <w:t>Design Goal</w:t>
      </w:r>
      <w:r w:rsidR="00563D68">
        <w:t>s</w:t>
      </w:r>
      <w:r w:rsidR="008F5EA1" w:rsidRPr="008F5EA1">
        <w:t>:</w:t>
      </w:r>
    </w:p>
    <w:p w14:paraId="76E78721" w14:textId="4B87002A" w:rsidR="00FC503B" w:rsidRPr="00FC503B" w:rsidRDefault="00DC2A54" w:rsidP="00DC2A54">
      <w:pPr>
        <w:pStyle w:val="Heading2"/>
      </w:pPr>
      <w:r>
        <w:t xml:space="preserve">A: </w:t>
      </w:r>
      <w:r w:rsidR="00FC503B" w:rsidRPr="00FC503B">
        <w:t>Serialization, Transport, and Infrastructure Independence</w:t>
      </w:r>
    </w:p>
    <w:p w14:paraId="2B37FEB1" w14:textId="1E5C0BA5" w:rsidR="00FC503B" w:rsidRPr="00FC503B" w:rsidRDefault="004E5AA0" w:rsidP="00FC503B">
      <w:r>
        <w:t>The central</w:t>
      </w:r>
      <w:r w:rsidR="00FC503B" w:rsidRPr="00FC503B">
        <w:t xml:space="preserve"> guiding idea behind </w:t>
      </w:r>
      <w:proofErr w:type="spellStart"/>
      <w:r w:rsidR="00FC503B" w:rsidRPr="00FC503B">
        <w:t>OpenCDC</w:t>
      </w:r>
      <w:proofErr w:type="spellEnd"/>
      <w:r w:rsidR="00FC503B" w:rsidRPr="00FC503B">
        <w:t xml:space="preserve"> is that a change event should be meaningful on its own — readable and trustworthy without depending on the tools, formats, or plumbing that happen to carry it. </w:t>
      </w:r>
      <w:r>
        <w:t>Logical c</w:t>
      </w:r>
      <w:r w:rsidR="00EE693E">
        <w:t>hange events should be able to stand independently from their file serialization, transport protocols and infrastructure systems/tooling that process them</w:t>
      </w:r>
      <w:r w:rsidR="00FC503B" w:rsidRPr="00FC503B">
        <w:t>.</w:t>
      </w:r>
      <w:r w:rsidR="00FC503B">
        <w:br/>
      </w:r>
    </w:p>
    <w:p w14:paraId="1E328FF7" w14:textId="165D9801" w:rsidR="00FC503B" w:rsidRDefault="00FC503B" w:rsidP="00FC503B">
      <w:pPr>
        <w:pStyle w:val="ListParagraph"/>
        <w:numPr>
          <w:ilvl w:val="0"/>
          <w:numId w:val="5"/>
        </w:numPr>
      </w:pPr>
      <w:r w:rsidRPr="00EE693E">
        <w:rPr>
          <w:b/>
          <w:bCs/>
        </w:rPr>
        <w:t>Serialization independence</w:t>
      </w:r>
      <w:r w:rsidRPr="00FC503B">
        <w:t xml:space="preserve"> — </w:t>
      </w:r>
      <w:proofErr w:type="spellStart"/>
      <w:r w:rsidRPr="00FC503B">
        <w:t>OpenCDC</w:t>
      </w:r>
      <w:proofErr w:type="spellEnd"/>
      <w:r w:rsidRPr="00FC503B">
        <w:t xml:space="preserve"> describes the </w:t>
      </w:r>
      <w:r w:rsidR="004E5AA0">
        <w:t>transactions</w:t>
      </w:r>
      <w:r w:rsidRPr="00FC503B">
        <w:t xml:space="preserve">, </w:t>
      </w:r>
      <w:r w:rsidR="004E5AA0">
        <w:t>without a mandate</w:t>
      </w:r>
      <w:r w:rsidRPr="00FC503B">
        <w:t xml:space="preserve"> file format. The specification defines what an event means: its logical structure, its field names, and how each value is typed and encoded. It does not dictate how those events are written on the wire. JSON is used throughout </w:t>
      </w:r>
      <w:r w:rsidR="004E5AA0">
        <w:t xml:space="preserve">the specification </w:t>
      </w:r>
      <w:r w:rsidRPr="00FC503B">
        <w:t xml:space="preserve">as the working example because nearly any platform can read it without special libraries — but JSON is </w:t>
      </w:r>
      <w:r w:rsidR="004E5AA0">
        <w:t>mandated</w:t>
      </w:r>
      <w:r w:rsidRPr="00FC503B">
        <w:t xml:space="preserve">. </w:t>
      </w:r>
      <w:r w:rsidR="004E5AA0">
        <w:t>Producers could emit the</w:t>
      </w:r>
      <w:r w:rsidRPr="00FC503B">
        <w:t xml:space="preserve"> same events as Avro, Protocol Buffers, Parquet, or Arrow, and remain fully conformant. Every schema also travels with the stream in a standard, </w:t>
      </w:r>
      <w:proofErr w:type="spellStart"/>
      <w:r w:rsidRPr="00FC503B">
        <w:t>validatable</w:t>
      </w:r>
      <w:proofErr w:type="spellEnd"/>
      <w:r w:rsidRPr="00FC503B">
        <w:t xml:space="preserve"> form, so a conformant stream can always be checked for correctness on its own terms</w:t>
      </w:r>
      <w:r w:rsidR="004E5AA0">
        <w:t>,</w:t>
      </w:r>
      <w:r w:rsidRPr="00FC503B">
        <w:t xml:space="preserve"> no proprietary decoder</w:t>
      </w:r>
      <w:r w:rsidR="004E5AA0">
        <w:t>s are</w:t>
      </w:r>
      <w:r w:rsidRPr="00FC503B">
        <w:t xml:space="preserve"> </w:t>
      </w:r>
      <w:r w:rsidR="004E5AA0">
        <w:t>required</w:t>
      </w:r>
      <w:r w:rsidRPr="00FC503B">
        <w:t>.</w:t>
      </w:r>
    </w:p>
    <w:p w14:paraId="713838A6" w14:textId="77777777" w:rsidR="00FC503B" w:rsidRPr="00FC503B" w:rsidRDefault="00FC503B" w:rsidP="00FC503B"/>
    <w:p w14:paraId="3303C457" w14:textId="624D5ADA" w:rsidR="00563D68" w:rsidRDefault="00FC503B" w:rsidP="00FC503B">
      <w:pPr>
        <w:pStyle w:val="ListParagraph"/>
        <w:numPr>
          <w:ilvl w:val="0"/>
          <w:numId w:val="5"/>
        </w:numPr>
      </w:pPr>
      <w:r w:rsidRPr="00EE693E">
        <w:rPr>
          <w:b/>
          <w:bCs/>
        </w:rPr>
        <w:t>Transport and infrastructure independence</w:t>
      </w:r>
      <w:r w:rsidRPr="00FC503B">
        <w:t xml:space="preserve"> — the stream stands alone. </w:t>
      </w:r>
      <w:proofErr w:type="spellStart"/>
      <w:r w:rsidRPr="00FC503B">
        <w:t>OpenCDC</w:t>
      </w:r>
      <w:proofErr w:type="spellEnd"/>
      <w:r w:rsidRPr="00FC503B">
        <w:t xml:space="preserve"> assumes no </w:t>
      </w:r>
      <w:proofErr w:type="gramStart"/>
      <w:r w:rsidRPr="00FC503B">
        <w:t>particular</w:t>
      </w:r>
      <w:r w:rsidR="004E5AA0">
        <w:t xml:space="preserve"> wire</w:t>
      </w:r>
      <w:proofErr w:type="gramEnd"/>
      <w:r w:rsidR="004E5AA0">
        <w:t xml:space="preserve"> protocol,</w:t>
      </w:r>
      <w:r w:rsidRPr="00FC503B">
        <w:t xml:space="preserve"> message broker, schema registry, SDK, or vendor runtime. A conformant stream can be parsed, validated, and applied with nothing more than a standard parser and this specification. </w:t>
      </w:r>
      <w:r w:rsidR="005B6501">
        <w:t xml:space="preserve">A given set of transaction </w:t>
      </w:r>
      <w:r w:rsidRPr="00FC503B">
        <w:t xml:space="preserve">events </w:t>
      </w:r>
      <w:r w:rsidR="005B6501">
        <w:t>can be</w:t>
      </w:r>
      <w:r w:rsidRPr="00FC503B">
        <w:t xml:space="preserve"> valid whether they flow through a </w:t>
      </w:r>
      <w:r w:rsidR="005B6501">
        <w:t xml:space="preserve">CDC wire protocol, </w:t>
      </w:r>
      <w:r w:rsidRPr="00FC503B">
        <w:t xml:space="preserve">streaming platform, a message queue, or simply sit at rest in object storage. Because each event carries its own schema and ordering information, no party needs out-of-band coordination or shared tooling to make sense of the data. </w:t>
      </w:r>
    </w:p>
    <w:p w14:paraId="46791B25" w14:textId="77777777" w:rsidR="00FC503B" w:rsidRDefault="00FC503B" w:rsidP="00FC503B"/>
    <w:p w14:paraId="63AE57DD" w14:textId="11A9CB3D" w:rsidR="00FC503B" w:rsidRPr="00FC503B" w:rsidRDefault="00DC2A54" w:rsidP="00DC2A54">
      <w:pPr>
        <w:pStyle w:val="Heading2"/>
      </w:pPr>
      <w:r>
        <w:t xml:space="preserve">B: </w:t>
      </w:r>
      <w:r w:rsidR="00FC503B" w:rsidRPr="00FC503B">
        <w:t xml:space="preserve">Support for </w:t>
      </w:r>
      <w:proofErr w:type="gramStart"/>
      <w:r w:rsidR="00FC503B" w:rsidRPr="00FC503B">
        <w:t>Tightly-Coupled</w:t>
      </w:r>
      <w:proofErr w:type="gramEnd"/>
      <w:r w:rsidR="00FC503B" w:rsidRPr="00FC503B">
        <w:t xml:space="preserve"> and Loosely-Coupled Transports</w:t>
      </w:r>
    </w:p>
    <w:p w14:paraId="326D9646" w14:textId="2A81F276" w:rsidR="00FC503B" w:rsidRDefault="00FC503B" w:rsidP="00FC503B">
      <w:r>
        <w:t xml:space="preserve">Real-world change </w:t>
      </w:r>
      <w:r w:rsidR="005B6501">
        <w:t xml:space="preserve">data </w:t>
      </w:r>
      <w:r>
        <w:t xml:space="preserve">streams </w:t>
      </w:r>
      <w:r w:rsidR="005B6501">
        <w:t>may</w:t>
      </w:r>
      <w:r>
        <w:t xml:space="preserve"> </w:t>
      </w:r>
      <w:proofErr w:type="gramStart"/>
      <w:r>
        <w:t>delivered</w:t>
      </w:r>
      <w:proofErr w:type="gramEnd"/>
      <w:r>
        <w:t xml:space="preserve"> in very different ways. Sometimes a producer hands events straight to a consumer in a single, orderly </w:t>
      </w:r>
      <w:r w:rsidR="005B6501">
        <w:t>sequence</w:t>
      </w:r>
      <w:r>
        <w:t xml:space="preserve">. Other times the events are scattered across many </w:t>
      </w:r>
      <w:r w:rsidR="005B6501">
        <w:t>partitions</w:t>
      </w:r>
      <w:r>
        <w:t xml:space="preserve"> or parked in storage to be picked up later. </w:t>
      </w:r>
      <w:proofErr w:type="spellStart"/>
      <w:r>
        <w:t>OpenCDC</w:t>
      </w:r>
      <w:proofErr w:type="spellEnd"/>
      <w:r>
        <w:t xml:space="preserve"> is designed to give the consumer the same trustworthy picture of a transaction </w:t>
      </w:r>
      <w:r w:rsidR="005B6501">
        <w:t>regardless of transport or storage technologies</w:t>
      </w:r>
      <w:r>
        <w:t>.</w:t>
      </w:r>
    </w:p>
    <w:p w14:paraId="74B2B0F4" w14:textId="77777777" w:rsidR="00FC503B" w:rsidRDefault="00FC503B" w:rsidP="00FC503B"/>
    <w:p w14:paraId="312ABEDE" w14:textId="1921C185" w:rsidR="00FC503B" w:rsidRDefault="00FC503B" w:rsidP="00FC503B">
      <w:pPr>
        <w:pStyle w:val="ListParagraph"/>
        <w:numPr>
          <w:ilvl w:val="0"/>
          <w:numId w:val="6"/>
        </w:numPr>
      </w:pPr>
      <w:r w:rsidRPr="00EE693E">
        <w:rPr>
          <w:b/>
          <w:bCs/>
        </w:rPr>
        <w:t xml:space="preserve">Tightly-coupled </w:t>
      </w:r>
      <w:r w:rsidR="00EE693E">
        <w:rPr>
          <w:b/>
          <w:bCs/>
        </w:rPr>
        <w:t xml:space="preserve">streaming </w:t>
      </w:r>
      <w:r w:rsidRPr="00EE693E">
        <w:rPr>
          <w:b/>
          <w:bCs/>
        </w:rPr>
        <w:t>transports</w:t>
      </w:r>
      <w:r>
        <w:t xml:space="preserve"> —</w:t>
      </w:r>
      <w:r w:rsidR="005B6501">
        <w:t xml:space="preserve"> </w:t>
      </w:r>
      <w:r>
        <w:t xml:space="preserve">When a producer and consumer </w:t>
      </w:r>
      <w:r w:rsidR="00EE693E">
        <w:t>are directly aware of each other an</w:t>
      </w:r>
      <w:r w:rsidR="00C358E6">
        <w:t>d</w:t>
      </w:r>
      <w:r w:rsidR="00EE693E">
        <w:t xml:space="preserve"> they </w:t>
      </w:r>
      <w:r>
        <w:t>share one ordered channel</w:t>
      </w:r>
      <w:r>
        <w:t xml:space="preserve"> (such as a Secure WebSocket stream of events)</w:t>
      </w:r>
      <w:r>
        <w:t xml:space="preserve">, </w:t>
      </w:r>
      <w:proofErr w:type="spellStart"/>
      <w:r>
        <w:t>OpenCDC</w:t>
      </w:r>
      <w:proofErr w:type="spellEnd"/>
      <w:r>
        <w:t xml:space="preserve"> </w:t>
      </w:r>
      <w:r w:rsidR="005B6501">
        <w:t>producers</w:t>
      </w:r>
      <w:r>
        <w:t xml:space="preserve"> </w:t>
      </w:r>
      <w:r w:rsidR="005B6501">
        <w:t>can provide ordering and sequence</w:t>
      </w:r>
      <w:r>
        <w:t xml:space="preserve"> guarantees with almost no extra </w:t>
      </w:r>
      <w:r w:rsidR="005B6501">
        <w:t xml:space="preserve">processing </w:t>
      </w:r>
      <w:r>
        <w:t>cost. Everything a consumer needs to group a transaction is already in each event: all events of one transaction share a transaction identifier, are numbered in order with no gaps, and are never mixed in with another transaction's events. Ordering, completeness, and liveness all fall out of the stream's natural sequence, with no side channel and no per-transaction record-keeping.</w:t>
      </w:r>
    </w:p>
    <w:p w14:paraId="1A9D33A1" w14:textId="77777777" w:rsidR="00FC503B" w:rsidRDefault="00FC503B" w:rsidP="00FC503B"/>
    <w:p w14:paraId="0ED21F72" w14:textId="68ECE8A4" w:rsidR="00FC503B" w:rsidRDefault="00FC503B" w:rsidP="00FC503B">
      <w:pPr>
        <w:pStyle w:val="ListParagraph"/>
        <w:numPr>
          <w:ilvl w:val="0"/>
          <w:numId w:val="6"/>
        </w:numPr>
      </w:pPr>
      <w:r w:rsidRPr="00EE693E">
        <w:rPr>
          <w:b/>
          <w:bCs/>
        </w:rPr>
        <w:t>Loosely-coupled transports</w:t>
      </w:r>
      <w:r>
        <w:t xml:space="preserve"> —</w:t>
      </w:r>
      <w:r w:rsidR="005B6501">
        <w:t xml:space="preserve"> W</w:t>
      </w:r>
      <w:r w:rsidR="00DC2A54">
        <w:t xml:space="preserve">hen the </w:t>
      </w:r>
      <w:r w:rsidR="005B6501">
        <w:t>c</w:t>
      </w:r>
      <w:r w:rsidR="00DC2A54">
        <w:t xml:space="preserve">onsumer is not </w:t>
      </w:r>
      <w:r w:rsidR="005B6501">
        <w:t>connected</w:t>
      </w:r>
      <w:r w:rsidR="00DC2A54">
        <w:t xml:space="preserve"> directly to the </w:t>
      </w:r>
      <w:r w:rsidR="005B6501">
        <w:t>p</w:t>
      </w:r>
      <w:r w:rsidR="00DC2A54">
        <w:t>roducer of transactions</w:t>
      </w:r>
      <w:r>
        <w:t xml:space="preserve"> events </w:t>
      </w:r>
      <w:r w:rsidR="005B6501">
        <w:t>may</w:t>
      </w:r>
      <w:r>
        <w:t xml:space="preserve"> spread across separate </w:t>
      </w:r>
      <w:r w:rsidR="005B6501">
        <w:t>partitions</w:t>
      </w:r>
      <w:r>
        <w:t xml:space="preserve"> (</w:t>
      </w:r>
      <w:proofErr w:type="spellStart"/>
      <w:proofErr w:type="gramStart"/>
      <w:r w:rsidR="005B6501">
        <w:t>eg</w:t>
      </w:r>
      <w:proofErr w:type="spellEnd"/>
      <w:r w:rsidR="005B6501">
        <w:t>;</w:t>
      </w:r>
      <w:proofErr w:type="gramEnd"/>
      <w:r w:rsidR="005B6501">
        <w:t xml:space="preserve"> Kafka</w:t>
      </w:r>
      <w:r>
        <w:t>)</w:t>
      </w:r>
      <w:r>
        <w:t xml:space="preserve"> or retrieved from storage in parallel</w:t>
      </w:r>
      <w:r>
        <w:t xml:space="preserve"> (</w:t>
      </w:r>
      <w:proofErr w:type="spellStart"/>
      <w:r w:rsidR="005B6501">
        <w:t>eg</w:t>
      </w:r>
      <w:proofErr w:type="spellEnd"/>
      <w:r w:rsidR="005B6501">
        <w:t>;</w:t>
      </w:r>
      <w:r>
        <w:t xml:space="preserve"> </w:t>
      </w:r>
      <w:r w:rsidR="005B6501">
        <w:t>o</w:t>
      </w:r>
      <w:r>
        <w:t xml:space="preserve">bject </w:t>
      </w:r>
      <w:r w:rsidR="005B6501">
        <w:t>s</w:t>
      </w:r>
      <w:r>
        <w:t>torage)</w:t>
      </w:r>
      <w:r w:rsidR="005B6501">
        <w:t>.</w:t>
      </w:r>
      <w:r>
        <w:t xml:space="preserve"> </w:t>
      </w:r>
      <w:r w:rsidR="005B6501">
        <w:t>A</w:t>
      </w:r>
      <w:r>
        <w:t xml:space="preserve"> single transaction's events may land in different </w:t>
      </w:r>
      <w:proofErr w:type="gramStart"/>
      <w:r>
        <w:t>places, and</w:t>
      </w:r>
      <w:proofErr w:type="gramEnd"/>
      <w:r>
        <w:t xml:space="preserve"> seeing "the next transaction" on one channel tells you nothing about pieces sitting elsewhere. </w:t>
      </w:r>
      <w:r w:rsidR="00226893">
        <w:t xml:space="preserve">For these situations, </w:t>
      </w:r>
      <w:proofErr w:type="spellStart"/>
      <w:r>
        <w:t>OpenCDC</w:t>
      </w:r>
      <w:proofErr w:type="spellEnd"/>
      <w:r>
        <w:t xml:space="preserve"> </w:t>
      </w:r>
      <w:r w:rsidR="00226893">
        <w:t xml:space="preserve">provides </w:t>
      </w:r>
      <w:r w:rsidR="00226893">
        <w:lastRenderedPageBreak/>
        <w:t>features that</w:t>
      </w:r>
      <w:r>
        <w:t xml:space="preserve"> let a consumer confirm, with certainty, that it has gathered every event of a transaction before applying it. The result is one logical stream that behaves correctly whether it travels tightly in sequence or </w:t>
      </w:r>
      <w:r w:rsidR="00226893">
        <w:t>is physically consumed out of order</w:t>
      </w:r>
      <w:r>
        <w:t>.</w:t>
      </w:r>
    </w:p>
    <w:p w14:paraId="2DF6F427" w14:textId="77777777" w:rsidR="00DC2A54" w:rsidRDefault="00DC2A54" w:rsidP="00DC2A54"/>
    <w:p w14:paraId="655D97F4" w14:textId="0B84207E" w:rsidR="00DC2A54" w:rsidRPr="00DC2A54" w:rsidRDefault="00DC2A54" w:rsidP="00DC2A54">
      <w:pPr>
        <w:pStyle w:val="Heading2"/>
      </w:pPr>
      <w:r>
        <w:t xml:space="preserve">C: </w:t>
      </w:r>
      <w:r w:rsidRPr="00DC2A54">
        <w:t>Self-Describing Streams, with Schema Changes as First-Class Events</w:t>
      </w:r>
    </w:p>
    <w:p w14:paraId="529B49E6" w14:textId="19DFF4D9" w:rsidR="00DC2A54" w:rsidRDefault="00226893" w:rsidP="00DC2A54">
      <w:r>
        <w:t xml:space="preserve">In </w:t>
      </w:r>
      <w:proofErr w:type="spellStart"/>
      <w:r>
        <w:t>OpenCDC</w:t>
      </w:r>
      <w:proofErr w:type="spellEnd"/>
      <w:r>
        <w:t xml:space="preserve"> a logical</w:t>
      </w:r>
      <w:r w:rsidR="00DC2A54">
        <w:t xml:space="preserve"> change stream carries its own instructions for reading it. Before any data event appears, the stream delivers the schema that describes it — the table's columns, their types, and how their values are encoded — as an ordinary event in the same ordered sequence. </w:t>
      </w:r>
      <w:r>
        <w:t>When</w:t>
      </w:r>
      <w:r w:rsidR="00DC2A54">
        <w:t xml:space="preserve"> that schema later changes (a column added, a type altered), the change itself arrives as a first-class event in the very same stream, in its proper place in </w:t>
      </w:r>
      <w:r>
        <w:t>the sequence. Optionally</w:t>
      </w:r>
      <w:r w:rsidR="00DC2A54">
        <w:t xml:space="preserve">, </w:t>
      </w:r>
      <w:r>
        <w:t>producers may also</w:t>
      </w:r>
      <w:r w:rsidR="00DC2A54">
        <w:t xml:space="preserve"> announce</w:t>
      </w:r>
      <w:r>
        <w:t xml:space="preserve"> schema changes on a separate channel</w:t>
      </w:r>
      <w:r w:rsidR="00DC2A54">
        <w:t>.</w:t>
      </w:r>
      <w:r w:rsidR="00DC2A54">
        <w:br/>
      </w:r>
    </w:p>
    <w:p w14:paraId="2A6EE9BA" w14:textId="5A282257" w:rsidR="00DC2A54" w:rsidRDefault="00DC2A54" w:rsidP="00DC2A54">
      <w:r>
        <w:t>For a consumer, this means everything needed to interpret the data</w:t>
      </w:r>
      <w:r w:rsidR="00226893">
        <w:t>,</w:t>
      </w:r>
      <w:r>
        <w:t xml:space="preserve"> and to keep up as the data's shape evolves</w:t>
      </w:r>
      <w:r w:rsidR="00226893">
        <w:t>,</w:t>
      </w:r>
      <w:r>
        <w:t xml:space="preserve"> comes from reading the stream itself. There is no </w:t>
      </w:r>
      <w:r>
        <w:t xml:space="preserve">mandate for a </w:t>
      </w:r>
      <w:r>
        <w:t>separate registry to consult, no database to inspect, and nothing to poll. A consumer that has read the stream up to a given event always knows exactly how to decode it.</w:t>
      </w:r>
      <w:r>
        <w:br/>
      </w:r>
    </w:p>
    <w:p w14:paraId="799652D1" w14:textId="2CCA8511" w:rsidR="00DC2A54" w:rsidRDefault="00DC2A54" w:rsidP="00DC2A54">
      <w:r>
        <w:t xml:space="preserve">By keeping schema, schema changes, and data together and in order, </w:t>
      </w:r>
      <w:proofErr w:type="spellStart"/>
      <w:r>
        <w:t>OpenCDC</w:t>
      </w:r>
      <w:proofErr w:type="spellEnd"/>
      <w:r>
        <w:t xml:space="preserve"> preserves that correlation by </w:t>
      </w:r>
      <w:r>
        <w:t>precise ordering in the sequence of events</w:t>
      </w:r>
      <w:r>
        <w:t xml:space="preserve">. It is the same </w:t>
      </w:r>
      <w:r>
        <w:t xml:space="preserve">core principle for why the </w:t>
      </w:r>
      <w:proofErr w:type="spellStart"/>
      <w:r>
        <w:t>OpenCDC</w:t>
      </w:r>
      <w:proofErr w:type="spellEnd"/>
      <w:r>
        <w:t xml:space="preserve"> transaction-commit marker</w:t>
      </w:r>
      <w:r>
        <w:t xml:space="preserve">s are delivered </w:t>
      </w:r>
      <w:r>
        <w:t xml:space="preserve">in the stream rather than </w:t>
      </w:r>
      <w:r>
        <w:t>on</w:t>
      </w:r>
      <w:r>
        <w:t xml:space="preserve"> a side channel: when the order and the relationships between events carry meaning, the events belong together in one </w:t>
      </w:r>
      <w:r w:rsidR="00226893">
        <w:t xml:space="preserve">continuous sequence, </w:t>
      </w:r>
      <w:r>
        <w:t xml:space="preserve">not scattered across separate paths </w:t>
      </w:r>
      <w:r w:rsidR="00C358E6">
        <w:t xml:space="preserve">that </w:t>
      </w:r>
      <w:r>
        <w:t>a consumer must stitch back together</w:t>
      </w:r>
      <w:r w:rsidR="00C358E6">
        <w:t xml:space="preserve"> from inference alone</w:t>
      </w:r>
      <w:r>
        <w:t>.</w:t>
      </w:r>
    </w:p>
    <w:p w14:paraId="43A2719D" w14:textId="77777777" w:rsidR="00FC503B" w:rsidRDefault="00FC503B" w:rsidP="00FC503B"/>
    <w:p w14:paraId="5BF79D29" w14:textId="77777777" w:rsidR="008F5EA1" w:rsidRDefault="008F5EA1" w:rsidP="005F0597"/>
    <w:p w14:paraId="00E5EF86" w14:textId="77777777" w:rsidR="00563D68" w:rsidRDefault="00563D68" w:rsidP="005F0597"/>
    <w:p w14:paraId="73E6FC83" w14:textId="3A474A3B" w:rsidR="002C0053" w:rsidRDefault="005F0597" w:rsidP="005F0597">
      <w:r>
        <w:br w:type="page"/>
      </w:r>
    </w:p>
    <w:p w14:paraId="35794C6C" w14:textId="2685932D" w:rsidR="003003E8" w:rsidRDefault="003003E8" w:rsidP="003003E8">
      <w:pPr>
        <w:pStyle w:val="Heading1"/>
        <w:pBdr>
          <w:bottom w:val="single" w:sz="4" w:space="4" w:color="2E75B6"/>
        </w:pBdr>
      </w:pPr>
      <w:r>
        <w:lastRenderedPageBreak/>
        <w:t>1. Interop of Mixed-Vendor CDC Tools, Same DB Type</w:t>
      </w:r>
    </w:p>
    <w:p w14:paraId="446E832A" w14:textId="76075E45" w:rsidR="002C0053" w:rsidRDefault="003003E8">
      <w:pPr>
        <w:spacing w:after="160"/>
        <w:rPr>
          <w:color w:val="595959"/>
          <w:sz w:val="20"/>
          <w:szCs w:val="20"/>
        </w:rPr>
      </w:pPr>
      <w:r>
        <w:rPr>
          <w:i/>
          <w:iCs/>
          <w:color w:val="595959"/>
          <w:sz w:val="20"/>
          <w:szCs w:val="20"/>
        </w:rPr>
        <w:t>Note.</w:t>
      </w:r>
      <w:r>
        <w:rPr>
          <w:color w:val="595959"/>
          <w:sz w:val="20"/>
          <w:szCs w:val="20"/>
        </w:rPr>
        <w:t xml:space="preserve"> </w:t>
      </w:r>
      <w:proofErr w:type="gramStart"/>
      <w:r>
        <w:rPr>
          <w:color w:val="595959"/>
          <w:sz w:val="20"/>
          <w:szCs w:val="20"/>
        </w:rPr>
        <w:t>Story</w:t>
      </w:r>
      <w:proofErr w:type="gramEnd"/>
      <w:r>
        <w:rPr>
          <w:color w:val="595959"/>
          <w:sz w:val="20"/>
          <w:szCs w:val="20"/>
        </w:rPr>
        <w:t xml:space="preserve"> 1 &amp; 2 are both about interoperability of CDC tools, the rationale for splitting into two distinct stories is to provide for details that emerge when the databases are homogenous vs heterogeneous.</w:t>
      </w:r>
    </w:p>
    <w:p w14:paraId="23D09E19" w14:textId="26AADF02" w:rsidR="003003E8" w:rsidRDefault="003003E8" w:rsidP="003003E8">
      <w:pPr>
        <w:pStyle w:val="Heading2"/>
      </w:pPr>
      <w:r>
        <w:t>Story</w:t>
      </w:r>
    </w:p>
    <w:p w14:paraId="5EAAC66F" w14:textId="77777777" w:rsidR="002C0053" w:rsidRDefault="00000000">
      <w:pPr>
        <w:shd w:val="clear" w:color="auto" w:fill="F2F2F2"/>
        <w:spacing w:before="80" w:after="160"/>
        <w:ind w:left="360" w:right="360"/>
      </w:pPr>
      <w:r>
        <w:rPr>
          <w:i/>
          <w:iCs/>
          <w:color w:val="333333"/>
        </w:rPr>
        <w:t xml:space="preserve">As a DBA in a large enterprise IT organization, I want </w:t>
      </w:r>
      <w:proofErr w:type="spellStart"/>
      <w:r>
        <w:rPr>
          <w:i/>
          <w:iCs/>
          <w:color w:val="333333"/>
        </w:rPr>
        <w:t>Debezium</w:t>
      </w:r>
      <w:proofErr w:type="spellEnd"/>
      <w:r>
        <w:rPr>
          <w:i/>
          <w:iCs/>
          <w:color w:val="333333"/>
        </w:rPr>
        <w:t xml:space="preserve"> and </w:t>
      </w:r>
      <w:proofErr w:type="spellStart"/>
      <w:r>
        <w:rPr>
          <w:i/>
          <w:iCs/>
          <w:color w:val="333333"/>
        </w:rPr>
        <w:t>Fivetran</w:t>
      </w:r>
      <w:proofErr w:type="spellEnd"/>
      <w:r>
        <w:rPr>
          <w:i/>
          <w:iCs/>
          <w:color w:val="333333"/>
        </w:rPr>
        <w:t xml:space="preserve"> to exchange change events using the </w:t>
      </w:r>
      <w:proofErr w:type="spellStart"/>
      <w:r>
        <w:rPr>
          <w:i/>
          <w:iCs/>
          <w:color w:val="333333"/>
        </w:rPr>
        <w:t>OpenCDC</w:t>
      </w:r>
      <w:proofErr w:type="spellEnd"/>
      <w:r>
        <w:rPr>
          <w:i/>
          <w:iCs/>
          <w:color w:val="333333"/>
        </w:rPr>
        <w:t xml:space="preserve"> format over a cloud message stream, so that I can replicate data from AWS Aurora PostgreSQL to an on-premises PostgreSQL database by composing two already-deployed CDC tools — without installing new software on either system or risking data loss from type-semantic differences.</w:t>
      </w:r>
    </w:p>
    <w:p w14:paraId="588B8AE8" w14:textId="77777777" w:rsidR="002C0053" w:rsidRDefault="000D1C11" w:rsidP="000D1C11">
      <w:pPr>
        <w:spacing w:before="80" w:after="80"/>
        <w:ind w:left="360"/>
      </w:pPr>
      <w:r>
        <w:rPr>
          <w:noProof/>
        </w:rPr>
        <w:drawing>
          <wp:inline distT="0" distB="0" distL="0" distR="0" wp14:anchorId="3F56F079" wp14:editId="05543132">
            <wp:extent cx="5499100" cy="1774190"/>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99100" cy="1774190"/>
                    </a:xfrm>
                    <a:prstGeom prst="rect">
                      <a:avLst/>
                    </a:prstGeom>
                    <a:noFill/>
                  </pic:spPr>
                </pic:pic>
              </a:graphicData>
            </a:graphic>
          </wp:inline>
        </w:drawing>
      </w:r>
    </w:p>
    <w:p w14:paraId="7C5CC669" w14:textId="77777777" w:rsidR="002C0053" w:rsidRDefault="00000000">
      <w:pPr>
        <w:pStyle w:val="Heading2"/>
      </w:pPr>
      <w:r>
        <w:t>Background</w:t>
      </w:r>
    </w:p>
    <w:p w14:paraId="1CB244FB" w14:textId="4062F971" w:rsidR="002C0053" w:rsidRDefault="00000000">
      <w:pPr>
        <w:spacing w:after="160"/>
      </w:pPr>
      <w:r>
        <w:t>A critical dataset lives in AWS Aurora PostgreSQL. A corresponding copy must stay in sync on an on-premises PostgreSQL instance — a slightly older community build running in a private data center.</w:t>
      </w:r>
      <w:r w:rsidR="003003E8">
        <w:t xml:space="preserve"> </w:t>
      </w:r>
      <w:r>
        <w:t>Both environments already have CDC tooling running for unrelated purposes:</w:t>
      </w:r>
    </w:p>
    <w:p w14:paraId="7E0D1FC8" w14:textId="77777777" w:rsidR="002C0053" w:rsidRDefault="00000000">
      <w:pPr>
        <w:pStyle w:val="ListParagraph"/>
        <w:numPr>
          <w:ilvl w:val="0"/>
          <w:numId w:val="2"/>
        </w:numPr>
        <w:spacing w:before="40" w:after="40"/>
      </w:pPr>
      <w:r>
        <w:t xml:space="preserve">Cloud (Aurora): </w:t>
      </w:r>
      <w:proofErr w:type="spellStart"/>
      <w:r>
        <w:t>Debezium</w:t>
      </w:r>
      <w:proofErr w:type="spellEnd"/>
      <w:r>
        <w:t xml:space="preserve"> captures change events for an AWS data warehouse </w:t>
      </w:r>
      <w:proofErr w:type="gramStart"/>
      <w:r>
        <w:t>pipeline</w:t>
      </w:r>
      <w:proofErr w:type="gramEnd"/>
    </w:p>
    <w:p w14:paraId="58892A40" w14:textId="77777777" w:rsidR="002C0053" w:rsidRDefault="00000000">
      <w:pPr>
        <w:pStyle w:val="ListParagraph"/>
        <w:numPr>
          <w:ilvl w:val="0"/>
          <w:numId w:val="2"/>
        </w:numPr>
        <w:spacing w:before="40" w:after="40"/>
      </w:pPr>
      <w:r>
        <w:t xml:space="preserve">On-premises (Postgres): </w:t>
      </w:r>
      <w:proofErr w:type="spellStart"/>
      <w:r>
        <w:t>Fivetran</w:t>
      </w:r>
      <w:proofErr w:type="spellEnd"/>
      <w:r>
        <w:t xml:space="preserve">/HVR ingests data from other sources into the on-prem </w:t>
      </w:r>
      <w:proofErr w:type="gramStart"/>
      <w:r>
        <w:t>database</w:t>
      </w:r>
      <w:proofErr w:type="gramEnd"/>
    </w:p>
    <w:p w14:paraId="2126B6FD" w14:textId="77777777" w:rsidR="002C0053" w:rsidRDefault="002C0053">
      <w:pPr>
        <w:spacing w:before="60" w:after="60"/>
      </w:pPr>
    </w:p>
    <w:p w14:paraId="66E5A73F" w14:textId="09F072EE" w:rsidR="002C0053" w:rsidRDefault="00000000" w:rsidP="003003E8">
      <w:pPr>
        <w:spacing w:after="160"/>
      </w:pPr>
      <w:r>
        <w:t>The obvious alternative — native PostgreSQL logical replication — is unreliable here: the version gap between Aurora PostgreSQL and the on-premises instance, combined with network constraints and restrictions on installing extensions, makes that path operationally risky. Standing up a new CDC tool on either side means new infrastructure, new security approvals, and impact on already-stable production workloads.</w:t>
      </w:r>
    </w:p>
    <w:p w14:paraId="134DFD99" w14:textId="77777777" w:rsidR="002C0053" w:rsidRDefault="00000000">
      <w:pPr>
        <w:pStyle w:val="Heading2"/>
      </w:pPr>
      <w:r>
        <w:t xml:space="preserve">The </w:t>
      </w:r>
      <w:proofErr w:type="spellStart"/>
      <w:r>
        <w:t>OpenCDC</w:t>
      </w:r>
      <w:proofErr w:type="spellEnd"/>
      <w:r>
        <w:t xml:space="preserve"> Solution</w:t>
      </w:r>
    </w:p>
    <w:p w14:paraId="320684AA" w14:textId="77777777" w:rsidR="002C0053" w:rsidRDefault="00000000">
      <w:pPr>
        <w:spacing w:after="160"/>
      </w:pPr>
      <w:r>
        <w:t xml:space="preserve">Both </w:t>
      </w:r>
      <w:proofErr w:type="spellStart"/>
      <w:r>
        <w:t>Debezium</w:t>
      </w:r>
      <w:proofErr w:type="spellEnd"/>
      <w:r>
        <w:t xml:space="preserve"> and </w:t>
      </w:r>
      <w:proofErr w:type="spellStart"/>
      <w:r>
        <w:t>Fivetran</w:t>
      </w:r>
      <w:proofErr w:type="spellEnd"/>
      <w:r>
        <w:t xml:space="preserve">/HVR have added support for </w:t>
      </w:r>
      <w:proofErr w:type="spellStart"/>
      <w:r>
        <w:t>OpenCDC</w:t>
      </w:r>
      <w:proofErr w:type="spellEnd"/>
      <w:r>
        <w:t>-formatted events over Kafka/Kinesis topics. The path forward requires no new software on either side:</w:t>
      </w:r>
    </w:p>
    <w:p w14:paraId="3F1C3C6F" w14:textId="77777777" w:rsidR="002C0053" w:rsidRDefault="00000000">
      <w:pPr>
        <w:pStyle w:val="ListParagraph"/>
        <w:numPr>
          <w:ilvl w:val="0"/>
          <w:numId w:val="2"/>
        </w:numPr>
        <w:spacing w:before="40" w:after="40"/>
      </w:pPr>
      <w:proofErr w:type="spellStart"/>
      <w:r>
        <w:t>Debezium</w:t>
      </w:r>
      <w:proofErr w:type="spellEnd"/>
      <w:r>
        <w:t xml:space="preserve"> publishes a filtered set of Aurora table changes as </w:t>
      </w:r>
      <w:proofErr w:type="spellStart"/>
      <w:r>
        <w:t>OpenCDC</w:t>
      </w:r>
      <w:proofErr w:type="spellEnd"/>
      <w:r>
        <w:t xml:space="preserve"> events to an AWS Kinesis stream — alongside its existing data warehouse feed, with no disruption to that </w:t>
      </w:r>
      <w:proofErr w:type="gramStart"/>
      <w:r>
        <w:t>pipeline</w:t>
      </w:r>
      <w:proofErr w:type="gramEnd"/>
    </w:p>
    <w:p w14:paraId="39473D86" w14:textId="77777777" w:rsidR="002C0053" w:rsidRDefault="00000000">
      <w:pPr>
        <w:pStyle w:val="ListParagraph"/>
        <w:numPr>
          <w:ilvl w:val="0"/>
          <w:numId w:val="2"/>
        </w:numPr>
        <w:spacing w:before="40" w:after="40"/>
      </w:pPr>
      <w:proofErr w:type="spellStart"/>
      <w:r>
        <w:t>Fivetran</w:t>
      </w:r>
      <w:proofErr w:type="spellEnd"/>
      <w:r>
        <w:t xml:space="preserve">/HVR consumes from that Kinesis stream and applies the </w:t>
      </w:r>
      <w:proofErr w:type="spellStart"/>
      <w:r>
        <w:t>OpenCDC</w:t>
      </w:r>
      <w:proofErr w:type="spellEnd"/>
      <w:r>
        <w:t xml:space="preserve"> events to the on-premises PostgreSQL </w:t>
      </w:r>
      <w:proofErr w:type="gramStart"/>
      <w:r>
        <w:t>database</w:t>
      </w:r>
      <w:proofErr w:type="gramEnd"/>
    </w:p>
    <w:p w14:paraId="7D10174A" w14:textId="77777777" w:rsidR="002C0053" w:rsidRDefault="002C0053">
      <w:pPr>
        <w:spacing w:before="60" w:after="60"/>
      </w:pPr>
    </w:p>
    <w:p w14:paraId="6D5A7B60" w14:textId="77777777" w:rsidR="002C0053" w:rsidRDefault="00000000">
      <w:pPr>
        <w:spacing w:after="160"/>
      </w:pPr>
      <w:r>
        <w:lastRenderedPageBreak/>
        <w:t xml:space="preserve">The two tools never need to know anything about each other. They only need to agree on the event format — and </w:t>
      </w:r>
      <w:proofErr w:type="spellStart"/>
      <w:r>
        <w:t>OpenCDC</w:t>
      </w:r>
      <w:proofErr w:type="spellEnd"/>
      <w:r>
        <w:t xml:space="preserve"> is that agreement.</w:t>
      </w:r>
    </w:p>
    <w:p w14:paraId="433BF7B4" w14:textId="77777777" w:rsidR="002C0053" w:rsidRDefault="002C005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C0053" w14:paraId="60A6192D" w14:textId="77777777">
        <w:tc>
          <w:tcPr>
            <w:tcW w:w="9360" w:type="dxa"/>
            <w:tcBorders>
              <w:top w:val="single" w:sz="2" w:space="0" w:color="888888"/>
              <w:left w:val="thick" w:sz="8" w:space="0" w:color="595959"/>
              <w:bottom w:val="single" w:sz="2" w:space="0" w:color="888888"/>
              <w:right w:val="single" w:sz="2" w:space="0" w:color="888888"/>
            </w:tcBorders>
            <w:shd w:val="clear" w:color="auto" w:fill="F5F5F5"/>
            <w:tcMar>
              <w:top w:w="100" w:type="dxa"/>
              <w:left w:w="160" w:type="dxa"/>
              <w:bottom w:w="100" w:type="dxa"/>
              <w:right w:w="160" w:type="dxa"/>
            </w:tcMar>
          </w:tcPr>
          <w:p w14:paraId="6E9A8888" w14:textId="77777777" w:rsidR="002C0053" w:rsidRDefault="00000000">
            <w:pPr>
              <w:spacing w:before="20" w:after="20"/>
            </w:pPr>
            <w:r>
              <w:rPr>
                <w:rFonts w:ascii="Courier New" w:eastAsia="Courier New" w:hAnsi="Courier New" w:cs="Courier New"/>
                <w:color w:val="222222"/>
                <w:sz w:val="18"/>
                <w:szCs w:val="18"/>
              </w:rPr>
              <w:t>Aurora PostgreSQL</w:t>
            </w:r>
          </w:p>
          <w:p w14:paraId="3974C8EF" w14:textId="77777777" w:rsidR="002C0053" w:rsidRDefault="00000000">
            <w:pPr>
              <w:spacing w:before="20" w:after="20"/>
            </w:pPr>
            <w:r>
              <w:rPr>
                <w:rFonts w:ascii="Courier New" w:eastAsia="Courier New" w:hAnsi="Courier New" w:cs="Courier New"/>
                <w:color w:val="222222"/>
                <w:sz w:val="18"/>
                <w:szCs w:val="18"/>
              </w:rPr>
              <w:t xml:space="preserve">      │</w:t>
            </w:r>
          </w:p>
          <w:p w14:paraId="504D58A8" w14:textId="77777777" w:rsidR="002C0053" w:rsidRDefault="00000000">
            <w:pPr>
              <w:spacing w:before="20" w:after="20"/>
            </w:pPr>
            <w:r>
              <w:rPr>
                <w:rFonts w:ascii="Courier New" w:eastAsia="Courier New" w:hAnsi="Courier New" w:cs="Courier New"/>
                <w:color w:val="222222"/>
                <w:sz w:val="18"/>
                <w:szCs w:val="18"/>
              </w:rPr>
              <w:t xml:space="preserve">   </w:t>
            </w:r>
            <w:proofErr w:type="spellStart"/>
            <w:r>
              <w:rPr>
                <w:rFonts w:ascii="Courier New" w:eastAsia="Courier New" w:hAnsi="Courier New" w:cs="Courier New"/>
                <w:color w:val="222222"/>
                <w:sz w:val="18"/>
                <w:szCs w:val="18"/>
              </w:rPr>
              <w:t>Debezium</w:t>
            </w:r>
            <w:proofErr w:type="spellEnd"/>
          </w:p>
          <w:p w14:paraId="424F0B15" w14:textId="77777777" w:rsidR="002C0053" w:rsidRDefault="00000000">
            <w:pPr>
              <w:spacing w:before="20" w:after="20"/>
            </w:pPr>
            <w:r>
              <w:rPr>
                <w:rFonts w:ascii="Courier New" w:eastAsia="Courier New" w:hAnsi="Courier New" w:cs="Courier New"/>
                <w:color w:val="222222"/>
                <w:sz w:val="18"/>
                <w:szCs w:val="18"/>
              </w:rPr>
              <w:t xml:space="preserve">      │</w:t>
            </w:r>
          </w:p>
          <w:p w14:paraId="6D690D9A" w14:textId="77777777" w:rsidR="002C0053" w:rsidRDefault="00000000">
            <w:pPr>
              <w:spacing w:before="20" w:after="20"/>
            </w:pPr>
            <w:r>
              <w:rPr>
                <w:rFonts w:ascii="Courier New" w:eastAsia="Courier New" w:hAnsi="Courier New" w:cs="Courier New"/>
                <w:color w:val="222222"/>
                <w:sz w:val="18"/>
                <w:szCs w:val="18"/>
              </w:rPr>
              <w:t xml:space="preserve">      ├──► Confluent (existing DW feed)</w:t>
            </w:r>
          </w:p>
          <w:p w14:paraId="723BB924" w14:textId="77777777" w:rsidR="002C0053" w:rsidRDefault="00000000">
            <w:pPr>
              <w:spacing w:before="20" w:after="20"/>
            </w:pPr>
            <w:r>
              <w:rPr>
                <w:rFonts w:ascii="Courier New" w:eastAsia="Courier New" w:hAnsi="Courier New" w:cs="Courier New"/>
                <w:color w:val="222222"/>
                <w:sz w:val="18"/>
                <w:szCs w:val="18"/>
              </w:rPr>
              <w:t xml:space="preserve">      │</w:t>
            </w:r>
          </w:p>
          <w:p w14:paraId="783A7F01" w14:textId="77777777" w:rsidR="002C0053" w:rsidRDefault="00000000">
            <w:pPr>
              <w:spacing w:before="20" w:after="20"/>
            </w:pPr>
            <w:r>
              <w:rPr>
                <w:rFonts w:ascii="Courier New" w:eastAsia="Courier New" w:hAnsi="Courier New" w:cs="Courier New"/>
                <w:color w:val="222222"/>
                <w:sz w:val="18"/>
                <w:szCs w:val="18"/>
              </w:rPr>
              <w:t xml:space="preserve">      └──► Kinesis (new </w:t>
            </w:r>
            <w:proofErr w:type="spellStart"/>
            <w:r>
              <w:rPr>
                <w:rFonts w:ascii="Courier New" w:eastAsia="Courier New" w:hAnsi="Courier New" w:cs="Courier New"/>
                <w:color w:val="222222"/>
                <w:sz w:val="18"/>
                <w:szCs w:val="18"/>
              </w:rPr>
              <w:t>OpenCDC</w:t>
            </w:r>
            <w:proofErr w:type="spellEnd"/>
            <w:r>
              <w:rPr>
                <w:rFonts w:ascii="Courier New" w:eastAsia="Courier New" w:hAnsi="Courier New" w:cs="Courier New"/>
                <w:color w:val="222222"/>
                <w:sz w:val="18"/>
                <w:szCs w:val="18"/>
              </w:rPr>
              <w:t xml:space="preserve"> stream)</w:t>
            </w:r>
          </w:p>
          <w:p w14:paraId="77273CF9" w14:textId="77777777" w:rsidR="002C0053" w:rsidRDefault="00000000">
            <w:pPr>
              <w:spacing w:before="20" w:after="20"/>
            </w:pPr>
            <w:r>
              <w:rPr>
                <w:rFonts w:ascii="Courier New" w:eastAsia="Courier New" w:hAnsi="Courier New" w:cs="Courier New"/>
                <w:color w:val="222222"/>
                <w:sz w:val="18"/>
                <w:szCs w:val="18"/>
              </w:rPr>
              <w:t xml:space="preserve">                  │</w:t>
            </w:r>
          </w:p>
          <w:p w14:paraId="375B2726" w14:textId="77777777" w:rsidR="002C0053" w:rsidRDefault="00000000">
            <w:pPr>
              <w:spacing w:before="20" w:after="20"/>
            </w:pPr>
            <w:r>
              <w:rPr>
                <w:rFonts w:ascii="Courier New" w:eastAsia="Courier New" w:hAnsi="Courier New" w:cs="Courier New"/>
                <w:color w:val="222222"/>
                <w:sz w:val="18"/>
                <w:szCs w:val="18"/>
              </w:rPr>
              <w:t xml:space="preserve">              </w:t>
            </w:r>
            <w:proofErr w:type="spellStart"/>
            <w:r>
              <w:rPr>
                <w:rFonts w:ascii="Courier New" w:eastAsia="Courier New" w:hAnsi="Courier New" w:cs="Courier New"/>
                <w:color w:val="222222"/>
                <w:sz w:val="18"/>
                <w:szCs w:val="18"/>
              </w:rPr>
              <w:t>Fivetran</w:t>
            </w:r>
            <w:proofErr w:type="spellEnd"/>
            <w:r>
              <w:rPr>
                <w:rFonts w:ascii="Courier New" w:eastAsia="Courier New" w:hAnsi="Courier New" w:cs="Courier New"/>
                <w:color w:val="222222"/>
                <w:sz w:val="18"/>
                <w:szCs w:val="18"/>
              </w:rPr>
              <w:t>/HVR</w:t>
            </w:r>
          </w:p>
          <w:p w14:paraId="3EF9BF09" w14:textId="77777777" w:rsidR="002C0053" w:rsidRDefault="00000000">
            <w:pPr>
              <w:spacing w:before="20" w:after="20"/>
            </w:pPr>
            <w:r>
              <w:rPr>
                <w:rFonts w:ascii="Courier New" w:eastAsia="Courier New" w:hAnsi="Courier New" w:cs="Courier New"/>
                <w:color w:val="222222"/>
                <w:sz w:val="18"/>
                <w:szCs w:val="18"/>
              </w:rPr>
              <w:t xml:space="preserve">                  │</w:t>
            </w:r>
          </w:p>
          <w:p w14:paraId="0E229B22" w14:textId="77777777" w:rsidR="002C0053" w:rsidRDefault="00000000">
            <w:pPr>
              <w:spacing w:before="20" w:after="20"/>
            </w:pPr>
            <w:r>
              <w:rPr>
                <w:rFonts w:ascii="Courier New" w:eastAsia="Courier New" w:hAnsi="Courier New" w:cs="Courier New"/>
                <w:color w:val="222222"/>
                <w:sz w:val="18"/>
                <w:szCs w:val="18"/>
              </w:rPr>
              <w:t xml:space="preserve">          On-Premises PostgreSQL</w:t>
            </w:r>
          </w:p>
        </w:tc>
      </w:tr>
    </w:tbl>
    <w:p w14:paraId="5F20CB88" w14:textId="77777777" w:rsidR="002C0053" w:rsidRDefault="002C0053">
      <w:pPr>
        <w:spacing w:before="80" w:after="80"/>
      </w:pPr>
    </w:p>
    <w:p w14:paraId="082D07BC" w14:textId="77777777" w:rsidR="002C0053" w:rsidRDefault="00000000">
      <w:pPr>
        <w:pStyle w:val="Heading2"/>
      </w:pPr>
      <w:r>
        <w:t xml:space="preserve">Why </w:t>
      </w:r>
      <w:proofErr w:type="spellStart"/>
      <w:r>
        <w:t>OpenCDC</w:t>
      </w:r>
      <w:proofErr w:type="spellEnd"/>
      <w:r>
        <w:t xml:space="preserve"> Is the Critical Enabler</w:t>
      </w:r>
    </w:p>
    <w:p w14:paraId="428E7D48" w14:textId="77777777" w:rsidR="002C0053" w:rsidRDefault="00000000">
      <w:pPr>
        <w:spacing w:after="160"/>
      </w:pPr>
      <w:r>
        <w:t xml:space="preserve">Aurora PostgreSQL and community PostgreSQL are not identical engines. They diverge in subtle but important ways: data type representations, system column behavior, and how certain operations are encoded in the WAL. Without a common specification, translating a </w:t>
      </w:r>
      <w:proofErr w:type="spellStart"/>
      <w:r>
        <w:t>Debezium</w:t>
      </w:r>
      <w:proofErr w:type="spellEnd"/>
      <w:r>
        <w:t xml:space="preserve"> event formatted for Aurora’s dialect into something </w:t>
      </w:r>
      <w:proofErr w:type="spellStart"/>
      <w:r>
        <w:t>Fivetran</w:t>
      </w:r>
      <w:proofErr w:type="spellEnd"/>
      <w:r>
        <w:t xml:space="preserve"> can reliably apply to on-prem Postgres requires custom mapping logic — exactly the brittle glue code that creates long-term maintenance burden and silent data quality risk.</w:t>
      </w:r>
    </w:p>
    <w:p w14:paraId="6F68FFA8" w14:textId="77777777" w:rsidR="002C0053" w:rsidRDefault="002C0053">
      <w:pPr>
        <w:spacing w:before="60" w:after="60"/>
      </w:pPr>
    </w:p>
    <w:p w14:paraId="2A24BB55" w14:textId="77777777" w:rsidR="002C0053" w:rsidRDefault="00000000">
      <w:pPr>
        <w:spacing w:after="160"/>
      </w:pPr>
      <w:proofErr w:type="spellStart"/>
      <w:r>
        <w:t>OpenCDC</w:t>
      </w:r>
      <w:proofErr w:type="spellEnd"/>
      <w:r>
        <w:t xml:space="preserve"> resolves this by providing:</w:t>
      </w:r>
    </w:p>
    <w:p w14:paraId="5E33638D" w14:textId="77777777" w:rsidR="002C0053" w:rsidRDefault="00000000">
      <w:pPr>
        <w:pStyle w:val="ListParagraph"/>
        <w:numPr>
          <w:ilvl w:val="0"/>
          <w:numId w:val="2"/>
        </w:numPr>
        <w:spacing w:before="40" w:after="40"/>
      </w:pPr>
      <w:r>
        <w:rPr>
          <w:b/>
          <w:bCs/>
        </w:rPr>
        <w:t xml:space="preserve">Canonical type semantics. </w:t>
      </w:r>
      <w:r>
        <w:t xml:space="preserve">PostgreSQL data types are represented consistently in the </w:t>
      </w:r>
      <w:proofErr w:type="spellStart"/>
      <w:r>
        <w:t>OpenCDC</w:t>
      </w:r>
      <w:proofErr w:type="spellEnd"/>
      <w:r>
        <w:t xml:space="preserve"> envelope, versioned by the spec, so numeric precision, timestamp </w:t>
      </w:r>
      <w:proofErr w:type="spellStart"/>
      <w:r>
        <w:t>timezone</w:t>
      </w:r>
      <w:proofErr w:type="spellEnd"/>
      <w:r>
        <w:t xml:space="preserve"> handling, and array types arrive on-prem exactly as they left Aurora.</w:t>
      </w:r>
    </w:p>
    <w:p w14:paraId="747EF07C" w14:textId="77777777" w:rsidR="002C0053" w:rsidRDefault="00000000">
      <w:pPr>
        <w:pStyle w:val="ListParagraph"/>
        <w:numPr>
          <w:ilvl w:val="0"/>
          <w:numId w:val="2"/>
        </w:numPr>
        <w:spacing w:before="40" w:after="40"/>
      </w:pPr>
      <w:r>
        <w:rPr>
          <w:b/>
          <w:bCs/>
        </w:rPr>
        <w:t xml:space="preserve">Consistent operation semantics. </w:t>
      </w:r>
      <w:r>
        <w:t>INSERT, UPDATE, DELETE, and TRUNCATE are expressed identically regardless of which tool emitted the event.</w:t>
      </w:r>
    </w:p>
    <w:p w14:paraId="44DCC433" w14:textId="77777777" w:rsidR="002C0053" w:rsidRDefault="00000000">
      <w:pPr>
        <w:pStyle w:val="ListParagraph"/>
        <w:numPr>
          <w:ilvl w:val="0"/>
          <w:numId w:val="2"/>
        </w:numPr>
        <w:spacing w:before="40" w:after="40"/>
      </w:pPr>
      <w:r>
        <w:rPr>
          <w:b/>
          <w:bCs/>
        </w:rPr>
        <w:t xml:space="preserve">Full before/after state. </w:t>
      </w:r>
      <w:r>
        <w:t>Both tools agree on what the before and after record fields mean, enabling correct conflict detection and idempotent application on the consumer side.</w:t>
      </w:r>
    </w:p>
    <w:p w14:paraId="2122C016" w14:textId="19773C90" w:rsidR="000D1C11" w:rsidRDefault="00000000" w:rsidP="003003E8">
      <w:pPr>
        <w:pStyle w:val="ListParagraph"/>
        <w:numPr>
          <w:ilvl w:val="0"/>
          <w:numId w:val="2"/>
        </w:numPr>
        <w:spacing w:before="80" w:after="80"/>
      </w:pPr>
      <w:r w:rsidRPr="003003E8">
        <w:rPr>
          <w:b/>
          <w:bCs/>
        </w:rPr>
        <w:t xml:space="preserve">Sequence and transaction metadata. </w:t>
      </w:r>
      <w:r>
        <w:t xml:space="preserve">Events carry monotonic identifiers and transaction boundaries, so </w:t>
      </w:r>
      <w:proofErr w:type="spellStart"/>
      <w:r>
        <w:t>Fivetran</w:t>
      </w:r>
      <w:proofErr w:type="spellEnd"/>
      <w:r>
        <w:t xml:space="preserve"> can apply changes in the correct order even if events arrive out of sequence.</w:t>
      </w:r>
    </w:p>
    <w:p w14:paraId="4D2FCBFB" w14:textId="77777777" w:rsidR="000D1C11" w:rsidRDefault="000D1C11">
      <w:pPr>
        <w:spacing w:before="80" w:after="80"/>
      </w:pPr>
    </w:p>
    <w:p w14:paraId="7EC3D3F0" w14:textId="77777777" w:rsidR="003003E8" w:rsidRDefault="003003E8">
      <w:pPr>
        <w:rPr>
          <w:b/>
          <w:bCs/>
          <w:color w:val="1F4E79"/>
          <w:sz w:val="32"/>
          <w:szCs w:val="32"/>
        </w:rPr>
      </w:pPr>
      <w:bookmarkStart w:id="0" w:name="_Toc228712291"/>
      <w:r>
        <w:br w:type="page"/>
      </w:r>
    </w:p>
    <w:p w14:paraId="26B2DD80" w14:textId="36E8352B" w:rsidR="00512DB6" w:rsidRDefault="003003E8" w:rsidP="003003E8">
      <w:pPr>
        <w:pStyle w:val="Heading1"/>
        <w:pBdr>
          <w:bottom w:val="single" w:sz="4" w:space="4" w:color="2E75B6"/>
        </w:pBdr>
      </w:pPr>
      <w:r>
        <w:lastRenderedPageBreak/>
        <w:t>2. Interop of Mixed-Vendor CDC Tools</w:t>
      </w:r>
      <w:bookmarkEnd w:id="0"/>
      <w:r>
        <w:t>, Different DB Type</w:t>
      </w:r>
    </w:p>
    <w:p w14:paraId="61C71E4B" w14:textId="55AC7C86" w:rsidR="00512DB6" w:rsidRDefault="00512DB6" w:rsidP="00512DB6">
      <w:pPr>
        <w:pStyle w:val="Heading2"/>
      </w:pPr>
      <w:r>
        <w:t>Story</w:t>
      </w:r>
    </w:p>
    <w:p w14:paraId="34A7F77F" w14:textId="054C78E8" w:rsidR="003003E8" w:rsidRDefault="003003E8" w:rsidP="003003E8">
      <w:pPr>
        <w:shd w:val="clear" w:color="auto" w:fill="F2F2F2"/>
        <w:spacing w:before="80" w:after="160"/>
        <w:ind w:left="360" w:right="360"/>
      </w:pPr>
      <w:r>
        <w:rPr>
          <w:i/>
          <w:iCs/>
          <w:color w:val="333333"/>
        </w:rPr>
        <w:t>As a DBA in a large enterprise IT organization, I want CDC tools from different vendors to exchange change events — produced by different database types — using a common payload format, so that I can synchronize customer data across business unit databases without deploying additional CDC infrastructure or writing custom integration code.</w:t>
      </w:r>
    </w:p>
    <w:p w14:paraId="2ACE8646" w14:textId="77777777" w:rsidR="003003E8" w:rsidRDefault="003003E8" w:rsidP="003003E8">
      <w:pPr>
        <w:spacing w:before="80" w:after="80"/>
        <w:ind w:left="360"/>
      </w:pPr>
      <w:r>
        <w:rPr>
          <w:noProof/>
        </w:rPr>
        <w:drawing>
          <wp:inline distT="0" distB="0" distL="0" distR="0" wp14:anchorId="6FD1818C" wp14:editId="5363C57B">
            <wp:extent cx="5419725" cy="1627505"/>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19725" cy="1627505"/>
                    </a:xfrm>
                    <a:prstGeom prst="rect">
                      <a:avLst/>
                    </a:prstGeom>
                    <a:noFill/>
                  </pic:spPr>
                </pic:pic>
              </a:graphicData>
            </a:graphic>
          </wp:inline>
        </w:drawing>
      </w:r>
    </w:p>
    <w:p w14:paraId="5001FBAD" w14:textId="77777777" w:rsidR="003003E8" w:rsidRDefault="003003E8" w:rsidP="003003E8">
      <w:pPr>
        <w:pStyle w:val="Heading2"/>
      </w:pPr>
      <w:r>
        <w:t>Background</w:t>
      </w:r>
    </w:p>
    <w:p w14:paraId="77210A4A" w14:textId="77777777" w:rsidR="003003E8" w:rsidRDefault="003003E8" w:rsidP="003003E8">
      <w:pPr>
        <w:spacing w:after="160"/>
      </w:pPr>
      <w:r>
        <w:t>Two business units each maintain their own customer database and have independently adopted CDC tools:</w:t>
      </w:r>
    </w:p>
    <w:p w14:paraId="4994AF0B" w14:textId="77777777" w:rsidR="003003E8" w:rsidRDefault="003003E8" w:rsidP="003003E8">
      <w:pPr>
        <w:pStyle w:val="ListParagraph"/>
        <w:numPr>
          <w:ilvl w:val="0"/>
          <w:numId w:val="2"/>
        </w:numPr>
        <w:spacing w:before="40" w:after="40"/>
      </w:pPr>
      <w:r>
        <w:t>Marketing runs IBM IIDR on a DB2/</w:t>
      </w:r>
      <w:proofErr w:type="spellStart"/>
      <w:r>
        <w:t>zSeries</w:t>
      </w:r>
      <w:proofErr w:type="spellEnd"/>
      <w:r>
        <w:t xml:space="preserve"> </w:t>
      </w:r>
      <w:proofErr w:type="gramStart"/>
      <w:r>
        <w:t>system</w:t>
      </w:r>
      <w:proofErr w:type="gramEnd"/>
    </w:p>
    <w:p w14:paraId="680C2411" w14:textId="77777777" w:rsidR="003003E8" w:rsidRDefault="003003E8" w:rsidP="003003E8">
      <w:pPr>
        <w:pStyle w:val="ListParagraph"/>
        <w:numPr>
          <w:ilvl w:val="0"/>
          <w:numId w:val="2"/>
        </w:numPr>
        <w:spacing w:before="40" w:after="40"/>
      </w:pPr>
      <w:r>
        <w:t xml:space="preserve">Finance runs Oracle GoldenGate on an Exadata </w:t>
      </w:r>
      <w:proofErr w:type="gramStart"/>
      <w:r>
        <w:t>system</w:t>
      </w:r>
      <w:proofErr w:type="gramEnd"/>
    </w:p>
    <w:p w14:paraId="34D08FAC" w14:textId="77777777" w:rsidR="003003E8" w:rsidRDefault="003003E8" w:rsidP="003003E8">
      <w:pPr>
        <w:spacing w:before="60" w:after="60"/>
      </w:pPr>
    </w:p>
    <w:p w14:paraId="402477C0" w14:textId="77777777" w:rsidR="003003E8" w:rsidRDefault="003003E8" w:rsidP="003003E8">
      <w:pPr>
        <w:spacing w:after="160"/>
      </w:pPr>
      <w:r>
        <w:t xml:space="preserve">A new requirement mandates that selected customer tables be kept in sync across both systems in real time. The traditional options — deploying a third-party replication tool across both </w:t>
      </w:r>
      <w:proofErr w:type="gramStart"/>
      <w:r>
        <w:t>environments, or</w:t>
      </w:r>
      <w:proofErr w:type="gramEnd"/>
      <w:r>
        <w:t xml:space="preserve"> building a bespoke translation layer between the two vendors’ proprietary formats — are expensive and operationally risky in regulated enterprise settings.</w:t>
      </w:r>
    </w:p>
    <w:p w14:paraId="5212D86A" w14:textId="77777777" w:rsidR="003003E8" w:rsidRDefault="003003E8" w:rsidP="003003E8">
      <w:pPr>
        <w:spacing w:after="160"/>
      </w:pPr>
      <w:r>
        <w:t xml:space="preserve">Both IBM and Oracle have recently shipped </w:t>
      </w:r>
      <w:proofErr w:type="spellStart"/>
      <w:r>
        <w:t>OpenCDC</w:t>
      </w:r>
      <w:proofErr w:type="spellEnd"/>
      <w:r>
        <w:t xml:space="preserve"> </w:t>
      </w:r>
      <w:proofErr w:type="spellStart"/>
      <w:r>
        <w:t>CloudEvents</w:t>
      </w:r>
      <w:proofErr w:type="spellEnd"/>
      <w:r>
        <w:t xml:space="preserve"> as an optional output format, and both expose AsyncAPI-compliant interfaces. This enables direct point-to-point event exchange without a shared message broker.</w:t>
      </w:r>
    </w:p>
    <w:p w14:paraId="7A4C0B08" w14:textId="77777777" w:rsidR="00C50D1E" w:rsidRDefault="00C50D1E">
      <w:pPr>
        <w:rPr>
          <w:b/>
          <w:bCs/>
          <w:color w:val="1F4E79"/>
          <w:sz w:val="32"/>
          <w:szCs w:val="32"/>
        </w:rPr>
      </w:pPr>
      <w:bookmarkStart w:id="1" w:name="_Toc228712293"/>
      <w:r>
        <w:br w:type="page"/>
      </w:r>
    </w:p>
    <w:p w14:paraId="035CEA88" w14:textId="2F200427" w:rsidR="002C0053" w:rsidRDefault="00000000">
      <w:pPr>
        <w:pStyle w:val="Heading1"/>
        <w:pBdr>
          <w:bottom w:val="single" w:sz="4" w:space="4" w:color="2E75B6"/>
        </w:pBdr>
      </w:pPr>
      <w:r>
        <w:lastRenderedPageBreak/>
        <w:t>3. Unified Lakehouse/Warehouse CDC Ingestion</w:t>
      </w:r>
      <w:bookmarkEnd w:id="1"/>
    </w:p>
    <w:p w14:paraId="1E9E190F" w14:textId="77777777" w:rsidR="002C0053" w:rsidRDefault="00000000">
      <w:pPr>
        <w:shd w:val="clear" w:color="auto" w:fill="F2F2F2"/>
        <w:spacing w:before="80" w:after="160"/>
        <w:ind w:left="360" w:right="360"/>
      </w:pPr>
      <w:r>
        <w:rPr>
          <w:i/>
          <w:iCs/>
          <w:color w:val="333333"/>
        </w:rPr>
        <w:t xml:space="preserve">As a Data Platform Engineer responsible for ingesting CDC feeds into a Bronze-layer </w:t>
      </w:r>
      <w:proofErr w:type="spellStart"/>
      <w:r>
        <w:rPr>
          <w:i/>
          <w:iCs/>
          <w:color w:val="333333"/>
        </w:rPr>
        <w:t>lakehouse</w:t>
      </w:r>
      <w:proofErr w:type="spellEnd"/>
      <w:r>
        <w:rPr>
          <w:i/>
          <w:iCs/>
          <w:color w:val="333333"/>
        </w:rPr>
        <w:t xml:space="preserve">, I want all upstream CDC tools to emit events in a common </w:t>
      </w:r>
      <w:proofErr w:type="spellStart"/>
      <w:r>
        <w:rPr>
          <w:i/>
          <w:iCs/>
          <w:color w:val="333333"/>
        </w:rPr>
        <w:t>OpenCDC</w:t>
      </w:r>
      <w:proofErr w:type="spellEnd"/>
      <w:r>
        <w:rPr>
          <w:i/>
          <w:iCs/>
          <w:color w:val="333333"/>
        </w:rPr>
        <w:t xml:space="preserve"> format, so that I can build and maintain a single, unified ingestion pipeline instead of writing and managing bespoke format handlers for every source system.</w:t>
      </w:r>
    </w:p>
    <w:p w14:paraId="32340A06" w14:textId="77777777" w:rsidR="002C0053" w:rsidRDefault="000D1C11" w:rsidP="000D1C11">
      <w:pPr>
        <w:spacing w:before="80" w:after="80"/>
        <w:ind w:left="360"/>
      </w:pPr>
      <w:r>
        <w:rPr>
          <w:noProof/>
        </w:rPr>
        <w:drawing>
          <wp:inline distT="0" distB="0" distL="0" distR="0" wp14:anchorId="09EFF979" wp14:editId="5642542C">
            <wp:extent cx="5572125" cy="2859405"/>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72125" cy="2859405"/>
                    </a:xfrm>
                    <a:prstGeom prst="rect">
                      <a:avLst/>
                    </a:prstGeom>
                    <a:noFill/>
                  </pic:spPr>
                </pic:pic>
              </a:graphicData>
            </a:graphic>
          </wp:inline>
        </w:drawing>
      </w:r>
    </w:p>
    <w:p w14:paraId="11715D27" w14:textId="77777777" w:rsidR="002C0053" w:rsidRDefault="00000000">
      <w:pPr>
        <w:pStyle w:val="Heading2"/>
      </w:pPr>
      <w:r>
        <w:t>Background</w:t>
      </w:r>
    </w:p>
    <w:p w14:paraId="450F53E5" w14:textId="77777777" w:rsidR="002C0053" w:rsidRDefault="00000000">
      <w:pPr>
        <w:spacing w:after="160"/>
      </w:pPr>
      <w:r>
        <w:t>The Bronze layer is the raw landing zone for dozens of source feeds, many of them CDC event streams. Today, those streams arrive in whatever format the upstream tool produces — and no two tools produce the same thing:</w:t>
      </w:r>
    </w:p>
    <w:p w14:paraId="781250E7" w14:textId="77777777" w:rsidR="002C0053" w:rsidRDefault="00000000">
      <w:pPr>
        <w:pStyle w:val="ListParagraph"/>
        <w:numPr>
          <w:ilvl w:val="0"/>
          <w:numId w:val="2"/>
        </w:numPr>
        <w:spacing w:before="40" w:after="40"/>
      </w:pPr>
      <w:proofErr w:type="spellStart"/>
      <w:r>
        <w:t>Debezium</w:t>
      </w:r>
      <w:proofErr w:type="spellEnd"/>
      <w:r>
        <w:t xml:space="preserve"> on Oracle: one payload shape, one set of transaction semantics</w:t>
      </w:r>
    </w:p>
    <w:p w14:paraId="71B6B084" w14:textId="77777777" w:rsidR="002C0053" w:rsidRDefault="00000000">
      <w:pPr>
        <w:pStyle w:val="ListParagraph"/>
        <w:numPr>
          <w:ilvl w:val="0"/>
          <w:numId w:val="2"/>
        </w:numPr>
        <w:spacing w:before="40" w:after="40"/>
      </w:pPr>
      <w:proofErr w:type="spellStart"/>
      <w:r>
        <w:t>Debezium</w:t>
      </w:r>
      <w:proofErr w:type="spellEnd"/>
      <w:r>
        <w:t xml:space="preserve"> on PostgreSQL: similar, but with subtly different field names, type representations, and LSN-based sequencing</w:t>
      </w:r>
    </w:p>
    <w:p w14:paraId="089EA8E0" w14:textId="77777777" w:rsidR="002C0053" w:rsidRDefault="00000000">
      <w:pPr>
        <w:pStyle w:val="ListParagraph"/>
        <w:numPr>
          <w:ilvl w:val="0"/>
          <w:numId w:val="2"/>
        </w:numPr>
        <w:spacing w:before="40" w:after="40"/>
      </w:pPr>
      <w:r>
        <w:t xml:space="preserve">IBM IIDR on DB2 LUW: a third proprietary format with its own before/after record structure and commit </w:t>
      </w:r>
      <w:proofErr w:type="gramStart"/>
      <w:r>
        <w:t>metadata</w:t>
      </w:r>
      <w:proofErr w:type="gramEnd"/>
    </w:p>
    <w:p w14:paraId="49C142A9" w14:textId="77777777" w:rsidR="002C0053" w:rsidRDefault="002C0053">
      <w:pPr>
        <w:spacing w:before="60" w:after="60"/>
      </w:pPr>
    </w:p>
    <w:p w14:paraId="16272A75" w14:textId="77777777" w:rsidR="002C0053" w:rsidRDefault="00000000">
      <w:pPr>
        <w:spacing w:after="160"/>
      </w:pPr>
      <w:r>
        <w:t>Despite being conceptually identical — “here is what changed, and how” — each source requires separate parsing logic, schema mapping, and transaction ordering treatment. The result:</w:t>
      </w:r>
    </w:p>
    <w:p w14:paraId="779494E8" w14:textId="77777777" w:rsidR="002C0053" w:rsidRDefault="00000000">
      <w:pPr>
        <w:pStyle w:val="ListParagraph"/>
        <w:numPr>
          <w:ilvl w:val="0"/>
          <w:numId w:val="2"/>
        </w:numPr>
        <w:spacing w:before="40" w:after="40"/>
      </w:pPr>
      <w:r>
        <w:t xml:space="preserve">Three independent ingestion code paths to build, test, and </w:t>
      </w:r>
      <w:proofErr w:type="gramStart"/>
      <w:r>
        <w:t>maintain</w:t>
      </w:r>
      <w:proofErr w:type="gramEnd"/>
    </w:p>
    <w:p w14:paraId="1A217049" w14:textId="77777777" w:rsidR="002C0053" w:rsidRDefault="00000000">
      <w:pPr>
        <w:pStyle w:val="ListParagraph"/>
        <w:numPr>
          <w:ilvl w:val="0"/>
          <w:numId w:val="2"/>
        </w:numPr>
        <w:spacing w:before="40" w:after="40"/>
      </w:pPr>
      <w:r>
        <w:t xml:space="preserve">Three different interpretations of before state, delete, and transaction </w:t>
      </w:r>
      <w:proofErr w:type="gramStart"/>
      <w:r>
        <w:t>boundary</w:t>
      </w:r>
      <w:proofErr w:type="gramEnd"/>
    </w:p>
    <w:p w14:paraId="0FDD587F" w14:textId="77777777" w:rsidR="002C0053" w:rsidRDefault="00000000">
      <w:pPr>
        <w:pStyle w:val="ListParagraph"/>
        <w:numPr>
          <w:ilvl w:val="0"/>
          <w:numId w:val="2"/>
        </w:numPr>
        <w:spacing w:before="40" w:after="40"/>
      </w:pPr>
      <w:r>
        <w:t>Inconsistent handling of edge cases (schema changes, null values, large object types) across pipelines</w:t>
      </w:r>
    </w:p>
    <w:p w14:paraId="3998A78D" w14:textId="77777777" w:rsidR="002C0053" w:rsidRDefault="00000000">
      <w:pPr>
        <w:pStyle w:val="ListParagraph"/>
        <w:numPr>
          <w:ilvl w:val="0"/>
          <w:numId w:val="2"/>
        </w:numPr>
        <w:spacing w:before="40" w:after="40"/>
      </w:pPr>
      <w:r>
        <w:t xml:space="preserve">Every new CDC source </w:t>
      </w:r>
      <w:proofErr w:type="gramStart"/>
      <w:r>
        <w:t>risks</w:t>
      </w:r>
      <w:proofErr w:type="gramEnd"/>
      <w:r>
        <w:t xml:space="preserve"> introducing yet another format variant</w:t>
      </w:r>
    </w:p>
    <w:p w14:paraId="30609488" w14:textId="77777777" w:rsidR="002C0053" w:rsidRDefault="002C0053">
      <w:pPr>
        <w:spacing w:before="60" w:after="60"/>
      </w:pPr>
    </w:p>
    <w:p w14:paraId="042EE3C0" w14:textId="77777777" w:rsidR="002C0053" w:rsidRDefault="00000000">
      <w:pPr>
        <w:spacing w:after="160"/>
      </w:pPr>
      <w:r>
        <w:t xml:space="preserve">The cost is not just engineering time — it is data quality risk. Subtle differences in how each pipeline interprets its source format create inconsistencies that propagate into </w:t>
      </w:r>
      <w:proofErr w:type="gramStart"/>
      <w:r>
        <w:t>Silver and Gold</w:t>
      </w:r>
      <w:proofErr w:type="gramEnd"/>
      <w:r>
        <w:t xml:space="preserve"> layers and ultimately into business reporting.</w:t>
      </w:r>
    </w:p>
    <w:p w14:paraId="653BAA77" w14:textId="77777777" w:rsidR="002C0053" w:rsidRDefault="00000000">
      <w:pPr>
        <w:pStyle w:val="Heading2"/>
      </w:pPr>
      <w:r>
        <w:lastRenderedPageBreak/>
        <w:t xml:space="preserve">The </w:t>
      </w:r>
      <w:proofErr w:type="spellStart"/>
      <w:r>
        <w:t>OpenCDC</w:t>
      </w:r>
      <w:proofErr w:type="spellEnd"/>
      <w:r>
        <w:t xml:space="preserve"> Difference</w:t>
      </w:r>
    </w:p>
    <w:p w14:paraId="3D07756A" w14:textId="77777777" w:rsidR="002C0053" w:rsidRDefault="00000000">
      <w:pPr>
        <w:spacing w:after="160"/>
      </w:pPr>
      <w:r>
        <w:t xml:space="preserve">As upstream teams adopt CDC tools that support </w:t>
      </w:r>
      <w:proofErr w:type="spellStart"/>
      <w:r>
        <w:t>OpenCDC</w:t>
      </w:r>
      <w:proofErr w:type="spellEnd"/>
      <w:r>
        <w:t xml:space="preserve"> as a native output format, the Data Platform Engineer can retire per-source format handlers one by one — replacing them with a single shared ingestion processor that understands the </w:t>
      </w:r>
      <w:proofErr w:type="spellStart"/>
      <w:r>
        <w:t>OpenCDC</w:t>
      </w:r>
      <w:proofErr w:type="spellEnd"/>
      <w:r>
        <w:t xml:space="preserve"> event envelope.</w:t>
      </w:r>
    </w:p>
    <w:p w14:paraId="623049B5" w14:textId="77777777" w:rsidR="002C0053" w:rsidRDefault="002C0053">
      <w:pPr>
        <w:spacing w:before="60" w:after="60"/>
      </w:pPr>
    </w:p>
    <w:p w14:paraId="71889BAA" w14:textId="77777777" w:rsidR="002C0053" w:rsidRDefault="00000000">
      <w:pPr>
        <w:spacing w:after="160"/>
      </w:pPr>
      <w:r>
        <w:t xml:space="preserve">The normalized </w:t>
      </w:r>
      <w:proofErr w:type="spellStart"/>
      <w:r>
        <w:t>OpenCDC</w:t>
      </w:r>
      <w:proofErr w:type="spellEnd"/>
      <w:r>
        <w:t xml:space="preserve"> event provides, consistently across all sources:</w:t>
      </w:r>
    </w:p>
    <w:p w14:paraId="20C8ACB7" w14:textId="77777777" w:rsidR="002C0053" w:rsidRDefault="00000000">
      <w:pPr>
        <w:pStyle w:val="ListParagraph"/>
        <w:numPr>
          <w:ilvl w:val="0"/>
          <w:numId w:val="2"/>
        </w:numPr>
        <w:spacing w:before="40" w:after="40"/>
      </w:pPr>
      <w:r>
        <w:t>Operation type (INSERT, UPDATE, DELETE, TRUNCATE)</w:t>
      </w:r>
    </w:p>
    <w:p w14:paraId="4D96A7F2" w14:textId="77777777" w:rsidR="002C0053" w:rsidRDefault="00000000">
      <w:pPr>
        <w:pStyle w:val="ListParagraph"/>
        <w:numPr>
          <w:ilvl w:val="0"/>
          <w:numId w:val="2"/>
        </w:numPr>
        <w:spacing w:before="40" w:after="40"/>
      </w:pPr>
      <w:r>
        <w:t>Full before and after record state</w:t>
      </w:r>
    </w:p>
    <w:p w14:paraId="27B5C2FC" w14:textId="77777777" w:rsidR="002C0053" w:rsidRDefault="00000000">
      <w:pPr>
        <w:pStyle w:val="ListParagraph"/>
        <w:numPr>
          <w:ilvl w:val="0"/>
          <w:numId w:val="2"/>
        </w:numPr>
        <w:spacing w:before="40" w:after="40"/>
      </w:pPr>
      <w:r>
        <w:t>Source metadata (database, table, timestamp, partition)</w:t>
      </w:r>
    </w:p>
    <w:p w14:paraId="03060FBF" w14:textId="77777777" w:rsidR="002C0053" w:rsidRDefault="00000000">
      <w:pPr>
        <w:pStyle w:val="ListParagraph"/>
        <w:numPr>
          <w:ilvl w:val="0"/>
          <w:numId w:val="2"/>
        </w:numPr>
        <w:spacing w:before="40" w:after="40"/>
      </w:pPr>
      <w:r>
        <w:t xml:space="preserve">A monotonic sequence identifier enabling reliable ordering and </w:t>
      </w:r>
      <w:proofErr w:type="gramStart"/>
      <w:r>
        <w:t>deduplication</w:t>
      </w:r>
      <w:proofErr w:type="gramEnd"/>
    </w:p>
    <w:p w14:paraId="1A96CFD5" w14:textId="77777777" w:rsidR="002C0053" w:rsidRDefault="00000000">
      <w:pPr>
        <w:pStyle w:val="ListParagraph"/>
        <w:numPr>
          <w:ilvl w:val="0"/>
          <w:numId w:val="2"/>
        </w:numPr>
        <w:spacing w:before="40" w:after="40"/>
      </w:pPr>
      <w:r>
        <w:t xml:space="preserve">Transaction boundaries, allowing atomic multi-row operations to be applied </w:t>
      </w:r>
      <w:proofErr w:type="gramStart"/>
      <w:r>
        <w:t>correctly</w:t>
      </w:r>
      <w:proofErr w:type="gramEnd"/>
    </w:p>
    <w:p w14:paraId="2A8A8DC0" w14:textId="77777777" w:rsidR="002C0053" w:rsidRDefault="002C0053">
      <w:pPr>
        <w:spacing w:before="160"/>
      </w:pPr>
    </w:p>
    <w:p w14:paraId="206CDB4A" w14:textId="77777777" w:rsidR="002C0053" w:rsidRDefault="00000000">
      <w:r>
        <w:br w:type="page"/>
      </w:r>
    </w:p>
    <w:p w14:paraId="24838175" w14:textId="6834C43A" w:rsidR="003003E8" w:rsidRDefault="003003E8" w:rsidP="003003E8">
      <w:pPr>
        <w:pStyle w:val="Heading1"/>
        <w:pBdr>
          <w:bottom w:val="single" w:sz="4" w:space="4" w:color="2E75B6"/>
        </w:pBdr>
      </w:pPr>
      <w:r>
        <w:lastRenderedPageBreak/>
        <w:t>4. AI Agent (reactive) Listens to CDC Event Stream</w:t>
      </w:r>
    </w:p>
    <w:p w14:paraId="640A1BAD" w14:textId="77777777" w:rsidR="003003E8" w:rsidRDefault="003003E8" w:rsidP="003003E8">
      <w:pPr>
        <w:spacing w:after="160"/>
      </w:pPr>
      <w:r>
        <w:rPr>
          <w:b/>
          <w:bCs/>
          <w:color w:val="8B6914"/>
          <w:sz w:val="20"/>
          <w:szCs w:val="20"/>
        </w:rPr>
        <w:t xml:space="preserve">○ Stretch </w:t>
      </w:r>
      <w:proofErr w:type="gramStart"/>
      <w:r>
        <w:rPr>
          <w:b/>
          <w:bCs/>
          <w:color w:val="8B6914"/>
          <w:sz w:val="20"/>
          <w:szCs w:val="20"/>
        </w:rPr>
        <w:t>Story</w:t>
      </w:r>
      <w:r>
        <w:rPr>
          <w:color w:val="595959"/>
          <w:sz w:val="20"/>
          <w:szCs w:val="20"/>
        </w:rPr>
        <w:t xml:space="preserve">  —</w:t>
      </w:r>
      <w:proofErr w:type="gramEnd"/>
      <w:r>
        <w:rPr>
          <w:color w:val="595959"/>
          <w:sz w:val="20"/>
          <w:szCs w:val="20"/>
        </w:rPr>
        <w:t xml:space="preserve">  Proposed future capability</w:t>
      </w:r>
    </w:p>
    <w:p w14:paraId="72D4A232" w14:textId="77777777" w:rsidR="003003E8" w:rsidRDefault="003003E8" w:rsidP="003003E8">
      <w:pPr>
        <w:shd w:val="clear" w:color="auto" w:fill="F2F2F2"/>
        <w:spacing w:before="80" w:after="160"/>
        <w:ind w:left="360" w:right="360"/>
      </w:pPr>
      <w:r>
        <w:rPr>
          <w:i/>
          <w:iCs/>
          <w:color w:val="333333"/>
        </w:rPr>
        <w:t xml:space="preserve">As an AI Engineer building a collaborative agent framework for HR onboarding, I want AI agents to autonomously request and consume </w:t>
      </w:r>
      <w:proofErr w:type="spellStart"/>
      <w:r>
        <w:rPr>
          <w:i/>
          <w:iCs/>
          <w:color w:val="333333"/>
        </w:rPr>
        <w:t>OpenCDC</w:t>
      </w:r>
      <w:proofErr w:type="spellEnd"/>
      <w:r>
        <w:rPr>
          <w:i/>
          <w:iCs/>
          <w:color w:val="333333"/>
        </w:rPr>
        <w:t xml:space="preserve"> change event streams from existing CDC infrastructure across multiple enterprise systems, so that onboarding workflows can react to real-time state changes across HR, IT, Facilities, and Security — eliminating the multi-day batch delays that today cause new employees to wait weeks for basic onboarding steps to complete.</w:t>
      </w:r>
    </w:p>
    <w:p w14:paraId="625F5D03" w14:textId="77777777" w:rsidR="003003E8" w:rsidRDefault="003003E8" w:rsidP="003003E8">
      <w:pPr>
        <w:spacing w:before="80" w:after="80"/>
        <w:ind w:left="360"/>
      </w:pPr>
      <w:r>
        <w:rPr>
          <w:noProof/>
        </w:rPr>
        <w:drawing>
          <wp:inline distT="0" distB="0" distL="0" distR="0" wp14:anchorId="3213699C" wp14:editId="2DC74A15">
            <wp:extent cx="5614670" cy="25361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4670" cy="2536190"/>
                    </a:xfrm>
                    <a:prstGeom prst="rect">
                      <a:avLst/>
                    </a:prstGeom>
                    <a:noFill/>
                  </pic:spPr>
                </pic:pic>
              </a:graphicData>
            </a:graphic>
          </wp:inline>
        </w:drawing>
      </w:r>
    </w:p>
    <w:p w14:paraId="7F8017E0" w14:textId="77777777" w:rsidR="003003E8" w:rsidRDefault="003003E8" w:rsidP="003003E8">
      <w:pPr>
        <w:pStyle w:val="Heading2"/>
      </w:pPr>
      <w:r>
        <w:t>Background</w:t>
      </w:r>
    </w:p>
    <w:p w14:paraId="7020D9C5" w14:textId="77777777" w:rsidR="003003E8" w:rsidRDefault="003003E8" w:rsidP="003003E8">
      <w:pPr>
        <w:spacing w:after="160"/>
      </w:pPr>
      <w:r>
        <w:t>Onboarding a new employee at a large enterprise requires coordinated state changes across many independent systems: HCM (employee record, job classification, start date), IT provisioning (laptop, software licensing), Facilities (desk and floor access), Security (badge and access level), and Payroll/Benefits (enrollment windows).</w:t>
      </w:r>
    </w:p>
    <w:p w14:paraId="374F3BE6" w14:textId="77777777" w:rsidR="003003E8" w:rsidRDefault="003003E8" w:rsidP="003003E8">
      <w:pPr>
        <w:spacing w:before="60" w:after="60"/>
      </w:pPr>
    </w:p>
    <w:p w14:paraId="75B9BE98" w14:textId="77777777" w:rsidR="003003E8" w:rsidRDefault="003003E8" w:rsidP="003003E8">
      <w:pPr>
        <w:spacing w:after="160"/>
      </w:pPr>
      <w:r>
        <w:t xml:space="preserve">Today, these systems do not communicate in real time. Each runs its own batch ETL process — nightly, or every few hours at best. Delays compound: a one-day lag from HCM to IT means the laptop order is placed late; a further lag to Facilities means the desk is not assigned until the laptop is almost ready to ship. What should be a </w:t>
      </w:r>
      <w:proofErr w:type="gramStart"/>
      <w:r>
        <w:t>same-day</w:t>
      </w:r>
      <w:proofErr w:type="gramEnd"/>
      <w:r>
        <w:t xml:space="preserve"> coordinated process routinely takes two weeks.</w:t>
      </w:r>
    </w:p>
    <w:p w14:paraId="71D1B777" w14:textId="77777777" w:rsidR="003003E8" w:rsidRDefault="003003E8" w:rsidP="003003E8">
      <w:pPr>
        <w:spacing w:before="60" w:after="60"/>
      </w:pPr>
    </w:p>
    <w:p w14:paraId="15783FF4" w14:textId="77777777" w:rsidR="003003E8" w:rsidRDefault="003003E8" w:rsidP="003003E8">
      <w:pPr>
        <w:spacing w:after="160"/>
      </w:pPr>
      <w:r>
        <w:t>Many of these systems are legacy applications with no outward-facing APIs. Direct integration is not possible. However, most have databases that are accessible, and several already have CDC tools running — not for integration, but for read-replica maintenance or data warehouse feeds. That existing CDC infrastructure becomes the integration surface.</w:t>
      </w:r>
    </w:p>
    <w:p w14:paraId="588C030D" w14:textId="77777777" w:rsidR="003003E8" w:rsidRDefault="003003E8" w:rsidP="003003E8">
      <w:pPr>
        <w:spacing w:before="80" w:after="80"/>
      </w:pPr>
    </w:p>
    <w:p w14:paraId="5D611908" w14:textId="77777777" w:rsidR="00512DB6" w:rsidRDefault="00512DB6" w:rsidP="003003E8">
      <w:pPr>
        <w:spacing w:before="80" w:after="80"/>
      </w:pPr>
    </w:p>
    <w:p w14:paraId="2F58500E" w14:textId="77777777" w:rsidR="00512DB6" w:rsidRDefault="00512DB6" w:rsidP="003003E8">
      <w:pPr>
        <w:spacing w:before="80" w:after="80"/>
      </w:pPr>
    </w:p>
    <w:p w14:paraId="0E5DDD6C" w14:textId="77777777" w:rsidR="003003E8" w:rsidRDefault="003003E8" w:rsidP="003003E8">
      <w:pPr>
        <w:pStyle w:val="Heading2"/>
      </w:pPr>
      <w:r>
        <w:lastRenderedPageBreak/>
        <w:t>The Agent Architecture</w:t>
      </w:r>
    </w:p>
    <w:p w14:paraId="42042797" w14:textId="77777777" w:rsidR="003003E8" w:rsidRDefault="003003E8" w:rsidP="003003E8">
      <w:pPr>
        <w:spacing w:after="160"/>
      </w:pPr>
      <w:r>
        <w:t>A collaborative AI agent framework built on a reactive event model. Rather than polling or waiting for batch updates, each agent subscribes to change event streams from the systems it cares about and acts when relevant state changes occur:</w:t>
      </w:r>
    </w:p>
    <w:p w14:paraId="346F9DE7" w14:textId="77777777" w:rsidR="003003E8" w:rsidRDefault="003003E8" w:rsidP="003003E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003E8" w14:paraId="38070E22" w14:textId="77777777" w:rsidTr="003D2D05">
        <w:tc>
          <w:tcPr>
            <w:tcW w:w="9360" w:type="dxa"/>
            <w:tcBorders>
              <w:top w:val="single" w:sz="2" w:space="0" w:color="888888"/>
              <w:left w:val="thick" w:sz="8" w:space="0" w:color="595959"/>
              <w:bottom w:val="single" w:sz="2" w:space="0" w:color="888888"/>
              <w:right w:val="single" w:sz="2" w:space="0" w:color="888888"/>
            </w:tcBorders>
            <w:shd w:val="clear" w:color="auto" w:fill="F5F5F5"/>
            <w:tcMar>
              <w:top w:w="100" w:type="dxa"/>
              <w:left w:w="160" w:type="dxa"/>
              <w:bottom w:w="100" w:type="dxa"/>
              <w:right w:w="160" w:type="dxa"/>
            </w:tcMar>
          </w:tcPr>
          <w:p w14:paraId="39097CC9" w14:textId="77777777" w:rsidR="003003E8" w:rsidRDefault="003003E8" w:rsidP="003D2D05">
            <w:pPr>
              <w:spacing w:before="20" w:after="20"/>
            </w:pPr>
            <w:r>
              <w:rPr>
                <w:rFonts w:ascii="Courier New" w:eastAsia="Courier New" w:hAnsi="Courier New" w:cs="Courier New"/>
                <w:color w:val="222222"/>
                <w:sz w:val="18"/>
                <w:szCs w:val="18"/>
              </w:rPr>
              <w:t>Enterprise Databases (HCM, IT, Facilities, Security)</w:t>
            </w:r>
          </w:p>
          <w:p w14:paraId="3C050B01"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2883F2FE" w14:textId="77777777" w:rsidR="003003E8" w:rsidRDefault="003003E8" w:rsidP="003D2D05">
            <w:pPr>
              <w:spacing w:before="20" w:after="20"/>
            </w:pPr>
            <w:r>
              <w:rPr>
                <w:rFonts w:ascii="Courier New" w:eastAsia="Courier New" w:hAnsi="Courier New" w:cs="Courier New"/>
                <w:color w:val="222222"/>
                <w:sz w:val="18"/>
                <w:szCs w:val="18"/>
              </w:rPr>
              <w:t xml:space="preserve">   Existing CDC Tools</w:t>
            </w:r>
          </w:p>
          <w:p w14:paraId="690DB4A4" w14:textId="77777777" w:rsidR="003003E8" w:rsidRDefault="003003E8" w:rsidP="003D2D05">
            <w:pPr>
              <w:spacing w:before="20" w:after="20"/>
            </w:pPr>
            <w:r>
              <w:rPr>
                <w:rFonts w:ascii="Courier New" w:eastAsia="Courier New" w:hAnsi="Courier New" w:cs="Courier New"/>
                <w:color w:val="222222"/>
                <w:sz w:val="18"/>
                <w:szCs w:val="18"/>
              </w:rPr>
              <w:t xml:space="preserve">  (</w:t>
            </w:r>
            <w:proofErr w:type="spellStart"/>
            <w:r>
              <w:rPr>
                <w:rFonts w:ascii="Courier New" w:eastAsia="Courier New" w:hAnsi="Courier New" w:cs="Courier New"/>
                <w:color w:val="222222"/>
                <w:sz w:val="18"/>
                <w:szCs w:val="18"/>
              </w:rPr>
              <w:t>Debezium</w:t>
            </w:r>
            <w:proofErr w:type="spellEnd"/>
            <w:r>
              <w:rPr>
                <w:rFonts w:ascii="Courier New" w:eastAsia="Courier New" w:hAnsi="Courier New" w:cs="Courier New"/>
                <w:color w:val="222222"/>
                <w:sz w:val="18"/>
                <w:szCs w:val="18"/>
              </w:rPr>
              <w:t xml:space="preserve"> on Postgres, GoldenGate on Oracle)</w:t>
            </w:r>
          </w:p>
          <w:p w14:paraId="4DD7E486"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6E66C690" w14:textId="77777777" w:rsidR="003003E8" w:rsidRDefault="003003E8" w:rsidP="003D2D05">
            <w:pPr>
              <w:spacing w:before="20" w:after="20"/>
            </w:pPr>
            <w:r>
              <w:rPr>
                <w:rFonts w:ascii="Courier New" w:eastAsia="Courier New" w:hAnsi="Courier New" w:cs="Courier New"/>
                <w:color w:val="222222"/>
                <w:sz w:val="18"/>
                <w:szCs w:val="18"/>
              </w:rPr>
              <w:t xml:space="preserve">    </w:t>
            </w:r>
            <w:proofErr w:type="spellStart"/>
            <w:r>
              <w:rPr>
                <w:rFonts w:ascii="Courier New" w:eastAsia="Courier New" w:hAnsi="Courier New" w:cs="Courier New"/>
                <w:color w:val="222222"/>
                <w:sz w:val="18"/>
                <w:szCs w:val="18"/>
              </w:rPr>
              <w:t>OpenCDC</w:t>
            </w:r>
            <w:proofErr w:type="spellEnd"/>
            <w:r>
              <w:rPr>
                <w:rFonts w:ascii="Courier New" w:eastAsia="Courier New" w:hAnsi="Courier New" w:cs="Courier New"/>
                <w:color w:val="222222"/>
                <w:sz w:val="18"/>
                <w:szCs w:val="18"/>
              </w:rPr>
              <w:t xml:space="preserve"> Event Streams (Kafka / AsyncAPI)</w:t>
            </w:r>
          </w:p>
          <w:p w14:paraId="77DC7300"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5F34CE65"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07DEDB3A" w14:textId="77777777" w:rsidR="003003E8" w:rsidRDefault="003003E8" w:rsidP="003D2D05">
            <w:pPr>
              <w:spacing w:before="20" w:after="20"/>
            </w:pPr>
            <w:r>
              <w:rPr>
                <w:rFonts w:ascii="Courier New" w:eastAsia="Courier New" w:hAnsi="Courier New" w:cs="Courier New"/>
                <w:color w:val="222222"/>
                <w:sz w:val="18"/>
                <w:szCs w:val="18"/>
              </w:rPr>
              <w:t xml:space="preserve">    </w:t>
            </w:r>
            <w:proofErr w:type="gramStart"/>
            <w:r>
              <w:rPr>
                <w:rFonts w:ascii="Courier New" w:eastAsia="Courier New" w:hAnsi="Courier New" w:cs="Courier New"/>
                <w:color w:val="222222"/>
                <w:sz w:val="18"/>
                <w:szCs w:val="18"/>
              </w:rPr>
              <w:t>│  AI</w:t>
            </w:r>
            <w:proofErr w:type="gramEnd"/>
            <w:r>
              <w:rPr>
                <w:rFonts w:ascii="Courier New" w:eastAsia="Courier New" w:hAnsi="Courier New" w:cs="Courier New"/>
                <w:color w:val="222222"/>
                <w:sz w:val="18"/>
                <w:szCs w:val="18"/>
              </w:rPr>
              <w:t xml:space="preserve"> Agent Framework  │  ◄── reacts to events</w:t>
            </w:r>
          </w:p>
          <w:p w14:paraId="0B8CEE14"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38963CF9" w14:textId="77777777" w:rsidR="003003E8" w:rsidRDefault="003003E8" w:rsidP="003D2D05">
            <w:pPr>
              <w:spacing w:before="20" w:after="20"/>
            </w:pPr>
            <w:r>
              <w:rPr>
                <w:rFonts w:ascii="Courier New" w:eastAsia="Courier New" w:hAnsi="Courier New" w:cs="Courier New"/>
                <w:color w:val="222222"/>
                <w:sz w:val="18"/>
                <w:szCs w:val="18"/>
              </w:rPr>
              <w:t xml:space="preserve">          │</w:t>
            </w:r>
          </w:p>
          <w:p w14:paraId="76ADEFC6" w14:textId="77777777" w:rsidR="003003E8" w:rsidRDefault="003003E8" w:rsidP="003D2D05">
            <w:pPr>
              <w:spacing w:before="20" w:after="20"/>
            </w:pPr>
            <w:r>
              <w:rPr>
                <w:rFonts w:ascii="Courier New" w:eastAsia="Courier New" w:hAnsi="Courier New" w:cs="Courier New"/>
                <w:color w:val="222222"/>
                <w:sz w:val="18"/>
                <w:szCs w:val="18"/>
              </w:rPr>
              <w:t xml:space="preserve">   Downstream Actions</w:t>
            </w:r>
          </w:p>
          <w:p w14:paraId="09D47E89" w14:textId="77777777" w:rsidR="003003E8" w:rsidRDefault="003003E8" w:rsidP="003D2D05">
            <w:pPr>
              <w:spacing w:before="20" w:after="20"/>
            </w:pPr>
            <w:r>
              <w:rPr>
                <w:rFonts w:ascii="Courier New" w:eastAsia="Courier New" w:hAnsi="Courier New" w:cs="Courier New"/>
                <w:color w:val="222222"/>
                <w:sz w:val="18"/>
                <w:szCs w:val="18"/>
              </w:rPr>
              <w:t>(</w:t>
            </w:r>
            <w:proofErr w:type="gramStart"/>
            <w:r>
              <w:rPr>
                <w:rFonts w:ascii="Courier New" w:eastAsia="Courier New" w:hAnsi="Courier New" w:cs="Courier New"/>
                <w:color w:val="222222"/>
                <w:sz w:val="18"/>
                <w:szCs w:val="18"/>
              </w:rPr>
              <w:t>welcome</w:t>
            </w:r>
            <w:proofErr w:type="gramEnd"/>
            <w:r>
              <w:rPr>
                <w:rFonts w:ascii="Courier New" w:eastAsia="Courier New" w:hAnsi="Courier New" w:cs="Courier New"/>
                <w:color w:val="222222"/>
                <w:sz w:val="18"/>
                <w:szCs w:val="18"/>
              </w:rPr>
              <w:t xml:space="preserve"> email, IT ticket, badge, manager notify)</w:t>
            </w:r>
          </w:p>
        </w:tc>
      </w:tr>
    </w:tbl>
    <w:p w14:paraId="01B60952" w14:textId="77777777" w:rsidR="003003E8" w:rsidRDefault="003003E8" w:rsidP="003003E8">
      <w:pPr>
        <w:spacing w:before="60" w:after="60"/>
      </w:pPr>
    </w:p>
    <w:p w14:paraId="3F902F88" w14:textId="77777777" w:rsidR="003003E8" w:rsidRDefault="003003E8" w:rsidP="003003E8">
      <w:pPr>
        <w:spacing w:after="160"/>
      </w:pPr>
      <w:r>
        <w:t>This is a Transaction Outbox pattern with an AI agent as the consumer. The CDC tool reliably captures committed database state changes and delivers them as events. The agent interprets those events in business context and decides what to do next.</w:t>
      </w:r>
    </w:p>
    <w:p w14:paraId="197C5CB6" w14:textId="77777777" w:rsidR="003003E8" w:rsidRDefault="003003E8" w:rsidP="003003E8">
      <w:pPr>
        <w:spacing w:before="80" w:after="80"/>
      </w:pPr>
    </w:p>
    <w:p w14:paraId="52FD769A" w14:textId="77777777" w:rsidR="003003E8" w:rsidRDefault="003003E8" w:rsidP="003003E8">
      <w:pPr>
        <w:pStyle w:val="Heading2"/>
      </w:pPr>
      <w:r>
        <w:t>Proposed Capability: Agent-Initiated Stream Requests</w:t>
      </w:r>
    </w:p>
    <w:p w14:paraId="60BBCC88" w14:textId="77777777" w:rsidR="003003E8" w:rsidRDefault="003003E8" w:rsidP="003003E8">
      <w:pPr>
        <w:spacing w:after="160"/>
      </w:pPr>
      <w:r>
        <w:rPr>
          <w:b/>
          <w:bCs/>
        </w:rPr>
        <w:t xml:space="preserve">Note: </w:t>
      </w:r>
      <w:r>
        <w:t xml:space="preserve">The following capability — allowing an AI agent to dynamically request a new CDC stream without manual DBA configuration — is a proposed future extension to the </w:t>
      </w:r>
      <w:proofErr w:type="spellStart"/>
      <w:r>
        <w:t>OpenCDC</w:t>
      </w:r>
      <w:proofErr w:type="spellEnd"/>
      <w:r>
        <w:t xml:space="preserve"> specification. It is not assumed to be present in an initial version of the standard.</w:t>
      </w:r>
    </w:p>
    <w:p w14:paraId="1FA26E67" w14:textId="77777777" w:rsidR="003003E8" w:rsidRDefault="003003E8" w:rsidP="003003E8">
      <w:pPr>
        <w:spacing w:before="60" w:after="60"/>
      </w:pPr>
    </w:p>
    <w:p w14:paraId="35721599" w14:textId="77777777" w:rsidR="003003E8" w:rsidRDefault="003003E8" w:rsidP="003003E8">
      <w:pPr>
        <w:spacing w:after="160"/>
      </w:pPr>
      <w:r>
        <w:t xml:space="preserve">The proposed mechanism: an agent submits a structured request document to a compliant CDC tool describing which business objects it wants to observe and where it wants events delivered. The CDC tool authenticates the request, validates the agent’s permissions, self-configures the appropriate table </w:t>
      </w:r>
      <w:proofErr w:type="gramStart"/>
      <w:r>
        <w:t>subscriptions</w:t>
      </w:r>
      <w:proofErr w:type="gramEnd"/>
      <w:r>
        <w:t xml:space="preserve"> and filters, and opens the requested stream.</w:t>
      </w:r>
    </w:p>
    <w:p w14:paraId="74B3608D" w14:textId="77777777" w:rsidR="003003E8" w:rsidRDefault="003003E8" w:rsidP="003003E8">
      <w:pPr>
        <w:spacing w:before="60" w:after="60"/>
      </w:pPr>
    </w:p>
    <w:p w14:paraId="208BF67D" w14:textId="77777777" w:rsidR="003003E8" w:rsidRDefault="003003E8" w:rsidP="003003E8">
      <w:pPr>
        <w:spacing w:after="160"/>
      </w:pPr>
      <w:r>
        <w:t xml:space="preserve">Example: Facilities desk assignment via </w:t>
      </w:r>
      <w:proofErr w:type="spellStart"/>
      <w:r>
        <w:t>Debezium</w:t>
      </w:r>
      <w:proofErr w:type="spellEnd"/>
      <w:r>
        <w:t xml:space="preserve"> on PostgreSQL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003E8" w14:paraId="62C6A82A" w14:textId="77777777" w:rsidTr="003D2D05">
        <w:tc>
          <w:tcPr>
            <w:tcW w:w="9360" w:type="dxa"/>
            <w:tcBorders>
              <w:top w:val="single" w:sz="2" w:space="0" w:color="888888"/>
              <w:left w:val="thick" w:sz="8" w:space="0" w:color="595959"/>
              <w:bottom w:val="single" w:sz="2" w:space="0" w:color="888888"/>
              <w:right w:val="single" w:sz="2" w:space="0" w:color="888888"/>
            </w:tcBorders>
            <w:shd w:val="clear" w:color="auto" w:fill="F5F5F5"/>
            <w:tcMar>
              <w:top w:w="100" w:type="dxa"/>
              <w:left w:w="160" w:type="dxa"/>
              <w:bottom w:w="100" w:type="dxa"/>
              <w:right w:w="160" w:type="dxa"/>
            </w:tcMar>
          </w:tcPr>
          <w:p w14:paraId="347BD73A" w14:textId="77777777" w:rsidR="003003E8" w:rsidRDefault="003003E8" w:rsidP="003D2D05">
            <w:pPr>
              <w:spacing w:before="20" w:after="20"/>
            </w:pPr>
            <w:proofErr w:type="spellStart"/>
            <w:r>
              <w:rPr>
                <w:rFonts w:ascii="Courier New" w:eastAsia="Courier New" w:hAnsi="Courier New" w:cs="Courier New"/>
                <w:color w:val="222222"/>
                <w:sz w:val="18"/>
                <w:szCs w:val="18"/>
              </w:rPr>
              <w:t>opencdc</w:t>
            </w:r>
            <w:proofErr w:type="spellEnd"/>
            <w:r>
              <w:rPr>
                <w:rFonts w:ascii="Courier New" w:eastAsia="Courier New" w:hAnsi="Courier New" w:cs="Courier New"/>
                <w:color w:val="222222"/>
                <w:sz w:val="18"/>
                <w:szCs w:val="18"/>
              </w:rPr>
              <w:t>: v1</w:t>
            </w:r>
          </w:p>
          <w:p w14:paraId="0DFCA04B" w14:textId="77777777" w:rsidR="003003E8" w:rsidRDefault="003003E8" w:rsidP="003D2D05">
            <w:pPr>
              <w:spacing w:before="20" w:after="20"/>
            </w:pPr>
            <w:r>
              <w:rPr>
                <w:rFonts w:ascii="Courier New" w:eastAsia="Courier New" w:hAnsi="Courier New" w:cs="Courier New"/>
                <w:color w:val="222222"/>
                <w:sz w:val="18"/>
                <w:szCs w:val="18"/>
              </w:rPr>
              <w:t>request:</w:t>
            </w:r>
          </w:p>
          <w:p w14:paraId="2F9E1704" w14:textId="77777777" w:rsidR="003003E8" w:rsidRDefault="003003E8" w:rsidP="003D2D05">
            <w:pPr>
              <w:spacing w:before="20" w:after="20"/>
            </w:pPr>
            <w:r>
              <w:rPr>
                <w:rFonts w:ascii="Courier New" w:eastAsia="Courier New" w:hAnsi="Courier New" w:cs="Courier New"/>
                <w:color w:val="222222"/>
                <w:sz w:val="18"/>
                <w:szCs w:val="18"/>
              </w:rPr>
              <w:t xml:space="preserve">  consumer:</w:t>
            </w:r>
          </w:p>
          <w:p w14:paraId="5EE5D004" w14:textId="77777777" w:rsidR="003003E8" w:rsidRDefault="003003E8" w:rsidP="003D2D05">
            <w:pPr>
              <w:spacing w:before="20" w:after="20"/>
            </w:pPr>
            <w:r>
              <w:rPr>
                <w:rFonts w:ascii="Courier New" w:eastAsia="Courier New" w:hAnsi="Courier New" w:cs="Courier New"/>
                <w:color w:val="222222"/>
                <w:sz w:val="18"/>
                <w:szCs w:val="18"/>
              </w:rPr>
              <w:t xml:space="preserve">    id: onboarding-agent-facilities</w:t>
            </w:r>
          </w:p>
          <w:p w14:paraId="316A01F2" w14:textId="77777777" w:rsidR="003003E8" w:rsidRDefault="003003E8" w:rsidP="003D2D05">
            <w:pPr>
              <w:spacing w:before="20" w:after="20"/>
            </w:pPr>
            <w:r>
              <w:rPr>
                <w:rFonts w:ascii="Courier New" w:eastAsia="Courier New" w:hAnsi="Courier New" w:cs="Courier New"/>
                <w:color w:val="222222"/>
                <w:sz w:val="18"/>
                <w:szCs w:val="18"/>
              </w:rPr>
              <w:t xml:space="preserve">    auth: bearer &lt;</w:t>
            </w:r>
            <w:proofErr w:type="spellStart"/>
            <w:r>
              <w:rPr>
                <w:rFonts w:ascii="Courier New" w:eastAsia="Courier New" w:hAnsi="Courier New" w:cs="Courier New"/>
                <w:color w:val="222222"/>
                <w:sz w:val="18"/>
                <w:szCs w:val="18"/>
              </w:rPr>
              <w:t>agent_token</w:t>
            </w:r>
            <w:proofErr w:type="spellEnd"/>
            <w:r>
              <w:rPr>
                <w:rFonts w:ascii="Courier New" w:eastAsia="Courier New" w:hAnsi="Courier New" w:cs="Courier New"/>
                <w:color w:val="222222"/>
                <w:sz w:val="18"/>
                <w:szCs w:val="18"/>
              </w:rPr>
              <w:t>&gt;</w:t>
            </w:r>
          </w:p>
          <w:p w14:paraId="4AD9683F" w14:textId="77777777" w:rsidR="003003E8" w:rsidRDefault="003003E8" w:rsidP="003D2D05">
            <w:pPr>
              <w:spacing w:before="20" w:after="20"/>
            </w:pPr>
            <w:r>
              <w:rPr>
                <w:rFonts w:ascii="Courier New" w:eastAsia="Courier New" w:hAnsi="Courier New" w:cs="Courier New"/>
                <w:color w:val="222222"/>
                <w:sz w:val="18"/>
                <w:szCs w:val="18"/>
              </w:rPr>
              <w:t xml:space="preserve">  source:</w:t>
            </w:r>
          </w:p>
          <w:p w14:paraId="11810FBB" w14:textId="77777777" w:rsidR="003003E8" w:rsidRDefault="003003E8" w:rsidP="003D2D05">
            <w:pPr>
              <w:spacing w:before="20" w:after="20"/>
            </w:pPr>
            <w:r>
              <w:rPr>
                <w:rFonts w:ascii="Courier New" w:eastAsia="Courier New" w:hAnsi="Courier New" w:cs="Courier New"/>
                <w:color w:val="222222"/>
                <w:sz w:val="18"/>
                <w:szCs w:val="18"/>
              </w:rPr>
              <w:t xml:space="preserve">    database: </w:t>
            </w:r>
            <w:proofErr w:type="spellStart"/>
            <w:r>
              <w:rPr>
                <w:rFonts w:ascii="Courier New" w:eastAsia="Courier New" w:hAnsi="Courier New" w:cs="Courier New"/>
                <w:color w:val="222222"/>
                <w:sz w:val="18"/>
                <w:szCs w:val="18"/>
              </w:rPr>
              <w:t>facilities_db</w:t>
            </w:r>
            <w:proofErr w:type="spellEnd"/>
          </w:p>
          <w:p w14:paraId="1F45406B" w14:textId="77777777" w:rsidR="003003E8" w:rsidRDefault="003003E8" w:rsidP="003D2D05">
            <w:pPr>
              <w:spacing w:before="20" w:after="20"/>
            </w:pPr>
            <w:r>
              <w:rPr>
                <w:rFonts w:ascii="Courier New" w:eastAsia="Courier New" w:hAnsi="Courier New" w:cs="Courier New"/>
                <w:color w:val="222222"/>
                <w:sz w:val="18"/>
                <w:szCs w:val="18"/>
              </w:rPr>
              <w:t xml:space="preserve">    objects:</w:t>
            </w:r>
          </w:p>
          <w:p w14:paraId="3EC50749" w14:textId="77777777" w:rsidR="003003E8" w:rsidRDefault="003003E8" w:rsidP="003D2D05">
            <w:pPr>
              <w:spacing w:before="20" w:after="20"/>
            </w:pPr>
            <w:r>
              <w:rPr>
                <w:rFonts w:ascii="Courier New" w:eastAsia="Courier New" w:hAnsi="Courier New" w:cs="Courier New"/>
                <w:color w:val="222222"/>
                <w:sz w:val="18"/>
                <w:szCs w:val="18"/>
              </w:rPr>
              <w:t xml:space="preserve">      - entity: </w:t>
            </w:r>
            <w:proofErr w:type="spellStart"/>
            <w:r>
              <w:rPr>
                <w:rFonts w:ascii="Courier New" w:eastAsia="Courier New" w:hAnsi="Courier New" w:cs="Courier New"/>
                <w:color w:val="222222"/>
                <w:sz w:val="18"/>
                <w:szCs w:val="18"/>
              </w:rPr>
              <w:t>room_assignment</w:t>
            </w:r>
            <w:proofErr w:type="spellEnd"/>
          </w:p>
          <w:p w14:paraId="27B56120" w14:textId="77777777" w:rsidR="003003E8" w:rsidRDefault="003003E8" w:rsidP="003D2D05">
            <w:pPr>
              <w:spacing w:before="20" w:after="20"/>
            </w:pPr>
            <w:r>
              <w:rPr>
                <w:rFonts w:ascii="Courier New" w:eastAsia="Courier New" w:hAnsi="Courier New" w:cs="Courier New"/>
                <w:color w:val="222222"/>
                <w:sz w:val="18"/>
                <w:szCs w:val="18"/>
              </w:rPr>
              <w:t xml:space="preserve">        filter:</w:t>
            </w:r>
          </w:p>
          <w:p w14:paraId="745BC7C9" w14:textId="77777777" w:rsidR="003003E8" w:rsidRDefault="003003E8" w:rsidP="003D2D05">
            <w:pPr>
              <w:spacing w:before="20" w:after="20"/>
            </w:pPr>
            <w:r>
              <w:rPr>
                <w:rFonts w:ascii="Courier New" w:eastAsia="Courier New" w:hAnsi="Courier New" w:cs="Courier New"/>
                <w:color w:val="222222"/>
                <w:sz w:val="18"/>
                <w:szCs w:val="18"/>
              </w:rPr>
              <w:t xml:space="preserve">          status: [ASSIGNED, PENDING, RELEASED]</w:t>
            </w:r>
          </w:p>
          <w:p w14:paraId="000C6EF2" w14:textId="77777777" w:rsidR="003003E8" w:rsidRDefault="003003E8" w:rsidP="003D2D05">
            <w:pPr>
              <w:spacing w:before="20" w:after="20"/>
            </w:pPr>
            <w:r>
              <w:rPr>
                <w:rFonts w:ascii="Courier New" w:eastAsia="Courier New" w:hAnsi="Courier New" w:cs="Courier New"/>
                <w:color w:val="222222"/>
                <w:sz w:val="18"/>
                <w:szCs w:val="18"/>
              </w:rPr>
              <w:lastRenderedPageBreak/>
              <w:t xml:space="preserve">      - entity: </w:t>
            </w:r>
            <w:proofErr w:type="spellStart"/>
            <w:r>
              <w:rPr>
                <w:rFonts w:ascii="Courier New" w:eastAsia="Courier New" w:hAnsi="Courier New" w:cs="Courier New"/>
                <w:color w:val="222222"/>
                <w:sz w:val="18"/>
                <w:szCs w:val="18"/>
              </w:rPr>
              <w:t>desk_inventory</w:t>
            </w:r>
            <w:proofErr w:type="spellEnd"/>
          </w:p>
          <w:p w14:paraId="7808F661" w14:textId="77777777" w:rsidR="003003E8" w:rsidRDefault="003003E8" w:rsidP="003D2D05">
            <w:pPr>
              <w:spacing w:before="20" w:after="20"/>
            </w:pPr>
            <w:r>
              <w:rPr>
                <w:rFonts w:ascii="Courier New" w:eastAsia="Courier New" w:hAnsi="Courier New" w:cs="Courier New"/>
                <w:color w:val="222222"/>
                <w:sz w:val="18"/>
                <w:szCs w:val="18"/>
              </w:rPr>
              <w:t xml:space="preserve">        filter:</w:t>
            </w:r>
          </w:p>
          <w:p w14:paraId="0AE0D77C" w14:textId="77777777" w:rsidR="003003E8" w:rsidRDefault="003003E8" w:rsidP="003D2D05">
            <w:pPr>
              <w:spacing w:before="20" w:after="20"/>
            </w:pPr>
            <w:r>
              <w:rPr>
                <w:rFonts w:ascii="Courier New" w:eastAsia="Courier New" w:hAnsi="Courier New" w:cs="Courier New"/>
                <w:color w:val="222222"/>
                <w:sz w:val="18"/>
                <w:szCs w:val="18"/>
              </w:rPr>
              <w:t xml:space="preserve">          availability: [AVAILABLE, RESERVED]</w:t>
            </w:r>
          </w:p>
          <w:p w14:paraId="6EB7750E" w14:textId="77777777" w:rsidR="003003E8" w:rsidRDefault="003003E8" w:rsidP="003D2D05">
            <w:pPr>
              <w:spacing w:before="20" w:after="20"/>
            </w:pPr>
            <w:r>
              <w:rPr>
                <w:rFonts w:ascii="Courier New" w:eastAsia="Courier New" w:hAnsi="Courier New" w:cs="Courier New"/>
                <w:color w:val="222222"/>
                <w:sz w:val="18"/>
                <w:szCs w:val="18"/>
              </w:rPr>
              <w:t xml:space="preserve">  delivery:</w:t>
            </w:r>
          </w:p>
          <w:p w14:paraId="0F127F18" w14:textId="77777777" w:rsidR="003003E8" w:rsidRDefault="003003E8" w:rsidP="003D2D05">
            <w:pPr>
              <w:spacing w:before="20" w:after="20"/>
            </w:pPr>
            <w:r>
              <w:rPr>
                <w:rFonts w:ascii="Courier New" w:eastAsia="Courier New" w:hAnsi="Courier New" w:cs="Courier New"/>
                <w:color w:val="222222"/>
                <w:sz w:val="18"/>
                <w:szCs w:val="18"/>
              </w:rPr>
              <w:t xml:space="preserve">    transport: </w:t>
            </w:r>
            <w:proofErr w:type="spellStart"/>
            <w:r>
              <w:rPr>
                <w:rFonts w:ascii="Courier New" w:eastAsia="Courier New" w:hAnsi="Courier New" w:cs="Courier New"/>
                <w:color w:val="222222"/>
                <w:sz w:val="18"/>
                <w:szCs w:val="18"/>
              </w:rPr>
              <w:t>kafka</w:t>
            </w:r>
            <w:proofErr w:type="spellEnd"/>
          </w:p>
          <w:p w14:paraId="53A26980" w14:textId="77777777" w:rsidR="003003E8" w:rsidRDefault="003003E8" w:rsidP="003D2D05">
            <w:pPr>
              <w:spacing w:before="20" w:after="20"/>
            </w:pPr>
            <w:r>
              <w:rPr>
                <w:rFonts w:ascii="Courier New" w:eastAsia="Courier New" w:hAnsi="Courier New" w:cs="Courier New"/>
                <w:color w:val="222222"/>
                <w:sz w:val="18"/>
                <w:szCs w:val="18"/>
              </w:rPr>
              <w:t xml:space="preserve">    topic: </w:t>
            </w:r>
            <w:proofErr w:type="spellStart"/>
            <w:proofErr w:type="gramStart"/>
            <w:r>
              <w:rPr>
                <w:rFonts w:ascii="Courier New" w:eastAsia="Courier New" w:hAnsi="Courier New" w:cs="Courier New"/>
                <w:color w:val="222222"/>
                <w:sz w:val="18"/>
                <w:szCs w:val="18"/>
              </w:rPr>
              <w:t>agent.facilities</w:t>
            </w:r>
            <w:proofErr w:type="gramEnd"/>
            <w:r>
              <w:rPr>
                <w:rFonts w:ascii="Courier New" w:eastAsia="Courier New" w:hAnsi="Courier New" w:cs="Courier New"/>
                <w:color w:val="222222"/>
                <w:sz w:val="18"/>
                <w:szCs w:val="18"/>
              </w:rPr>
              <w:t>.assignments</w:t>
            </w:r>
            <w:proofErr w:type="spellEnd"/>
          </w:p>
          <w:p w14:paraId="18B62CAB" w14:textId="77777777" w:rsidR="003003E8" w:rsidRDefault="003003E8" w:rsidP="003D2D05">
            <w:pPr>
              <w:spacing w:before="20" w:after="20"/>
            </w:pPr>
            <w:r>
              <w:rPr>
                <w:rFonts w:ascii="Courier New" w:eastAsia="Courier New" w:hAnsi="Courier New" w:cs="Courier New"/>
                <w:color w:val="222222"/>
                <w:sz w:val="18"/>
                <w:szCs w:val="18"/>
              </w:rPr>
              <w:t xml:space="preserve">    format: </w:t>
            </w:r>
            <w:proofErr w:type="spellStart"/>
            <w:r>
              <w:rPr>
                <w:rFonts w:ascii="Courier New" w:eastAsia="Courier New" w:hAnsi="Courier New" w:cs="Courier New"/>
                <w:color w:val="222222"/>
                <w:sz w:val="18"/>
                <w:szCs w:val="18"/>
              </w:rPr>
              <w:t>opencdc</w:t>
            </w:r>
            <w:proofErr w:type="spellEnd"/>
          </w:p>
          <w:p w14:paraId="1FDC5572" w14:textId="77777777" w:rsidR="003003E8" w:rsidRDefault="003003E8" w:rsidP="003D2D05">
            <w:pPr>
              <w:spacing w:before="20" w:after="20"/>
            </w:pPr>
            <w:r>
              <w:rPr>
                <w:rFonts w:ascii="Courier New" w:eastAsia="Courier New" w:hAnsi="Courier New" w:cs="Courier New"/>
                <w:color w:val="222222"/>
                <w:sz w:val="18"/>
                <w:szCs w:val="18"/>
              </w:rPr>
              <w:t xml:space="preserve">    </w:t>
            </w:r>
            <w:proofErr w:type="spellStart"/>
            <w:r>
              <w:rPr>
                <w:rFonts w:ascii="Courier New" w:eastAsia="Courier New" w:hAnsi="Courier New" w:cs="Courier New"/>
                <w:color w:val="222222"/>
                <w:sz w:val="18"/>
                <w:szCs w:val="18"/>
              </w:rPr>
              <w:t>qos</w:t>
            </w:r>
            <w:proofErr w:type="spellEnd"/>
            <w:r>
              <w:rPr>
                <w:rFonts w:ascii="Courier New" w:eastAsia="Courier New" w:hAnsi="Courier New" w:cs="Courier New"/>
                <w:color w:val="222222"/>
                <w:sz w:val="18"/>
                <w:szCs w:val="18"/>
              </w:rPr>
              <w:t>: at-least-once</w:t>
            </w:r>
          </w:p>
        </w:tc>
      </w:tr>
    </w:tbl>
    <w:p w14:paraId="7A2E4479" w14:textId="77777777" w:rsidR="003003E8" w:rsidRDefault="003003E8" w:rsidP="003003E8">
      <w:pPr>
        <w:spacing w:before="60" w:after="60"/>
      </w:pPr>
    </w:p>
    <w:p w14:paraId="5C05C167" w14:textId="77777777" w:rsidR="003003E8" w:rsidRDefault="003003E8" w:rsidP="003003E8">
      <w:pPr>
        <w:spacing w:after="160"/>
      </w:pPr>
      <w:proofErr w:type="spellStart"/>
      <w:r>
        <w:t>Debezium</w:t>
      </w:r>
      <w:proofErr w:type="spellEnd"/>
      <w:r>
        <w:t xml:space="preserve"> authenticates the agent token, confirms read permissions on the relevant tables, maps business object names to underlying PostgreSQL tables, configures the logical replication slot and publication filter, and begins emitting </w:t>
      </w:r>
      <w:proofErr w:type="spellStart"/>
      <w:r>
        <w:t>OpenCDC</w:t>
      </w:r>
      <w:proofErr w:type="spellEnd"/>
      <w:r>
        <w:t xml:space="preserve"> events to the specified Kafka topic. No DBA intervention required.</w:t>
      </w:r>
    </w:p>
    <w:p w14:paraId="63D9788A" w14:textId="77777777" w:rsidR="003003E8" w:rsidRDefault="003003E8" w:rsidP="003003E8">
      <w:pPr>
        <w:spacing w:before="80" w:after="80"/>
      </w:pPr>
    </w:p>
    <w:p w14:paraId="28F22418" w14:textId="77777777" w:rsidR="003003E8" w:rsidRDefault="003003E8" w:rsidP="003003E8">
      <w:pPr>
        <w:pStyle w:val="Heading2"/>
      </w:pPr>
      <w:r>
        <w:t xml:space="preserve">What an </w:t>
      </w:r>
      <w:proofErr w:type="spellStart"/>
      <w:r>
        <w:t>OpenCDC</w:t>
      </w:r>
      <w:proofErr w:type="spellEnd"/>
      <w:r>
        <w:t xml:space="preserve"> Event Looks Like to the Agent</w:t>
      </w:r>
    </w:p>
    <w:p w14:paraId="6C5F7E03" w14:textId="77777777" w:rsidR="003003E8" w:rsidRDefault="003003E8" w:rsidP="003003E8">
      <w:pPr>
        <w:spacing w:after="160"/>
      </w:pPr>
      <w:r>
        <w:t xml:space="preserve">Regardless of whether the event came from </w:t>
      </w:r>
      <w:proofErr w:type="spellStart"/>
      <w:r>
        <w:t>Debezium</w:t>
      </w:r>
      <w:proofErr w:type="spellEnd"/>
      <w:r>
        <w:t xml:space="preserve"> on Postgres or GoldenGate on Oracle, the agent receives the same </w:t>
      </w:r>
      <w:proofErr w:type="spellStart"/>
      <w:r>
        <w:t>CloudEvents</w:t>
      </w:r>
      <w:proofErr w:type="spellEnd"/>
      <w:r>
        <w:t xml:space="preserve">-compatible envelope structure. The agent reads </w:t>
      </w:r>
      <w:proofErr w:type="spellStart"/>
      <w:proofErr w:type="gramStart"/>
      <w:r>
        <w:t>data.op</w:t>
      </w:r>
      <w:proofErr w:type="spellEnd"/>
      <w:proofErr w:type="gramEnd"/>
      <w:r>
        <w:t xml:space="preserve">, </w:t>
      </w:r>
      <w:proofErr w:type="spellStart"/>
      <w:r>
        <w:t>data.before</w:t>
      </w:r>
      <w:proofErr w:type="spellEnd"/>
      <w:r>
        <w:t xml:space="preserve">, and </w:t>
      </w:r>
      <w:proofErr w:type="spellStart"/>
      <w:r>
        <w:t>data.after</w:t>
      </w:r>
      <w:proofErr w:type="spellEnd"/>
      <w:r>
        <w:t xml:space="preserve"> from consistent field paths regardless of source system. A desk assignment event from Facilities and a laptop shipment event from IT are processed by the same event handler — no per-system parsing, no format translation, no bespoke integration code.</w:t>
      </w:r>
    </w:p>
    <w:p w14:paraId="26723C5E" w14:textId="77777777" w:rsidR="003003E8" w:rsidRDefault="003003E8" w:rsidP="003003E8">
      <w:pPr>
        <w:spacing w:before="80" w:after="80"/>
      </w:pPr>
    </w:p>
    <w:p w14:paraId="07829E9F" w14:textId="77777777" w:rsidR="003003E8" w:rsidRDefault="003003E8" w:rsidP="003003E8">
      <w:pPr>
        <w:pStyle w:val="Heading2"/>
      </w:pPr>
      <w:r>
        <w:t>The New Onboarding Workflow in Motion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3003E8" w14:paraId="6B88CA9A" w14:textId="77777777" w:rsidTr="003D2D05">
        <w:tc>
          <w:tcPr>
            <w:tcW w:w="240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390BDD47" w14:textId="77777777" w:rsidR="003003E8" w:rsidRDefault="003003E8" w:rsidP="003D2D05">
            <w:r>
              <w:rPr>
                <w:b/>
                <w:bCs/>
                <w:color w:val="FFFFFF"/>
                <w:sz w:val="20"/>
                <w:szCs w:val="20"/>
              </w:rPr>
              <w:t>When</w:t>
            </w:r>
          </w:p>
        </w:tc>
        <w:tc>
          <w:tcPr>
            <w:tcW w:w="348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1734CA62" w14:textId="77777777" w:rsidR="003003E8" w:rsidRDefault="003003E8" w:rsidP="003D2D05">
            <w:r>
              <w:rPr>
                <w:b/>
                <w:bCs/>
                <w:color w:val="FFFFFF"/>
                <w:sz w:val="20"/>
                <w:szCs w:val="20"/>
              </w:rPr>
              <w:t>Event</w:t>
            </w:r>
          </w:p>
        </w:tc>
        <w:tc>
          <w:tcPr>
            <w:tcW w:w="348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5F44C00E" w14:textId="77777777" w:rsidR="003003E8" w:rsidRDefault="003003E8" w:rsidP="003D2D05">
            <w:r>
              <w:rPr>
                <w:b/>
                <w:bCs/>
                <w:color w:val="FFFFFF"/>
                <w:sz w:val="20"/>
                <w:szCs w:val="20"/>
              </w:rPr>
              <w:t>Agent Action</w:t>
            </w:r>
          </w:p>
        </w:tc>
      </w:tr>
      <w:tr w:rsidR="003003E8" w14:paraId="02254985" w14:textId="77777777" w:rsidTr="003D2D05">
        <w:tc>
          <w:tcPr>
            <w:tcW w:w="240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79D156E6" w14:textId="77777777" w:rsidR="003003E8" w:rsidRDefault="003003E8" w:rsidP="003D2D05">
            <w:r>
              <w:rPr>
                <w:b/>
                <w:bCs/>
                <w:sz w:val="19"/>
                <w:szCs w:val="19"/>
              </w:rPr>
              <w:t>Day 0, 9:00 AM</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FFB78E" w14:textId="77777777" w:rsidR="003003E8" w:rsidRDefault="003003E8" w:rsidP="003D2D05">
            <w:r>
              <w:rPr>
                <w:sz w:val="19"/>
                <w:szCs w:val="19"/>
              </w:rPr>
              <w:t>HCM record created (INSERT)</w:t>
            </w:r>
          </w:p>
        </w:tc>
        <w:tc>
          <w:tcPr>
            <w:tcW w:w="3480" w:type="dxa"/>
            <w:tcBorders>
              <w:top w:val="single" w:sz="1" w:space="0" w:color="CCCCCC"/>
              <w:left w:val="single" w:sz="1" w:space="0" w:color="CCCCCC"/>
              <w:bottom w:val="single" w:sz="1" w:space="0" w:color="CCCCCC"/>
              <w:right w:val="single" w:sz="2" w:space="0" w:color="2E75B6"/>
            </w:tcBorders>
            <w:shd w:val="clear" w:color="auto" w:fill="FFFFFF"/>
            <w:tcMar>
              <w:top w:w="60" w:type="dxa"/>
              <w:left w:w="120" w:type="dxa"/>
              <w:bottom w:w="60" w:type="dxa"/>
              <w:right w:w="120" w:type="dxa"/>
            </w:tcMar>
          </w:tcPr>
          <w:p w14:paraId="6331A21E" w14:textId="77777777" w:rsidR="003003E8" w:rsidRDefault="003003E8" w:rsidP="003D2D05">
            <w:r>
              <w:rPr>
                <w:sz w:val="19"/>
                <w:szCs w:val="19"/>
              </w:rPr>
              <w:t>Initiates downstream requests</w:t>
            </w:r>
          </w:p>
        </w:tc>
      </w:tr>
      <w:tr w:rsidR="003003E8" w14:paraId="28AEFE8C" w14:textId="77777777" w:rsidTr="003D2D05">
        <w:tc>
          <w:tcPr>
            <w:tcW w:w="240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6B822704" w14:textId="77777777" w:rsidR="003003E8" w:rsidRDefault="003003E8" w:rsidP="003D2D05">
            <w:r>
              <w:rPr>
                <w:b/>
                <w:bCs/>
                <w:sz w:val="19"/>
                <w:szCs w:val="19"/>
              </w:rPr>
              <w:t>Day 0, 9:01 AM</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1FAB07" w14:textId="77777777" w:rsidR="003003E8" w:rsidRDefault="003003E8" w:rsidP="003D2D05">
            <w:r>
              <w:rPr>
                <w:sz w:val="19"/>
                <w:szCs w:val="19"/>
              </w:rPr>
              <w:t>IT provisioning order submitted (INSERT)</w:t>
            </w:r>
          </w:p>
        </w:tc>
        <w:tc>
          <w:tcPr>
            <w:tcW w:w="3480" w:type="dxa"/>
            <w:tcBorders>
              <w:top w:val="single" w:sz="1" w:space="0" w:color="CCCCCC"/>
              <w:left w:val="single" w:sz="1" w:space="0" w:color="CCCCCC"/>
              <w:bottom w:val="single" w:sz="1" w:space="0" w:color="CCCCCC"/>
              <w:right w:val="single" w:sz="2" w:space="0" w:color="2E75B6"/>
            </w:tcBorders>
            <w:shd w:val="clear" w:color="auto" w:fill="F2F2F2"/>
            <w:tcMar>
              <w:top w:w="60" w:type="dxa"/>
              <w:left w:w="120" w:type="dxa"/>
              <w:bottom w:w="60" w:type="dxa"/>
              <w:right w:w="120" w:type="dxa"/>
            </w:tcMar>
          </w:tcPr>
          <w:p w14:paraId="08F135F0" w14:textId="77777777" w:rsidR="003003E8" w:rsidRDefault="003003E8" w:rsidP="003D2D05">
            <w:r>
              <w:rPr>
                <w:sz w:val="19"/>
                <w:szCs w:val="19"/>
              </w:rPr>
              <w:t>Logs order, sets expectation timer</w:t>
            </w:r>
          </w:p>
        </w:tc>
      </w:tr>
      <w:tr w:rsidR="003003E8" w14:paraId="78881B78" w14:textId="77777777" w:rsidTr="003D2D05">
        <w:tc>
          <w:tcPr>
            <w:tcW w:w="240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5C6809D7" w14:textId="77777777" w:rsidR="003003E8" w:rsidRDefault="003003E8" w:rsidP="003D2D05">
            <w:r>
              <w:rPr>
                <w:b/>
                <w:bCs/>
                <w:sz w:val="19"/>
                <w:szCs w:val="19"/>
              </w:rPr>
              <w:t>Day 0, 9:02 AM</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4E53CD" w14:textId="77777777" w:rsidR="003003E8" w:rsidRDefault="003003E8" w:rsidP="003D2D05">
            <w:r>
              <w:rPr>
                <w:sz w:val="19"/>
                <w:szCs w:val="19"/>
              </w:rPr>
              <w:t>Facilities desk assigned (UPDATE)</w:t>
            </w:r>
          </w:p>
        </w:tc>
        <w:tc>
          <w:tcPr>
            <w:tcW w:w="3480" w:type="dxa"/>
            <w:tcBorders>
              <w:top w:val="single" w:sz="1" w:space="0" w:color="CCCCCC"/>
              <w:left w:val="single" w:sz="1" w:space="0" w:color="CCCCCC"/>
              <w:bottom w:val="single" w:sz="1" w:space="0" w:color="CCCCCC"/>
              <w:right w:val="single" w:sz="2" w:space="0" w:color="2E75B6"/>
            </w:tcBorders>
            <w:shd w:val="clear" w:color="auto" w:fill="FFFFFF"/>
            <w:tcMar>
              <w:top w:w="60" w:type="dxa"/>
              <w:left w:w="120" w:type="dxa"/>
              <w:bottom w:w="60" w:type="dxa"/>
              <w:right w:w="120" w:type="dxa"/>
            </w:tcMar>
          </w:tcPr>
          <w:p w14:paraId="3DF19905" w14:textId="77777777" w:rsidR="003003E8" w:rsidRDefault="003003E8" w:rsidP="003D2D05">
            <w:r>
              <w:rPr>
                <w:sz w:val="19"/>
                <w:szCs w:val="19"/>
              </w:rPr>
              <w:t>Sends desk confirmation to new employee</w:t>
            </w:r>
          </w:p>
        </w:tc>
      </w:tr>
      <w:tr w:rsidR="003003E8" w14:paraId="76FD732B" w14:textId="77777777" w:rsidTr="003D2D05">
        <w:tc>
          <w:tcPr>
            <w:tcW w:w="2400" w:type="dxa"/>
            <w:tcBorders>
              <w:top w:val="single" w:sz="1" w:space="0" w:color="CCCCCC"/>
              <w:left w:val="single" w:sz="2" w:space="0" w:color="2E75B6"/>
              <w:bottom w:val="single" w:sz="1" w:space="0" w:color="CCCCCC"/>
              <w:right w:val="single" w:sz="1" w:space="0" w:color="CCCCCC"/>
            </w:tcBorders>
            <w:shd w:val="clear" w:color="auto" w:fill="F2F2F2"/>
            <w:tcMar>
              <w:top w:w="60" w:type="dxa"/>
              <w:left w:w="120" w:type="dxa"/>
              <w:bottom w:w="60" w:type="dxa"/>
              <w:right w:w="120" w:type="dxa"/>
            </w:tcMar>
          </w:tcPr>
          <w:p w14:paraId="1892D5D0" w14:textId="77777777" w:rsidR="003003E8" w:rsidRDefault="003003E8" w:rsidP="003D2D05">
            <w:r>
              <w:rPr>
                <w:b/>
                <w:bCs/>
                <w:sz w:val="19"/>
                <w:szCs w:val="19"/>
              </w:rPr>
              <w:t>Day 1, 2:15 PM</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2152EB" w14:textId="77777777" w:rsidR="003003E8" w:rsidRDefault="003003E8" w:rsidP="003D2D05">
            <w:r>
              <w:rPr>
                <w:sz w:val="19"/>
                <w:szCs w:val="19"/>
              </w:rPr>
              <w:t>Laptop shipped (UPDATE)</w:t>
            </w:r>
          </w:p>
        </w:tc>
        <w:tc>
          <w:tcPr>
            <w:tcW w:w="3480" w:type="dxa"/>
            <w:tcBorders>
              <w:top w:val="single" w:sz="1" w:space="0" w:color="CCCCCC"/>
              <w:left w:val="single" w:sz="1" w:space="0" w:color="CCCCCC"/>
              <w:bottom w:val="single" w:sz="1" w:space="0" w:color="CCCCCC"/>
              <w:right w:val="single" w:sz="2" w:space="0" w:color="2E75B6"/>
            </w:tcBorders>
            <w:shd w:val="clear" w:color="auto" w:fill="F2F2F2"/>
            <w:tcMar>
              <w:top w:w="60" w:type="dxa"/>
              <w:left w:w="120" w:type="dxa"/>
              <w:bottom w:w="60" w:type="dxa"/>
              <w:right w:w="120" w:type="dxa"/>
            </w:tcMar>
          </w:tcPr>
          <w:p w14:paraId="1D76F0B8" w14:textId="77777777" w:rsidR="003003E8" w:rsidRDefault="003003E8" w:rsidP="003D2D05">
            <w:r>
              <w:rPr>
                <w:sz w:val="19"/>
                <w:szCs w:val="19"/>
              </w:rPr>
              <w:t>Notifies new employee and manager</w:t>
            </w:r>
          </w:p>
        </w:tc>
      </w:tr>
      <w:tr w:rsidR="003003E8" w14:paraId="4CBC7004" w14:textId="77777777" w:rsidTr="003D2D05">
        <w:tc>
          <w:tcPr>
            <w:tcW w:w="2400" w:type="dxa"/>
            <w:tcBorders>
              <w:top w:val="single" w:sz="1" w:space="0" w:color="CCCCCC"/>
              <w:left w:val="single" w:sz="2" w:space="0" w:color="2E75B6"/>
              <w:bottom w:val="single" w:sz="1" w:space="0" w:color="CCCCCC"/>
              <w:right w:val="single" w:sz="1" w:space="0" w:color="CCCCCC"/>
            </w:tcBorders>
            <w:shd w:val="clear" w:color="auto" w:fill="FFFFFF"/>
            <w:tcMar>
              <w:top w:w="60" w:type="dxa"/>
              <w:left w:w="120" w:type="dxa"/>
              <w:bottom w:w="60" w:type="dxa"/>
              <w:right w:w="120" w:type="dxa"/>
            </w:tcMar>
          </w:tcPr>
          <w:p w14:paraId="74383EE4" w14:textId="77777777" w:rsidR="003003E8" w:rsidRDefault="003003E8" w:rsidP="003D2D05">
            <w:r>
              <w:rPr>
                <w:b/>
                <w:bCs/>
                <w:sz w:val="19"/>
                <w:szCs w:val="19"/>
              </w:rPr>
              <w:t>Day 3, 10:30 AM</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D19DDA" w14:textId="77777777" w:rsidR="003003E8" w:rsidRDefault="003003E8" w:rsidP="003D2D05">
            <w:r>
              <w:rPr>
                <w:sz w:val="19"/>
                <w:szCs w:val="19"/>
              </w:rPr>
              <w:t>Badge record created in Security (INSERT)</w:t>
            </w:r>
          </w:p>
        </w:tc>
        <w:tc>
          <w:tcPr>
            <w:tcW w:w="3480" w:type="dxa"/>
            <w:tcBorders>
              <w:top w:val="single" w:sz="1" w:space="0" w:color="CCCCCC"/>
              <w:left w:val="single" w:sz="1" w:space="0" w:color="CCCCCC"/>
              <w:bottom w:val="single" w:sz="1" w:space="0" w:color="CCCCCC"/>
              <w:right w:val="single" w:sz="2" w:space="0" w:color="2E75B6"/>
            </w:tcBorders>
            <w:shd w:val="clear" w:color="auto" w:fill="FFFFFF"/>
            <w:tcMar>
              <w:top w:w="60" w:type="dxa"/>
              <w:left w:w="120" w:type="dxa"/>
              <w:bottom w:w="60" w:type="dxa"/>
              <w:right w:w="120" w:type="dxa"/>
            </w:tcMar>
          </w:tcPr>
          <w:p w14:paraId="00A172C4" w14:textId="77777777" w:rsidR="003003E8" w:rsidRDefault="003003E8" w:rsidP="003D2D05">
            <w:r>
              <w:rPr>
                <w:sz w:val="19"/>
                <w:szCs w:val="19"/>
              </w:rPr>
              <w:t>Triggers building access confirmation email</w:t>
            </w:r>
          </w:p>
        </w:tc>
      </w:tr>
    </w:tbl>
    <w:p w14:paraId="742226BD" w14:textId="77777777" w:rsidR="003003E8" w:rsidRDefault="003003E8" w:rsidP="003003E8">
      <w:pPr>
        <w:spacing w:before="80" w:after="80"/>
      </w:pPr>
    </w:p>
    <w:p w14:paraId="5D350B6E" w14:textId="77777777" w:rsidR="003003E8" w:rsidRDefault="003003E8" w:rsidP="003003E8">
      <w:pPr>
        <w:spacing w:before="60" w:after="40"/>
      </w:pPr>
      <w:r>
        <w:rPr>
          <w:b/>
          <w:bCs/>
        </w:rPr>
        <w:t xml:space="preserve">Total elapsed: </w:t>
      </w:r>
      <w:r>
        <w:t>3 days, driven by actual system events.</w:t>
      </w:r>
    </w:p>
    <w:p w14:paraId="57047505" w14:textId="77777777" w:rsidR="003003E8" w:rsidRDefault="003003E8" w:rsidP="003003E8">
      <w:pPr>
        <w:spacing w:after="160"/>
      </w:pPr>
      <w:r>
        <w:rPr>
          <w:b/>
          <w:bCs/>
        </w:rPr>
        <w:t xml:space="preserve">Previous experience: </w:t>
      </w:r>
      <w:r>
        <w:t>10–14 days, driven by batch windows.</w:t>
      </w:r>
    </w:p>
    <w:p w14:paraId="0F597CCA" w14:textId="77777777" w:rsidR="003003E8" w:rsidRDefault="003003E8"/>
    <w:p w14:paraId="291EE59C" w14:textId="77777777" w:rsidR="003003E8" w:rsidRDefault="003003E8">
      <w:pPr>
        <w:rPr>
          <w:b/>
          <w:bCs/>
          <w:color w:val="1F4E79"/>
          <w:sz w:val="32"/>
          <w:szCs w:val="32"/>
        </w:rPr>
      </w:pPr>
      <w:bookmarkStart w:id="2" w:name="_Toc228712294"/>
      <w:r>
        <w:br w:type="page"/>
      </w:r>
    </w:p>
    <w:p w14:paraId="0B2565E0" w14:textId="4B58CF8B" w:rsidR="002C0053" w:rsidRDefault="003003E8">
      <w:pPr>
        <w:pStyle w:val="Heading1"/>
        <w:pBdr>
          <w:bottom w:val="single" w:sz="4" w:space="4" w:color="2E75B6"/>
        </w:pBdr>
      </w:pPr>
      <w:r>
        <w:lastRenderedPageBreak/>
        <w:t xml:space="preserve">5. Database Fire-and-Forget to </w:t>
      </w:r>
      <w:proofErr w:type="gramStart"/>
      <w:r>
        <w:t>Streaming</w:t>
      </w:r>
      <w:proofErr w:type="gramEnd"/>
      <w:r>
        <w:t xml:space="preserve"> Pipeline</w:t>
      </w:r>
      <w:bookmarkEnd w:id="2"/>
    </w:p>
    <w:p w14:paraId="34C1FA7F" w14:textId="77777777" w:rsidR="002C0053" w:rsidRDefault="00000000">
      <w:pPr>
        <w:spacing w:after="160"/>
      </w:pPr>
      <w:r>
        <w:rPr>
          <w:b/>
          <w:bCs/>
          <w:color w:val="8B6914"/>
          <w:sz w:val="20"/>
          <w:szCs w:val="20"/>
        </w:rPr>
        <w:t xml:space="preserve">○ Stretch </w:t>
      </w:r>
      <w:proofErr w:type="gramStart"/>
      <w:r>
        <w:rPr>
          <w:b/>
          <w:bCs/>
          <w:color w:val="8B6914"/>
          <w:sz w:val="20"/>
          <w:szCs w:val="20"/>
        </w:rPr>
        <w:t>Story</w:t>
      </w:r>
      <w:r>
        <w:rPr>
          <w:color w:val="595959"/>
          <w:sz w:val="20"/>
          <w:szCs w:val="20"/>
        </w:rPr>
        <w:t xml:space="preserve">  —</w:t>
      </w:r>
      <w:proofErr w:type="gramEnd"/>
      <w:r>
        <w:rPr>
          <w:color w:val="595959"/>
          <w:sz w:val="20"/>
          <w:szCs w:val="20"/>
        </w:rPr>
        <w:t xml:space="preserve">  No CDC tools deployed</w:t>
      </w:r>
    </w:p>
    <w:p w14:paraId="10B3B5DA" w14:textId="77777777" w:rsidR="002C0053" w:rsidRDefault="00000000">
      <w:pPr>
        <w:shd w:val="clear" w:color="auto" w:fill="F2F2F2"/>
        <w:spacing w:before="80" w:after="160"/>
        <w:ind w:left="360" w:right="360"/>
      </w:pPr>
      <w:r>
        <w:rPr>
          <w:i/>
          <w:iCs/>
          <w:color w:val="333333"/>
        </w:rPr>
        <w:t xml:space="preserve">As a Stream Processing Data Engineer building real-time logistics pipelines, I want on-premises PostgreSQL databases at regional shipping hubs to continuously emit change events in </w:t>
      </w:r>
      <w:proofErr w:type="spellStart"/>
      <w:r>
        <w:rPr>
          <w:i/>
          <w:iCs/>
          <w:color w:val="333333"/>
        </w:rPr>
        <w:t>OpenCDC</w:t>
      </w:r>
      <w:proofErr w:type="spellEnd"/>
      <w:r>
        <w:rPr>
          <w:i/>
          <w:iCs/>
          <w:color w:val="333333"/>
        </w:rPr>
        <w:t xml:space="preserve"> format over Arrow Flight, so that my </w:t>
      </w:r>
      <w:proofErr w:type="spellStart"/>
      <w:r>
        <w:rPr>
          <w:i/>
          <w:iCs/>
          <w:color w:val="333333"/>
        </w:rPr>
        <w:t>Flink</w:t>
      </w:r>
      <w:proofErr w:type="spellEnd"/>
      <w:r>
        <w:rPr>
          <w:i/>
          <w:iCs/>
          <w:color w:val="333333"/>
        </w:rPr>
        <w:t xml:space="preserve"> pipelines can react to inventory and shipment changes as they happen — without polling, without deploying a full CDC tool stack, and without adding operational complexity to hub systems my team does not own.</w:t>
      </w:r>
    </w:p>
    <w:p w14:paraId="59542C42" w14:textId="77777777" w:rsidR="002C0053" w:rsidRDefault="000D1C11" w:rsidP="000D1C11">
      <w:pPr>
        <w:spacing w:before="80" w:after="80"/>
        <w:ind w:left="360"/>
      </w:pPr>
      <w:r>
        <w:rPr>
          <w:noProof/>
        </w:rPr>
        <w:drawing>
          <wp:inline distT="0" distB="0" distL="0" distR="0" wp14:anchorId="49A4052F" wp14:editId="3467B6D0">
            <wp:extent cx="5505450" cy="25241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05450" cy="2524125"/>
                    </a:xfrm>
                    <a:prstGeom prst="rect">
                      <a:avLst/>
                    </a:prstGeom>
                    <a:noFill/>
                  </pic:spPr>
                </pic:pic>
              </a:graphicData>
            </a:graphic>
          </wp:inline>
        </w:drawing>
      </w:r>
    </w:p>
    <w:p w14:paraId="0D32C56F" w14:textId="77777777" w:rsidR="002C0053" w:rsidRDefault="00000000">
      <w:pPr>
        <w:pStyle w:val="Heading2"/>
      </w:pPr>
      <w:r>
        <w:t>Background</w:t>
      </w:r>
    </w:p>
    <w:p w14:paraId="6FCCE48D" w14:textId="77777777" w:rsidR="002C0053" w:rsidRDefault="00000000">
      <w:pPr>
        <w:spacing w:after="160"/>
      </w:pPr>
      <w:r>
        <w:t>My company operates just-in-time assembly lines that depend on a nationwide logistics network. Shipment delays — weather, supply disruptions, trucking pauses, warehouse backlogs — have direct downstream consequences for production schedules.</w:t>
      </w:r>
    </w:p>
    <w:p w14:paraId="2268DC07" w14:textId="77777777" w:rsidR="002C0053" w:rsidRDefault="002C0053">
      <w:pPr>
        <w:spacing w:before="60" w:after="60"/>
      </w:pPr>
    </w:p>
    <w:p w14:paraId="2BCDB41D" w14:textId="77777777" w:rsidR="002C0053" w:rsidRDefault="00000000">
      <w:pPr>
        <w:spacing w:after="160"/>
      </w:pPr>
      <w:r>
        <w:t xml:space="preserve">My team owns the stream processing layer. We run </w:t>
      </w:r>
      <w:proofErr w:type="spellStart"/>
      <w:r>
        <w:t>Flink</w:t>
      </w:r>
      <w:proofErr w:type="spellEnd"/>
      <w:r>
        <w:t xml:space="preserve"> pipelines that aggregate, correlate, and route logistics events from dozens of sources. Management has asked us to integrate live inventory change feeds from 10 regional shipping hub databases. As shipments pass through each hub, the hub’s PostgreSQL inventory system records arrival, departure, status updates, and exceptions — most critically in the bill of lading table, which is the canonical record of what is on each truck or container and where it is going.</w:t>
      </w:r>
    </w:p>
    <w:p w14:paraId="0D837F86" w14:textId="77777777" w:rsidR="002C0053" w:rsidRDefault="002C0053">
      <w:pPr>
        <w:spacing w:before="80" w:after="80"/>
      </w:pPr>
    </w:p>
    <w:p w14:paraId="08BFF9FF" w14:textId="77777777" w:rsidR="002C0053" w:rsidRDefault="00000000">
      <w:pPr>
        <w:pStyle w:val="Heading2"/>
      </w:pPr>
      <w:r>
        <w:t>Why Not the Obvious Approaches?</w:t>
      </w:r>
    </w:p>
    <w:p w14:paraId="47E65599" w14:textId="77777777" w:rsidR="002C0053" w:rsidRDefault="00000000">
      <w:pPr>
        <w:pStyle w:val="ListParagraph"/>
        <w:numPr>
          <w:ilvl w:val="0"/>
          <w:numId w:val="2"/>
        </w:numPr>
        <w:spacing w:before="40" w:after="40"/>
      </w:pPr>
      <w:r>
        <w:rPr>
          <w:b/>
          <w:bCs/>
        </w:rPr>
        <w:t xml:space="preserve">Polling SQL queries. </w:t>
      </w:r>
      <w:r>
        <w:t>A query every 5 minutes is not a live feed — it is a delayed snapshot. In just-in-time logistics, a 5-minute lag on a shipment exception is too slow, and polling puts load on databases my team does not control.</w:t>
      </w:r>
    </w:p>
    <w:p w14:paraId="6A6E9DA1" w14:textId="77777777" w:rsidR="002C0053" w:rsidRDefault="00000000">
      <w:pPr>
        <w:pStyle w:val="ListParagraph"/>
        <w:numPr>
          <w:ilvl w:val="0"/>
          <w:numId w:val="2"/>
        </w:numPr>
        <w:spacing w:before="40" w:after="40"/>
      </w:pPr>
      <w:r>
        <w:rPr>
          <w:b/>
          <w:bCs/>
        </w:rPr>
        <w:t xml:space="preserve">Full CDC tool deployment. </w:t>
      </w:r>
      <w:proofErr w:type="spellStart"/>
      <w:r>
        <w:t>Debezium</w:t>
      </w:r>
      <w:proofErr w:type="spellEnd"/>
      <w:r>
        <w:t xml:space="preserve">, GoldenGate, and similar tools provide exactly-once guarantees, schema history, and durable replay — all genuinely valuable. But they also require agent installation on systems owned by regional IT teams, broker infrastructure to manage, security reviews per site, and ongoing operational ownership </w:t>
      </w:r>
      <w:r>
        <w:lastRenderedPageBreak/>
        <w:t xml:space="preserve">across 10 geographically distributed locations. For the data quality guarantees we </w:t>
      </w:r>
      <w:proofErr w:type="gramStart"/>
      <w:r>
        <w:t>actually need</w:t>
      </w:r>
      <w:proofErr w:type="gramEnd"/>
      <w:r>
        <w:t>, this is more infrastructure than the use case warrants.</w:t>
      </w:r>
    </w:p>
    <w:p w14:paraId="30A21B88" w14:textId="77777777" w:rsidR="002C0053" w:rsidRDefault="002C0053">
      <w:pPr>
        <w:spacing w:before="80" w:after="80"/>
      </w:pPr>
    </w:p>
    <w:p w14:paraId="5606F56A" w14:textId="77777777" w:rsidR="002C0053" w:rsidRDefault="00000000">
      <w:pPr>
        <w:pStyle w:val="Heading2"/>
      </w:pPr>
      <w:r>
        <w:t xml:space="preserve">The </w:t>
      </w:r>
      <w:proofErr w:type="spellStart"/>
      <w:r>
        <w:t>OpenCDC</w:t>
      </w:r>
      <w:proofErr w:type="spellEnd"/>
      <w:r>
        <w:t xml:space="preserve"> Arrow Flight Approach</w:t>
      </w:r>
    </w:p>
    <w:p w14:paraId="6401C882" w14:textId="77777777" w:rsidR="002C0053" w:rsidRDefault="00000000">
      <w:pPr>
        <w:spacing w:after="160"/>
      </w:pPr>
      <w:r>
        <w:t xml:space="preserve">A PostgreSQL extension enables the database to emit a continuous stream of </w:t>
      </w:r>
      <w:proofErr w:type="spellStart"/>
      <w:r>
        <w:t>OpenCDC</w:t>
      </w:r>
      <w:proofErr w:type="spellEnd"/>
      <w:r>
        <w:t>-formatted change events directly over Arrow Flight (</w:t>
      </w:r>
      <w:proofErr w:type="spellStart"/>
      <w:r>
        <w:t>gRPC</w:t>
      </w:r>
      <w:proofErr w:type="spellEnd"/>
      <w:r>
        <w:t>/TLS) — no additional middleware, no broker, no agent beyond enabling the extension.</w:t>
      </w:r>
    </w:p>
    <w:p w14:paraId="33761DBC" w14:textId="77777777" w:rsidR="002C0053" w:rsidRDefault="002C005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C0053" w14:paraId="23CAD07D" w14:textId="77777777">
        <w:tc>
          <w:tcPr>
            <w:tcW w:w="9360" w:type="dxa"/>
            <w:tcBorders>
              <w:top w:val="single" w:sz="2" w:space="0" w:color="888888"/>
              <w:left w:val="thick" w:sz="8" w:space="0" w:color="595959"/>
              <w:bottom w:val="single" w:sz="2" w:space="0" w:color="888888"/>
              <w:right w:val="single" w:sz="2" w:space="0" w:color="888888"/>
            </w:tcBorders>
            <w:shd w:val="clear" w:color="auto" w:fill="F5F5F5"/>
            <w:tcMar>
              <w:top w:w="100" w:type="dxa"/>
              <w:left w:w="160" w:type="dxa"/>
              <w:bottom w:w="100" w:type="dxa"/>
              <w:right w:w="160" w:type="dxa"/>
            </w:tcMar>
          </w:tcPr>
          <w:p w14:paraId="555F8E76" w14:textId="77777777" w:rsidR="002C0053" w:rsidRDefault="00000000">
            <w:pPr>
              <w:spacing w:before="20" w:after="20"/>
            </w:pPr>
            <w:r>
              <w:rPr>
                <w:rFonts w:ascii="Courier New" w:eastAsia="Courier New" w:hAnsi="Courier New" w:cs="Courier New"/>
                <w:color w:val="222222"/>
                <w:sz w:val="18"/>
                <w:szCs w:val="18"/>
              </w:rPr>
              <w:t>Regional Hub Postgres</w:t>
            </w:r>
          </w:p>
          <w:p w14:paraId="4DE9248D" w14:textId="77777777" w:rsidR="002C0053" w:rsidRDefault="00000000">
            <w:pPr>
              <w:spacing w:before="20" w:after="20"/>
            </w:pPr>
            <w:r>
              <w:rPr>
                <w:rFonts w:ascii="Courier New" w:eastAsia="Courier New" w:hAnsi="Courier New" w:cs="Courier New"/>
                <w:color w:val="222222"/>
                <w:sz w:val="18"/>
                <w:szCs w:val="18"/>
              </w:rPr>
              <w:t>(</w:t>
            </w:r>
            <w:proofErr w:type="spellStart"/>
            <w:r>
              <w:rPr>
                <w:rFonts w:ascii="Courier New" w:eastAsia="Courier New" w:hAnsi="Courier New" w:cs="Courier New"/>
                <w:color w:val="222222"/>
                <w:sz w:val="18"/>
                <w:szCs w:val="18"/>
              </w:rPr>
              <w:t>OpenCDC</w:t>
            </w:r>
            <w:proofErr w:type="spellEnd"/>
            <w:r>
              <w:rPr>
                <w:rFonts w:ascii="Courier New" w:eastAsia="Courier New" w:hAnsi="Courier New" w:cs="Courier New"/>
                <w:color w:val="222222"/>
                <w:sz w:val="18"/>
                <w:szCs w:val="18"/>
              </w:rPr>
              <w:t xml:space="preserve"> Arrow Flight extension)</w:t>
            </w:r>
          </w:p>
          <w:p w14:paraId="042C0D58" w14:textId="77777777" w:rsidR="002C0053" w:rsidRDefault="00000000">
            <w:pPr>
              <w:spacing w:before="20" w:after="20"/>
            </w:pPr>
            <w:r>
              <w:rPr>
                <w:rFonts w:ascii="Courier New" w:eastAsia="Courier New" w:hAnsi="Courier New" w:cs="Courier New"/>
                <w:color w:val="222222"/>
                <w:sz w:val="18"/>
                <w:szCs w:val="18"/>
              </w:rPr>
              <w:t xml:space="preserve">          │</w:t>
            </w:r>
          </w:p>
          <w:p w14:paraId="29088D76" w14:textId="77777777" w:rsidR="002C0053" w:rsidRDefault="00000000">
            <w:pPr>
              <w:spacing w:before="20" w:after="20"/>
            </w:pPr>
            <w:r>
              <w:rPr>
                <w:rFonts w:ascii="Courier New" w:eastAsia="Courier New" w:hAnsi="Courier New" w:cs="Courier New"/>
                <w:color w:val="222222"/>
                <w:sz w:val="18"/>
                <w:szCs w:val="18"/>
              </w:rPr>
              <w:t xml:space="preserve">     </w:t>
            </w:r>
            <w:proofErr w:type="spellStart"/>
            <w:r>
              <w:rPr>
                <w:rFonts w:ascii="Courier New" w:eastAsia="Courier New" w:hAnsi="Courier New" w:cs="Courier New"/>
                <w:color w:val="222222"/>
                <w:sz w:val="18"/>
                <w:szCs w:val="18"/>
              </w:rPr>
              <w:t>gRPC</w:t>
            </w:r>
            <w:proofErr w:type="spellEnd"/>
            <w:r>
              <w:rPr>
                <w:rFonts w:ascii="Courier New" w:eastAsia="Courier New" w:hAnsi="Courier New" w:cs="Courier New"/>
                <w:color w:val="222222"/>
                <w:sz w:val="18"/>
                <w:szCs w:val="18"/>
              </w:rPr>
              <w:t xml:space="preserve"> / TLS</w:t>
            </w:r>
          </w:p>
          <w:p w14:paraId="4827ACF3" w14:textId="77777777" w:rsidR="002C0053" w:rsidRDefault="00000000">
            <w:pPr>
              <w:spacing w:before="20" w:after="20"/>
            </w:pPr>
            <w:r>
              <w:rPr>
                <w:rFonts w:ascii="Courier New" w:eastAsia="Courier New" w:hAnsi="Courier New" w:cs="Courier New"/>
                <w:color w:val="222222"/>
                <w:sz w:val="18"/>
                <w:szCs w:val="18"/>
              </w:rPr>
              <w:t xml:space="preserve">          │</w:t>
            </w:r>
          </w:p>
          <w:p w14:paraId="3522D240" w14:textId="77777777" w:rsidR="002C0053" w:rsidRDefault="00000000">
            <w:pPr>
              <w:spacing w:before="20" w:after="20"/>
            </w:pPr>
            <w:r>
              <w:rPr>
                <w:rFonts w:ascii="Courier New" w:eastAsia="Courier New" w:hAnsi="Courier New" w:cs="Courier New"/>
                <w:color w:val="222222"/>
                <w:sz w:val="18"/>
                <w:szCs w:val="18"/>
              </w:rPr>
              <w:t xml:space="preserve">    </w:t>
            </w:r>
            <w:proofErr w:type="spellStart"/>
            <w:r>
              <w:rPr>
                <w:rFonts w:ascii="Courier New" w:eastAsia="Courier New" w:hAnsi="Courier New" w:cs="Courier New"/>
                <w:color w:val="222222"/>
                <w:sz w:val="18"/>
                <w:szCs w:val="18"/>
              </w:rPr>
              <w:t>Flink</w:t>
            </w:r>
            <w:proofErr w:type="spellEnd"/>
            <w:r>
              <w:rPr>
                <w:rFonts w:ascii="Courier New" w:eastAsia="Courier New" w:hAnsi="Courier New" w:cs="Courier New"/>
                <w:color w:val="222222"/>
                <w:sz w:val="18"/>
                <w:szCs w:val="18"/>
              </w:rPr>
              <w:t xml:space="preserve"> Source (Arrow Flight consumer)</w:t>
            </w:r>
          </w:p>
          <w:p w14:paraId="13E8B147" w14:textId="77777777" w:rsidR="002C0053" w:rsidRDefault="00000000">
            <w:pPr>
              <w:spacing w:before="20" w:after="20"/>
            </w:pPr>
            <w:r>
              <w:rPr>
                <w:rFonts w:ascii="Courier New" w:eastAsia="Courier New" w:hAnsi="Courier New" w:cs="Courier New"/>
                <w:color w:val="222222"/>
                <w:sz w:val="18"/>
                <w:szCs w:val="18"/>
              </w:rPr>
              <w:t xml:space="preserve">          │</w:t>
            </w:r>
          </w:p>
          <w:p w14:paraId="60E5A3F8" w14:textId="77777777" w:rsidR="002C0053" w:rsidRDefault="00000000">
            <w:pPr>
              <w:spacing w:before="20" w:after="20"/>
            </w:pPr>
            <w:r>
              <w:rPr>
                <w:rFonts w:ascii="Courier New" w:eastAsia="Courier New" w:hAnsi="Courier New" w:cs="Courier New"/>
                <w:color w:val="222222"/>
                <w:sz w:val="18"/>
                <w:szCs w:val="18"/>
              </w:rPr>
              <w:t xml:space="preserve">   </w:t>
            </w:r>
            <w:proofErr w:type="spellStart"/>
            <w:r>
              <w:rPr>
                <w:rFonts w:ascii="Courier New" w:eastAsia="Courier New" w:hAnsi="Courier New" w:cs="Courier New"/>
                <w:color w:val="222222"/>
                <w:sz w:val="18"/>
                <w:szCs w:val="18"/>
              </w:rPr>
              <w:t>Flink</w:t>
            </w:r>
            <w:proofErr w:type="spellEnd"/>
            <w:r>
              <w:rPr>
                <w:rFonts w:ascii="Courier New" w:eastAsia="Courier New" w:hAnsi="Courier New" w:cs="Courier New"/>
                <w:color w:val="222222"/>
                <w:sz w:val="18"/>
                <w:szCs w:val="18"/>
              </w:rPr>
              <w:t xml:space="preserve"> Pipeline</w:t>
            </w:r>
          </w:p>
          <w:p w14:paraId="64D03D41" w14:textId="77777777" w:rsidR="002C0053" w:rsidRDefault="00000000">
            <w:pPr>
              <w:spacing w:before="20" w:after="20"/>
            </w:pPr>
            <w:r>
              <w:rPr>
                <w:rFonts w:ascii="Courier New" w:eastAsia="Courier New" w:hAnsi="Courier New" w:cs="Courier New"/>
                <w:color w:val="222222"/>
                <w:sz w:val="18"/>
                <w:szCs w:val="18"/>
              </w:rPr>
              <w:t xml:space="preserve"> (</w:t>
            </w:r>
            <w:proofErr w:type="gramStart"/>
            <w:r>
              <w:rPr>
                <w:rFonts w:ascii="Courier New" w:eastAsia="Courier New" w:hAnsi="Courier New" w:cs="Courier New"/>
                <w:color w:val="222222"/>
                <w:sz w:val="18"/>
                <w:szCs w:val="18"/>
              </w:rPr>
              <w:t>aggregation</w:t>
            </w:r>
            <w:proofErr w:type="gramEnd"/>
            <w:r>
              <w:rPr>
                <w:rFonts w:ascii="Courier New" w:eastAsia="Courier New" w:hAnsi="Courier New" w:cs="Courier New"/>
                <w:color w:val="222222"/>
                <w:sz w:val="18"/>
                <w:szCs w:val="18"/>
              </w:rPr>
              <w:t>, alerting, routing)</w:t>
            </w:r>
          </w:p>
        </w:tc>
      </w:tr>
    </w:tbl>
    <w:p w14:paraId="36AD1823" w14:textId="77777777" w:rsidR="002C0053" w:rsidRDefault="002C0053">
      <w:pPr>
        <w:spacing w:before="60" w:after="60"/>
      </w:pPr>
    </w:p>
    <w:p w14:paraId="2983D08E" w14:textId="77777777" w:rsidR="002C0053" w:rsidRDefault="00000000">
      <w:pPr>
        <w:spacing w:after="160"/>
      </w:pPr>
      <w:r>
        <w:t xml:space="preserve">Each hub database streams change events for subscribed tables continuously. </w:t>
      </w:r>
      <w:proofErr w:type="spellStart"/>
      <w:r>
        <w:t>Flink</w:t>
      </w:r>
      <w:proofErr w:type="spellEnd"/>
      <w:r>
        <w:t xml:space="preserve"> connects as a </w:t>
      </w:r>
      <w:proofErr w:type="spellStart"/>
      <w:r>
        <w:t>gRPC</w:t>
      </w:r>
      <w:proofErr w:type="spellEnd"/>
      <w:r>
        <w:t xml:space="preserve"> client, receives Arrow record batches containing </w:t>
      </w:r>
      <w:proofErr w:type="spellStart"/>
      <w:r>
        <w:t>OpenCDC</w:t>
      </w:r>
      <w:proofErr w:type="spellEnd"/>
      <w:r>
        <w:t xml:space="preserve"> envelopes, and processes them in the pipeline. Each event carries the full before/after image of the changed row, the operation type, a timestamp, and source metadata identifying the hub and table.</w:t>
      </w:r>
    </w:p>
    <w:p w14:paraId="40E4A942" w14:textId="77777777" w:rsidR="002C0053" w:rsidRDefault="002C0053">
      <w:pPr>
        <w:spacing w:before="80" w:after="80"/>
      </w:pPr>
    </w:p>
    <w:p w14:paraId="1F3E225E" w14:textId="77777777" w:rsidR="002C0053" w:rsidRDefault="00000000">
      <w:pPr>
        <w:pStyle w:val="Heading2"/>
      </w:pPr>
      <w:r>
        <w:t>Why This Fits</w:t>
      </w:r>
    </w:p>
    <w:p w14:paraId="2DB93E60" w14:textId="77777777" w:rsidR="002C0053" w:rsidRDefault="00000000">
      <w:pPr>
        <w:spacing w:after="160"/>
      </w:pPr>
      <w:r>
        <w:t>This is a genuinely “live on the wire” scenario. The business question is not “give me a consistent historical view of all shipments” — it is “tell me right now if something at a hub is changing in a way I need to react to.” That distinction matters:</w:t>
      </w:r>
    </w:p>
    <w:p w14:paraId="369AB4A1" w14:textId="77777777" w:rsidR="002C0053" w:rsidRDefault="00000000">
      <w:pPr>
        <w:pStyle w:val="ListParagraph"/>
        <w:numPr>
          <w:ilvl w:val="0"/>
          <w:numId w:val="2"/>
        </w:numPr>
        <w:spacing w:before="40" w:after="40"/>
      </w:pPr>
      <w:r>
        <w:t xml:space="preserve">We are reacting to events, not reconciling </w:t>
      </w:r>
      <w:proofErr w:type="gramStart"/>
      <w:r>
        <w:t>datasets</w:t>
      </w:r>
      <w:proofErr w:type="gramEnd"/>
    </w:p>
    <w:p w14:paraId="68105077" w14:textId="77777777" w:rsidR="002C0053" w:rsidRDefault="00000000">
      <w:pPr>
        <w:pStyle w:val="ListParagraph"/>
        <w:numPr>
          <w:ilvl w:val="0"/>
          <w:numId w:val="2"/>
        </w:numPr>
        <w:spacing w:before="40" w:after="40"/>
      </w:pPr>
      <w:r>
        <w:t xml:space="preserve">Brief stream gaps during outages are acceptable — we had a gap in real-time awareness, not a data integrity </w:t>
      </w:r>
      <w:proofErr w:type="gramStart"/>
      <w:r>
        <w:t>failure</w:t>
      </w:r>
      <w:proofErr w:type="gramEnd"/>
    </w:p>
    <w:p w14:paraId="54EBC61D" w14:textId="77777777" w:rsidR="002C0053" w:rsidRDefault="00000000">
      <w:pPr>
        <w:pStyle w:val="ListParagraph"/>
        <w:numPr>
          <w:ilvl w:val="0"/>
          <w:numId w:val="2"/>
        </w:numPr>
        <w:spacing w:before="40" w:after="40"/>
      </w:pPr>
      <w:r>
        <w:t xml:space="preserve">At-least-once delivery with idempotent downstream handling is sufficient; exactly-once is not </w:t>
      </w:r>
      <w:proofErr w:type="gramStart"/>
      <w:r>
        <w:t>required</w:t>
      </w:r>
      <w:proofErr w:type="gramEnd"/>
    </w:p>
    <w:p w14:paraId="741C1B0D" w14:textId="77777777" w:rsidR="002C0053" w:rsidRDefault="00000000">
      <w:pPr>
        <w:pStyle w:val="ListParagraph"/>
        <w:numPr>
          <w:ilvl w:val="0"/>
          <w:numId w:val="2"/>
        </w:numPr>
        <w:spacing w:before="40" w:after="40"/>
      </w:pPr>
      <w:r>
        <w:t xml:space="preserve">We do not need durable replay — on reconnect, we pick up from the current stream </w:t>
      </w:r>
      <w:proofErr w:type="gramStart"/>
      <w:r>
        <w:t>position</w:t>
      </w:r>
      <w:proofErr w:type="gramEnd"/>
    </w:p>
    <w:p w14:paraId="7546BDBA" w14:textId="77777777" w:rsidR="002C0053" w:rsidRDefault="002C0053">
      <w:pPr>
        <w:spacing w:before="60" w:after="60"/>
      </w:pPr>
    </w:p>
    <w:p w14:paraId="297B30AF" w14:textId="680F5440" w:rsidR="002C0053" w:rsidRDefault="00000000" w:rsidP="00C50D1E">
      <w:pPr>
        <w:spacing w:after="160"/>
      </w:pPr>
      <w:proofErr w:type="spellStart"/>
      <w:r>
        <w:t>OpenCDC</w:t>
      </w:r>
      <w:proofErr w:type="spellEnd"/>
      <w:r>
        <w:t xml:space="preserve"> provides the normalization layer across all 10 hubs: every hub emits the same event envelope regardless of local schema variations, Postgres version differences, or regional IT customizations. The </w:t>
      </w:r>
      <w:proofErr w:type="spellStart"/>
      <w:r>
        <w:t>Flink</w:t>
      </w:r>
      <w:proofErr w:type="spellEnd"/>
      <w:r>
        <w:t xml:space="preserve"> source connector sees a uniform stream — one pipeline handles all 10 sources. Arrow Flight fits naturally into our existing </w:t>
      </w:r>
      <w:proofErr w:type="spellStart"/>
      <w:r>
        <w:t>gRPC</w:t>
      </w:r>
      <w:proofErr w:type="spellEnd"/>
      <w:r>
        <w:t xml:space="preserve"> infrastructure, is secured with TLS, and requires no broker at hub sites.</w:t>
      </w:r>
    </w:p>
    <w:p w14:paraId="760779F8" w14:textId="77777777" w:rsidR="002C0053" w:rsidRDefault="00000000">
      <w:r>
        <w:br w:type="page"/>
      </w:r>
    </w:p>
    <w:p w14:paraId="17DF1B7A" w14:textId="37588B1D" w:rsidR="002C0053" w:rsidRDefault="00512DB6">
      <w:pPr>
        <w:pStyle w:val="Heading1"/>
        <w:pBdr>
          <w:bottom w:val="single" w:sz="4" w:space="4" w:color="2E75B6"/>
        </w:pBdr>
      </w:pPr>
      <w:bookmarkStart w:id="3" w:name="_Toc228712295"/>
      <w:r>
        <w:lastRenderedPageBreak/>
        <w:t>6. Database-to-Database Sync Without CDC Tools</w:t>
      </w:r>
      <w:bookmarkEnd w:id="3"/>
    </w:p>
    <w:p w14:paraId="652DDEE0" w14:textId="77777777" w:rsidR="002C0053" w:rsidRDefault="00000000">
      <w:pPr>
        <w:spacing w:after="160"/>
      </w:pPr>
      <w:r>
        <w:rPr>
          <w:b/>
          <w:bCs/>
          <w:color w:val="8B6914"/>
          <w:sz w:val="20"/>
          <w:szCs w:val="20"/>
        </w:rPr>
        <w:t xml:space="preserve">○ Stretch </w:t>
      </w:r>
      <w:proofErr w:type="gramStart"/>
      <w:r>
        <w:rPr>
          <w:b/>
          <w:bCs/>
          <w:color w:val="8B6914"/>
          <w:sz w:val="20"/>
          <w:szCs w:val="20"/>
        </w:rPr>
        <w:t>Story</w:t>
      </w:r>
      <w:r>
        <w:rPr>
          <w:color w:val="595959"/>
          <w:sz w:val="20"/>
          <w:szCs w:val="20"/>
        </w:rPr>
        <w:t xml:space="preserve">  —</w:t>
      </w:r>
      <w:proofErr w:type="gramEnd"/>
      <w:r>
        <w:rPr>
          <w:color w:val="595959"/>
          <w:sz w:val="20"/>
          <w:szCs w:val="20"/>
        </w:rPr>
        <w:t xml:space="preserve">  No CDC tools, no Kafka</w:t>
      </w:r>
    </w:p>
    <w:p w14:paraId="2BCC2320" w14:textId="77777777" w:rsidR="002C0053" w:rsidRDefault="00000000">
      <w:pPr>
        <w:shd w:val="clear" w:color="auto" w:fill="F2F2F2"/>
        <w:spacing w:before="80" w:after="160"/>
        <w:ind w:left="360" w:right="360"/>
      </w:pPr>
      <w:r>
        <w:rPr>
          <w:i/>
          <w:iCs/>
          <w:color w:val="333333"/>
        </w:rPr>
        <w:t xml:space="preserve">As a DBA keeping a few tables in sync between AWS Aurora PostgreSQL and an on-premises SQL Server database, I want the simplest possible setup — ideally without installing or managing separate tools. I want both databases to directly emit and consume </w:t>
      </w:r>
      <w:proofErr w:type="spellStart"/>
      <w:r>
        <w:rPr>
          <w:i/>
          <w:iCs/>
          <w:color w:val="333333"/>
        </w:rPr>
        <w:t>OpenCDC</w:t>
      </w:r>
      <w:proofErr w:type="spellEnd"/>
      <w:r>
        <w:rPr>
          <w:i/>
          <w:iCs/>
          <w:color w:val="333333"/>
        </w:rPr>
        <w:t xml:space="preserve"> change events over a managed messaging service, so that I can maintain near-real-time data consistency without deploying or operating dedicated CDC or streaming infrastructure.</w:t>
      </w:r>
    </w:p>
    <w:p w14:paraId="516C3DBE" w14:textId="77777777" w:rsidR="002C0053" w:rsidRDefault="000D1C11" w:rsidP="000D1C11">
      <w:pPr>
        <w:spacing w:before="80" w:after="80"/>
        <w:ind w:left="360"/>
      </w:pPr>
      <w:r>
        <w:rPr>
          <w:noProof/>
        </w:rPr>
        <w:drawing>
          <wp:inline distT="0" distB="0" distL="0" distR="0" wp14:anchorId="09DD2222" wp14:editId="03731A4B">
            <wp:extent cx="5492750" cy="16154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92750" cy="1615440"/>
                    </a:xfrm>
                    <a:prstGeom prst="rect">
                      <a:avLst/>
                    </a:prstGeom>
                    <a:noFill/>
                  </pic:spPr>
                </pic:pic>
              </a:graphicData>
            </a:graphic>
          </wp:inline>
        </w:drawing>
      </w:r>
    </w:p>
    <w:p w14:paraId="408987ED" w14:textId="77777777" w:rsidR="002C0053" w:rsidRDefault="00000000">
      <w:pPr>
        <w:pStyle w:val="Heading2"/>
      </w:pPr>
      <w:r>
        <w:t>Background</w:t>
      </w:r>
    </w:p>
    <w:p w14:paraId="77306A22" w14:textId="77777777" w:rsidR="002C0053" w:rsidRDefault="00000000">
      <w:pPr>
        <w:spacing w:after="160"/>
      </w:pPr>
      <w:r>
        <w:t>A hybrid enterprise application spans cloud and on-premises environments:</w:t>
      </w:r>
    </w:p>
    <w:p w14:paraId="17648ECB" w14:textId="77777777" w:rsidR="002C0053" w:rsidRDefault="00000000">
      <w:pPr>
        <w:pStyle w:val="ListParagraph"/>
        <w:numPr>
          <w:ilvl w:val="0"/>
          <w:numId w:val="2"/>
        </w:numPr>
        <w:spacing w:before="40" w:after="40"/>
      </w:pPr>
      <w:r>
        <w:t>Primary transactional system: AWS Aurora PostgreSQL (cloud)</w:t>
      </w:r>
    </w:p>
    <w:p w14:paraId="07C6BFB7" w14:textId="77777777" w:rsidR="002C0053" w:rsidRDefault="00000000">
      <w:pPr>
        <w:pStyle w:val="ListParagraph"/>
        <w:numPr>
          <w:ilvl w:val="0"/>
          <w:numId w:val="2"/>
        </w:numPr>
        <w:spacing w:before="40" w:after="40"/>
      </w:pPr>
      <w:r>
        <w:t>Downstream operational system: Microsoft SQL Server (on-premises)</w:t>
      </w:r>
    </w:p>
    <w:p w14:paraId="6EB58B45" w14:textId="77777777" w:rsidR="002C0053" w:rsidRDefault="002C0053">
      <w:pPr>
        <w:spacing w:before="60" w:after="60"/>
      </w:pPr>
    </w:p>
    <w:p w14:paraId="45ACD452" w14:textId="77777777" w:rsidR="002C0053" w:rsidRDefault="00000000">
      <w:pPr>
        <w:spacing w:after="160"/>
      </w:pPr>
      <w:r>
        <w:t>Only a subset of tables — primarily customer reference data and order status — need to stay in sync. Near-real-time is required; delays of a few seconds are acceptable.</w:t>
      </w:r>
    </w:p>
    <w:p w14:paraId="125A2A2E" w14:textId="77777777" w:rsidR="002C0053" w:rsidRDefault="002C0053">
      <w:pPr>
        <w:spacing w:before="60" w:after="60"/>
      </w:pPr>
    </w:p>
    <w:p w14:paraId="2810D8C4" w14:textId="77777777" w:rsidR="002C0053" w:rsidRDefault="00000000">
      <w:pPr>
        <w:spacing w:after="160"/>
      </w:pPr>
      <w:r>
        <w:t>The DBA team faces several constraints:</w:t>
      </w:r>
    </w:p>
    <w:p w14:paraId="29589791" w14:textId="77777777" w:rsidR="002C0053" w:rsidRDefault="00000000">
      <w:pPr>
        <w:pStyle w:val="ListParagraph"/>
        <w:numPr>
          <w:ilvl w:val="0"/>
          <w:numId w:val="2"/>
        </w:numPr>
        <w:spacing w:before="40" w:after="40"/>
      </w:pPr>
      <w:r>
        <w:t>Full CDC tools (</w:t>
      </w:r>
      <w:proofErr w:type="spellStart"/>
      <w:r>
        <w:t>Debezium</w:t>
      </w:r>
      <w:proofErr w:type="spellEnd"/>
      <w:r>
        <w:t xml:space="preserve">, GoldenGate) introduce infrastructure, operational overhead, and security review processes the team cannot </w:t>
      </w:r>
      <w:proofErr w:type="gramStart"/>
      <w:r>
        <w:t>absorb</w:t>
      </w:r>
      <w:proofErr w:type="gramEnd"/>
    </w:p>
    <w:p w14:paraId="46BB70A3" w14:textId="77777777" w:rsidR="002C0053" w:rsidRDefault="00000000">
      <w:pPr>
        <w:pStyle w:val="ListParagraph"/>
        <w:numPr>
          <w:ilvl w:val="0"/>
          <w:numId w:val="2"/>
        </w:numPr>
        <w:spacing w:before="40" w:after="40"/>
      </w:pPr>
      <w:r>
        <w:t xml:space="preserve">Kafka or similar platforms are considered too heavyweight for this limited </w:t>
      </w:r>
      <w:proofErr w:type="gramStart"/>
      <w:r>
        <w:t>scope</w:t>
      </w:r>
      <w:proofErr w:type="gramEnd"/>
    </w:p>
    <w:p w14:paraId="1FDD0AB0" w14:textId="77777777" w:rsidR="002C0053" w:rsidRDefault="00000000">
      <w:pPr>
        <w:pStyle w:val="ListParagraph"/>
        <w:numPr>
          <w:ilvl w:val="0"/>
          <w:numId w:val="2"/>
        </w:numPr>
        <w:spacing w:before="40" w:after="40"/>
      </w:pPr>
      <w:r>
        <w:t xml:space="preserve">Native database replication is not viable due to cross-vendor incompatibilities and network </w:t>
      </w:r>
      <w:proofErr w:type="gramStart"/>
      <w:r>
        <w:t>constraints</w:t>
      </w:r>
      <w:proofErr w:type="gramEnd"/>
    </w:p>
    <w:p w14:paraId="7DEFC3DF" w14:textId="77777777" w:rsidR="002C0053" w:rsidRDefault="00000000">
      <w:pPr>
        <w:pStyle w:val="ListParagraph"/>
        <w:numPr>
          <w:ilvl w:val="0"/>
          <w:numId w:val="2"/>
        </w:numPr>
        <w:spacing w:before="40" w:after="40"/>
      </w:pPr>
      <w:r>
        <w:t xml:space="preserve">The team is willing to use a managed messaging service (AWS SQS/SNS, Azure Service Bus, or an MQ-compatible system), but does not want to build custom event formats or transformation </w:t>
      </w:r>
      <w:proofErr w:type="gramStart"/>
      <w:r>
        <w:t>logic</w:t>
      </w:r>
      <w:proofErr w:type="gramEnd"/>
    </w:p>
    <w:p w14:paraId="723A3C38" w14:textId="77777777" w:rsidR="002C0053" w:rsidRDefault="002C0053">
      <w:pPr>
        <w:spacing w:before="80" w:after="80"/>
      </w:pPr>
    </w:p>
    <w:p w14:paraId="3F251413" w14:textId="77777777" w:rsidR="002C0053" w:rsidRDefault="00000000">
      <w:pPr>
        <w:pStyle w:val="Heading2"/>
      </w:pPr>
      <w:r>
        <w:t xml:space="preserve">The </w:t>
      </w:r>
      <w:proofErr w:type="spellStart"/>
      <w:r>
        <w:t>OpenCDC</w:t>
      </w:r>
      <w:proofErr w:type="spellEnd"/>
      <w:r>
        <w:t xml:space="preserve"> Approach</w:t>
      </w:r>
    </w:p>
    <w:p w14:paraId="0C7FEDC1" w14:textId="77777777" w:rsidR="002C0053" w:rsidRDefault="00000000">
      <w:pPr>
        <w:spacing w:after="160"/>
      </w:pPr>
      <w:r>
        <w:t>Both databases expose lightweight built-in capabilities or installable extensions that enable them to:</w:t>
      </w:r>
    </w:p>
    <w:p w14:paraId="22D0B837" w14:textId="77777777" w:rsidR="002C0053" w:rsidRDefault="00000000">
      <w:pPr>
        <w:pStyle w:val="ListParagraph"/>
        <w:numPr>
          <w:ilvl w:val="0"/>
          <w:numId w:val="2"/>
        </w:numPr>
        <w:spacing w:before="40" w:after="40"/>
      </w:pPr>
      <w:r>
        <w:t xml:space="preserve">Emit change events in </w:t>
      </w:r>
      <w:proofErr w:type="spellStart"/>
      <w:r>
        <w:t>OpenCDC</w:t>
      </w:r>
      <w:proofErr w:type="spellEnd"/>
      <w:r>
        <w:t xml:space="preserve"> format directly from transaction logs or </w:t>
      </w:r>
      <w:proofErr w:type="gramStart"/>
      <w:r>
        <w:t>triggers</w:t>
      </w:r>
      <w:proofErr w:type="gramEnd"/>
    </w:p>
    <w:p w14:paraId="3C37EB2D" w14:textId="77777777" w:rsidR="002C0053" w:rsidRDefault="00000000">
      <w:pPr>
        <w:pStyle w:val="ListParagraph"/>
        <w:numPr>
          <w:ilvl w:val="0"/>
          <w:numId w:val="2"/>
        </w:numPr>
        <w:spacing w:before="40" w:after="40"/>
      </w:pPr>
      <w:r>
        <w:t xml:space="preserve">Publish those events to a managed messaging </w:t>
      </w:r>
      <w:proofErr w:type="gramStart"/>
      <w:r>
        <w:t>service</w:t>
      </w:r>
      <w:proofErr w:type="gramEnd"/>
    </w:p>
    <w:p w14:paraId="4845E4FB" w14:textId="77777777" w:rsidR="002C0053" w:rsidRDefault="00000000">
      <w:pPr>
        <w:pStyle w:val="ListParagraph"/>
        <w:numPr>
          <w:ilvl w:val="0"/>
          <w:numId w:val="2"/>
        </w:numPr>
        <w:spacing w:before="40" w:after="40"/>
      </w:pPr>
      <w:r>
        <w:lastRenderedPageBreak/>
        <w:t xml:space="preserve">Subscribe to the same channel and apply incoming </w:t>
      </w:r>
      <w:proofErr w:type="spellStart"/>
      <w:r>
        <w:t>OpenCDC</w:t>
      </w:r>
      <w:proofErr w:type="spellEnd"/>
      <w:r>
        <w:t xml:space="preserve"> events to local </w:t>
      </w:r>
      <w:proofErr w:type="gramStart"/>
      <w:r>
        <w:t>tables</w:t>
      </w:r>
      <w:proofErr w:type="gramEnd"/>
    </w:p>
    <w:p w14:paraId="3C6E3D89" w14:textId="77777777" w:rsidR="002C0053" w:rsidRDefault="002C0053">
      <w:pPr>
        <w:spacing w:before="60" w:after="60"/>
      </w:pPr>
    </w:p>
    <w:p w14:paraId="6C3B8E21" w14:textId="77777777" w:rsidR="002C0053" w:rsidRDefault="00000000">
      <w:pPr>
        <w:spacing w:after="160"/>
      </w:pPr>
      <w:r>
        <w:t>Each database acts as both a producer of its own changes and a consumer of the other system’s changes. No external CDC tool is deployed.</w:t>
      </w:r>
    </w:p>
    <w:p w14:paraId="43C86E44" w14:textId="77777777" w:rsidR="002C0053" w:rsidRDefault="002C0053">
      <w:pPr>
        <w:spacing w:before="80" w:after="80"/>
      </w:pPr>
    </w:p>
    <w:p w14:paraId="7B3AFE4A" w14:textId="77777777" w:rsidR="002C0053" w:rsidRDefault="00000000">
      <w:pPr>
        <w:pStyle w:val="Heading2"/>
      </w:pPr>
      <w:r>
        <w:t xml:space="preserve">Why </w:t>
      </w:r>
      <w:proofErr w:type="spellStart"/>
      <w:r>
        <w:t>OpenCDC</w:t>
      </w:r>
      <w:proofErr w:type="spellEnd"/>
      <w:r>
        <w:t xml:space="preserve"> Is the Critical Enabler</w:t>
      </w:r>
    </w:p>
    <w:p w14:paraId="213A6A0D" w14:textId="77777777" w:rsidR="002C0053" w:rsidRDefault="00000000">
      <w:pPr>
        <w:spacing w:after="160"/>
      </w:pPr>
      <w:r>
        <w:t>PostgreSQL and SQL Server have fundamentally different data type systems (NUMERIC vs. DECIMAL precision handling, datetime semantics), transaction log formats, and change capture mechanisms. Without a common event specification, direct interoperability requires custom transformation logic, per-table mapping rules, and ongoing maintenance as schemas evolve.</w:t>
      </w:r>
    </w:p>
    <w:p w14:paraId="5903304A" w14:textId="77777777" w:rsidR="002C0053" w:rsidRDefault="002C0053">
      <w:pPr>
        <w:spacing w:before="60" w:after="60"/>
      </w:pPr>
    </w:p>
    <w:p w14:paraId="6A60703B" w14:textId="77777777" w:rsidR="002C0053" w:rsidRDefault="00000000">
      <w:pPr>
        <w:spacing w:after="160"/>
      </w:pPr>
      <w:proofErr w:type="spellStart"/>
      <w:r>
        <w:t>OpenCDC</w:t>
      </w:r>
      <w:proofErr w:type="spellEnd"/>
      <w:r>
        <w:t xml:space="preserve"> eliminates these challenges through:</w:t>
      </w:r>
    </w:p>
    <w:p w14:paraId="10BE701D" w14:textId="77777777" w:rsidR="002C0053" w:rsidRDefault="00000000">
      <w:pPr>
        <w:pStyle w:val="ListParagraph"/>
        <w:numPr>
          <w:ilvl w:val="0"/>
          <w:numId w:val="2"/>
        </w:numPr>
        <w:spacing w:before="40" w:after="40"/>
      </w:pPr>
      <w:r>
        <w:rPr>
          <w:b/>
          <w:bCs/>
        </w:rPr>
        <w:t xml:space="preserve">Canonical payload structure. </w:t>
      </w:r>
      <w:r>
        <w:t>Both systems emit and consume the same event envelope.</w:t>
      </w:r>
    </w:p>
    <w:p w14:paraId="74DFB27E" w14:textId="77777777" w:rsidR="002C0053" w:rsidRDefault="00000000">
      <w:pPr>
        <w:pStyle w:val="ListParagraph"/>
        <w:numPr>
          <w:ilvl w:val="0"/>
          <w:numId w:val="2"/>
        </w:numPr>
        <w:spacing w:before="40" w:after="40"/>
      </w:pPr>
      <w:r>
        <w:rPr>
          <w:b/>
          <w:bCs/>
        </w:rPr>
        <w:t xml:space="preserve">Consistent operation semantics. </w:t>
      </w:r>
      <w:r>
        <w:t xml:space="preserve">INSERT, UPDATE, DELETE </w:t>
      </w:r>
      <w:proofErr w:type="gramStart"/>
      <w:r>
        <w:t>are</w:t>
      </w:r>
      <w:proofErr w:type="gramEnd"/>
      <w:r>
        <w:t xml:space="preserve"> represented identically across both engines.</w:t>
      </w:r>
    </w:p>
    <w:p w14:paraId="44CF8130" w14:textId="77777777" w:rsidR="002C0053" w:rsidRDefault="00000000">
      <w:pPr>
        <w:pStyle w:val="ListParagraph"/>
        <w:numPr>
          <w:ilvl w:val="0"/>
          <w:numId w:val="2"/>
        </w:numPr>
        <w:spacing w:before="40" w:after="40"/>
      </w:pPr>
      <w:r>
        <w:rPr>
          <w:b/>
          <w:bCs/>
        </w:rPr>
        <w:t xml:space="preserve">Before/after record state. </w:t>
      </w:r>
      <w:r>
        <w:t>Enables correct application of updates and deterministic conflict handling.</w:t>
      </w:r>
    </w:p>
    <w:p w14:paraId="679BDA30" w14:textId="77777777" w:rsidR="002C0053" w:rsidRDefault="00000000">
      <w:pPr>
        <w:pStyle w:val="ListParagraph"/>
        <w:numPr>
          <w:ilvl w:val="0"/>
          <w:numId w:val="2"/>
        </w:numPr>
        <w:spacing w:before="40" w:after="40"/>
      </w:pPr>
      <w:r>
        <w:rPr>
          <w:b/>
          <w:bCs/>
        </w:rPr>
        <w:t xml:space="preserve">Source metadata and sequencing. </w:t>
      </w:r>
      <w:r>
        <w:t>Ensures correct ordering and traceability across systems.</w:t>
      </w:r>
    </w:p>
    <w:p w14:paraId="610E55C7" w14:textId="77777777" w:rsidR="002C0053" w:rsidRDefault="002C0053">
      <w:pPr>
        <w:spacing w:before="60" w:after="60"/>
      </w:pPr>
    </w:p>
    <w:p w14:paraId="7DFD942C" w14:textId="77777777" w:rsidR="002C0053" w:rsidRDefault="00000000">
      <w:pPr>
        <w:spacing w:after="160"/>
      </w:pPr>
      <w:r>
        <w:t xml:space="preserve">Because </w:t>
      </w:r>
      <w:proofErr w:type="spellStart"/>
      <w:r>
        <w:t>OpenCDC</w:t>
      </w:r>
      <w:proofErr w:type="spellEnd"/>
      <w:r>
        <w:t xml:space="preserve"> is transport-agnostic, the DBA team can use whatever managed messaging service fits their environment without affecting payload compatibility.</w:t>
      </w:r>
    </w:p>
    <w:p w14:paraId="042A56DF" w14:textId="77777777" w:rsidR="002C0053" w:rsidRDefault="002C0053">
      <w:pPr>
        <w:spacing w:before="80" w:after="80"/>
      </w:pPr>
    </w:p>
    <w:p w14:paraId="6753584A" w14:textId="77777777" w:rsidR="002C0053" w:rsidRDefault="00000000">
      <w:pPr>
        <w:pStyle w:val="Heading2"/>
      </w:pPr>
      <w:r>
        <w:t>A Note on Bidirectional Sync and Loop Prevention</w:t>
      </w:r>
    </w:p>
    <w:p w14:paraId="036F0054" w14:textId="77777777" w:rsidR="002C0053" w:rsidRDefault="00000000">
      <w:pPr>
        <w:spacing w:after="160"/>
      </w:pPr>
      <w:r>
        <w:t xml:space="preserve">This story requires bidirectional event flow, which introduces a loop risk: </w:t>
      </w:r>
      <w:r>
        <w:rPr>
          <w:i/>
          <w:iCs/>
        </w:rPr>
        <w:t>a change originating in SQL Server must not be re-emitted back to SQL Server after Aurora applies it.</w:t>
      </w:r>
    </w:p>
    <w:p w14:paraId="546C4A24" w14:textId="77777777" w:rsidR="002C0053" w:rsidRDefault="002C0053">
      <w:pPr>
        <w:spacing w:before="60" w:after="60"/>
      </w:pPr>
    </w:p>
    <w:p w14:paraId="596526AF" w14:textId="77777777" w:rsidR="002C0053" w:rsidRDefault="00000000">
      <w:pPr>
        <w:spacing w:after="160"/>
      </w:pPr>
      <w:proofErr w:type="spellStart"/>
      <w:r>
        <w:t>OpenCDC’s</w:t>
      </w:r>
      <w:proofErr w:type="spellEnd"/>
      <w:r>
        <w:t xml:space="preserve"> source metadata — specifically the originating system identifier in the event envelope — provides the mechanism for loop detection. Each database’s consumer must be configured to suppress re-emission of events whose source identifier matches its own. The exact implementation of this filter is expected to be addressed in the </w:t>
      </w:r>
      <w:proofErr w:type="spellStart"/>
      <w:r>
        <w:t>OpenCDC</w:t>
      </w:r>
      <w:proofErr w:type="spellEnd"/>
      <w:r>
        <w:t xml:space="preserve"> specification.</w:t>
      </w:r>
    </w:p>
    <w:p w14:paraId="1889FF16" w14:textId="77777777" w:rsidR="002C0053" w:rsidRDefault="002C0053">
      <w:pPr>
        <w:spacing w:before="80" w:after="80"/>
      </w:pPr>
    </w:p>
    <w:p w14:paraId="13E4A8A5" w14:textId="069CB988" w:rsidR="002C0053" w:rsidRDefault="002C0053"/>
    <w:sectPr w:rsidR="002C005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79B28B" w14:textId="77777777" w:rsidR="00C07FE8" w:rsidRDefault="00C07FE8">
      <w:r>
        <w:separator/>
      </w:r>
    </w:p>
  </w:endnote>
  <w:endnote w:type="continuationSeparator" w:id="0">
    <w:p w14:paraId="033754DD" w14:textId="77777777" w:rsidR="00C07FE8" w:rsidRDefault="00C07F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1424D" w14:textId="7BB90551" w:rsidR="002C0053" w:rsidRDefault="003C651A">
    <w:pPr>
      <w:pBdr>
        <w:top w:val="single" w:sz="4" w:space="4" w:color="2E75B6"/>
      </w:pBdr>
      <w:tabs>
        <w:tab w:val="right" w:pos="9026"/>
      </w:tabs>
      <w:spacing w:before="120"/>
    </w:pPr>
    <w:r>
      <w:rPr>
        <w:color w:val="595959"/>
        <w:sz w:val="16"/>
        <w:szCs w:val="16"/>
      </w:rPr>
      <w:t>Working Group Draft</w:t>
    </w:r>
    <w:r>
      <w:rPr>
        <w:sz w:val="16"/>
        <w:szCs w:val="16"/>
      </w:rPr>
      <w:tab/>
    </w:r>
    <w:r w:rsidR="00804680" w:rsidRPr="00804680">
      <w:rPr>
        <w:sz w:val="16"/>
        <w:szCs w:val="16"/>
      </w:rPr>
      <w:t xml:space="preserve">Page </w:t>
    </w:r>
    <w:r w:rsidR="00804680" w:rsidRPr="00804680">
      <w:rPr>
        <w:b/>
        <w:bCs/>
        <w:sz w:val="16"/>
        <w:szCs w:val="16"/>
      </w:rPr>
      <w:fldChar w:fldCharType="begin"/>
    </w:r>
    <w:r w:rsidR="00804680" w:rsidRPr="00804680">
      <w:rPr>
        <w:b/>
        <w:bCs/>
        <w:sz w:val="16"/>
        <w:szCs w:val="16"/>
      </w:rPr>
      <w:instrText xml:space="preserve"> PAGE  \* Arabic  \* MERGEFORMAT </w:instrText>
    </w:r>
    <w:r w:rsidR="00804680" w:rsidRPr="00804680">
      <w:rPr>
        <w:b/>
        <w:bCs/>
        <w:sz w:val="16"/>
        <w:szCs w:val="16"/>
      </w:rPr>
      <w:fldChar w:fldCharType="separate"/>
    </w:r>
    <w:r w:rsidR="00804680" w:rsidRPr="00804680">
      <w:rPr>
        <w:b/>
        <w:bCs/>
        <w:noProof/>
        <w:sz w:val="16"/>
        <w:szCs w:val="16"/>
      </w:rPr>
      <w:t>1</w:t>
    </w:r>
    <w:r w:rsidR="00804680" w:rsidRPr="00804680">
      <w:rPr>
        <w:b/>
        <w:bCs/>
        <w:sz w:val="16"/>
        <w:szCs w:val="16"/>
      </w:rPr>
      <w:fldChar w:fldCharType="end"/>
    </w:r>
    <w:r w:rsidR="00804680" w:rsidRPr="00804680">
      <w:rPr>
        <w:sz w:val="16"/>
        <w:szCs w:val="16"/>
      </w:rPr>
      <w:t xml:space="preserve"> of </w:t>
    </w:r>
    <w:r w:rsidR="00804680" w:rsidRPr="00804680">
      <w:rPr>
        <w:b/>
        <w:bCs/>
        <w:sz w:val="16"/>
        <w:szCs w:val="16"/>
      </w:rPr>
      <w:fldChar w:fldCharType="begin"/>
    </w:r>
    <w:r w:rsidR="00804680" w:rsidRPr="00804680">
      <w:rPr>
        <w:b/>
        <w:bCs/>
        <w:sz w:val="16"/>
        <w:szCs w:val="16"/>
      </w:rPr>
      <w:instrText xml:space="preserve"> NUMPAGES  \* Arabic  \* MERGEFORMAT </w:instrText>
    </w:r>
    <w:r w:rsidR="00804680" w:rsidRPr="00804680">
      <w:rPr>
        <w:b/>
        <w:bCs/>
        <w:sz w:val="16"/>
        <w:szCs w:val="16"/>
      </w:rPr>
      <w:fldChar w:fldCharType="separate"/>
    </w:r>
    <w:r w:rsidR="00804680" w:rsidRPr="00804680">
      <w:rPr>
        <w:b/>
        <w:bCs/>
        <w:noProof/>
        <w:sz w:val="16"/>
        <w:szCs w:val="16"/>
      </w:rPr>
      <w:t>2</w:t>
    </w:r>
    <w:r w:rsidR="00804680" w:rsidRPr="00804680">
      <w:rPr>
        <w:b/>
        <w:bCs/>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835BAD" w14:textId="77777777" w:rsidR="00C07FE8" w:rsidRDefault="00C07FE8">
      <w:r>
        <w:separator/>
      </w:r>
    </w:p>
  </w:footnote>
  <w:footnote w:type="continuationSeparator" w:id="0">
    <w:p w14:paraId="18C1E052" w14:textId="77777777" w:rsidR="00C07FE8" w:rsidRDefault="00C07F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66810"/>
    <w:multiLevelType w:val="hybridMultilevel"/>
    <w:tmpl w:val="E174D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C519D4"/>
    <w:multiLevelType w:val="hybridMultilevel"/>
    <w:tmpl w:val="4330E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052247"/>
    <w:multiLevelType w:val="hybridMultilevel"/>
    <w:tmpl w:val="75EE8EF4"/>
    <w:lvl w:ilvl="0" w:tplc="B4C8D3EC">
      <w:start w:val="1"/>
      <w:numFmt w:val="bullet"/>
      <w:lvlText w:val="●"/>
      <w:lvlJc w:val="left"/>
      <w:pPr>
        <w:ind w:left="720" w:hanging="360"/>
      </w:pPr>
    </w:lvl>
    <w:lvl w:ilvl="1" w:tplc="C3702380">
      <w:start w:val="1"/>
      <w:numFmt w:val="bullet"/>
      <w:lvlText w:val="○"/>
      <w:lvlJc w:val="left"/>
      <w:pPr>
        <w:ind w:left="1440" w:hanging="360"/>
      </w:pPr>
    </w:lvl>
    <w:lvl w:ilvl="2" w:tplc="3F02B984">
      <w:start w:val="1"/>
      <w:numFmt w:val="bullet"/>
      <w:lvlText w:val="■"/>
      <w:lvlJc w:val="left"/>
      <w:pPr>
        <w:ind w:left="2160" w:hanging="360"/>
      </w:pPr>
    </w:lvl>
    <w:lvl w:ilvl="3" w:tplc="77AC6DDA">
      <w:start w:val="1"/>
      <w:numFmt w:val="bullet"/>
      <w:lvlText w:val="●"/>
      <w:lvlJc w:val="left"/>
      <w:pPr>
        <w:ind w:left="2880" w:hanging="360"/>
      </w:pPr>
    </w:lvl>
    <w:lvl w:ilvl="4" w:tplc="CEB214E2">
      <w:start w:val="1"/>
      <w:numFmt w:val="bullet"/>
      <w:lvlText w:val="○"/>
      <w:lvlJc w:val="left"/>
      <w:pPr>
        <w:ind w:left="3600" w:hanging="360"/>
      </w:pPr>
    </w:lvl>
    <w:lvl w:ilvl="5" w:tplc="7DA8F70C">
      <w:start w:val="1"/>
      <w:numFmt w:val="bullet"/>
      <w:lvlText w:val="■"/>
      <w:lvlJc w:val="left"/>
      <w:pPr>
        <w:ind w:left="4320" w:hanging="360"/>
      </w:pPr>
    </w:lvl>
    <w:lvl w:ilvl="6" w:tplc="4B72EC70">
      <w:start w:val="1"/>
      <w:numFmt w:val="bullet"/>
      <w:lvlText w:val="●"/>
      <w:lvlJc w:val="left"/>
      <w:pPr>
        <w:ind w:left="5040" w:hanging="360"/>
      </w:pPr>
    </w:lvl>
    <w:lvl w:ilvl="7" w:tplc="31668B02">
      <w:start w:val="1"/>
      <w:numFmt w:val="bullet"/>
      <w:lvlText w:val="●"/>
      <w:lvlJc w:val="left"/>
      <w:pPr>
        <w:ind w:left="5760" w:hanging="360"/>
      </w:pPr>
    </w:lvl>
    <w:lvl w:ilvl="8" w:tplc="62C46CAA">
      <w:start w:val="1"/>
      <w:numFmt w:val="bullet"/>
      <w:lvlText w:val="●"/>
      <w:lvlJc w:val="left"/>
      <w:pPr>
        <w:ind w:left="6480" w:hanging="360"/>
      </w:pPr>
    </w:lvl>
  </w:abstractNum>
  <w:abstractNum w:abstractNumId="3" w15:restartNumberingAfterBreak="0">
    <w:nsid w:val="5F3F3BDF"/>
    <w:multiLevelType w:val="hybridMultilevel"/>
    <w:tmpl w:val="3F7A8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6382723"/>
    <w:multiLevelType w:val="hybridMultilevel"/>
    <w:tmpl w:val="4B882634"/>
    <w:lvl w:ilvl="0" w:tplc="EABA89A4">
      <w:start w:val="1"/>
      <w:numFmt w:val="bullet"/>
      <w:lvlText w:val="•"/>
      <w:lvlJc w:val="left"/>
      <w:pPr>
        <w:ind w:left="720" w:hanging="360"/>
      </w:pPr>
    </w:lvl>
    <w:lvl w:ilvl="1" w:tplc="EFC4ED60">
      <w:start w:val="1"/>
      <w:numFmt w:val="bullet"/>
      <w:lvlText w:val="◦"/>
      <w:lvlJc w:val="left"/>
      <w:pPr>
        <w:ind w:left="1080" w:hanging="360"/>
      </w:pPr>
    </w:lvl>
    <w:lvl w:ilvl="2" w:tplc="32844C02">
      <w:numFmt w:val="decimal"/>
      <w:lvlText w:val=""/>
      <w:lvlJc w:val="left"/>
    </w:lvl>
    <w:lvl w:ilvl="3" w:tplc="45729342">
      <w:numFmt w:val="decimal"/>
      <w:lvlText w:val=""/>
      <w:lvlJc w:val="left"/>
    </w:lvl>
    <w:lvl w:ilvl="4" w:tplc="ED5A5BDC">
      <w:numFmt w:val="decimal"/>
      <w:lvlText w:val=""/>
      <w:lvlJc w:val="left"/>
    </w:lvl>
    <w:lvl w:ilvl="5" w:tplc="9764452C">
      <w:numFmt w:val="decimal"/>
      <w:lvlText w:val=""/>
      <w:lvlJc w:val="left"/>
    </w:lvl>
    <w:lvl w:ilvl="6" w:tplc="1A3CED4A">
      <w:numFmt w:val="decimal"/>
      <w:lvlText w:val=""/>
      <w:lvlJc w:val="left"/>
    </w:lvl>
    <w:lvl w:ilvl="7" w:tplc="C596C364">
      <w:numFmt w:val="decimal"/>
      <w:lvlText w:val=""/>
      <w:lvlJc w:val="left"/>
    </w:lvl>
    <w:lvl w:ilvl="8" w:tplc="649C2DF0">
      <w:numFmt w:val="decimal"/>
      <w:lvlText w:val=""/>
      <w:lvlJc w:val="left"/>
    </w:lvl>
  </w:abstractNum>
  <w:abstractNum w:abstractNumId="5" w15:restartNumberingAfterBreak="0">
    <w:nsid w:val="7AF14E41"/>
    <w:multiLevelType w:val="hybridMultilevel"/>
    <w:tmpl w:val="B8682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0529823">
    <w:abstractNumId w:val="2"/>
    <w:lvlOverride w:ilvl="0">
      <w:startOverride w:val="1"/>
    </w:lvlOverride>
  </w:num>
  <w:num w:numId="2" w16cid:durableId="1528717735">
    <w:abstractNumId w:val="4"/>
    <w:lvlOverride w:ilvl="0">
      <w:startOverride w:val="1"/>
    </w:lvlOverride>
  </w:num>
  <w:num w:numId="3" w16cid:durableId="2040233514">
    <w:abstractNumId w:val="3"/>
  </w:num>
  <w:num w:numId="4" w16cid:durableId="510527798">
    <w:abstractNumId w:val="0"/>
  </w:num>
  <w:num w:numId="5" w16cid:durableId="1822577819">
    <w:abstractNumId w:val="5"/>
  </w:num>
  <w:num w:numId="6" w16cid:durableId="2523239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0053"/>
    <w:rsid w:val="000360DF"/>
    <w:rsid w:val="00082549"/>
    <w:rsid w:val="000D1C11"/>
    <w:rsid w:val="00226893"/>
    <w:rsid w:val="002A51DD"/>
    <w:rsid w:val="002C0053"/>
    <w:rsid w:val="003003E8"/>
    <w:rsid w:val="003C651A"/>
    <w:rsid w:val="003F1194"/>
    <w:rsid w:val="0044474F"/>
    <w:rsid w:val="004E5AA0"/>
    <w:rsid w:val="0051048E"/>
    <w:rsid w:val="00512DB6"/>
    <w:rsid w:val="00563D68"/>
    <w:rsid w:val="005A0F7F"/>
    <w:rsid w:val="005B6501"/>
    <w:rsid w:val="005B6FA6"/>
    <w:rsid w:val="005F0597"/>
    <w:rsid w:val="00613B48"/>
    <w:rsid w:val="006247CE"/>
    <w:rsid w:val="00804680"/>
    <w:rsid w:val="008F5EA1"/>
    <w:rsid w:val="009649E5"/>
    <w:rsid w:val="00A67EC6"/>
    <w:rsid w:val="00C07FE8"/>
    <w:rsid w:val="00C272C0"/>
    <w:rsid w:val="00C358E6"/>
    <w:rsid w:val="00C50D1E"/>
    <w:rsid w:val="00C83081"/>
    <w:rsid w:val="00DC2A54"/>
    <w:rsid w:val="00EE693E"/>
    <w:rsid w:val="00FC50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F2AD"/>
  <w15:docId w15:val="{DFDF055B-B64E-4DB6-9B0D-14E06A862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semiHidden/>
    <w:unhideWhenUsed/>
    <w:qFormat/>
    <w:pPr>
      <w:spacing w:before="160" w:after="60"/>
      <w:outlineLvl w:val="2"/>
    </w:pPr>
    <w:rPr>
      <w:b/>
      <w:bCs/>
      <w:color w:val="59595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C651A"/>
    <w:pPr>
      <w:tabs>
        <w:tab w:val="center" w:pos="4680"/>
        <w:tab w:val="right" w:pos="9360"/>
      </w:tabs>
    </w:pPr>
  </w:style>
  <w:style w:type="character" w:customStyle="1" w:styleId="HeaderChar">
    <w:name w:val="Header Char"/>
    <w:basedOn w:val="DefaultParagraphFont"/>
    <w:link w:val="Header"/>
    <w:uiPriority w:val="99"/>
    <w:rsid w:val="003C651A"/>
  </w:style>
  <w:style w:type="paragraph" w:styleId="Footer">
    <w:name w:val="footer"/>
    <w:basedOn w:val="Normal"/>
    <w:link w:val="FooterChar"/>
    <w:uiPriority w:val="99"/>
    <w:unhideWhenUsed/>
    <w:rsid w:val="003C651A"/>
    <w:pPr>
      <w:tabs>
        <w:tab w:val="center" w:pos="4680"/>
        <w:tab w:val="right" w:pos="9360"/>
      </w:tabs>
    </w:pPr>
  </w:style>
  <w:style w:type="character" w:customStyle="1" w:styleId="FooterChar">
    <w:name w:val="Footer Char"/>
    <w:basedOn w:val="DefaultParagraphFont"/>
    <w:link w:val="Footer"/>
    <w:uiPriority w:val="99"/>
    <w:rsid w:val="003C651A"/>
  </w:style>
  <w:style w:type="paragraph" w:styleId="TOCHeading">
    <w:name w:val="TOC Heading"/>
    <w:basedOn w:val="Heading1"/>
    <w:next w:val="Normal"/>
    <w:uiPriority w:val="39"/>
    <w:unhideWhenUsed/>
    <w:qFormat/>
    <w:rsid w:val="00C272C0"/>
    <w:pPr>
      <w:keepNext/>
      <w:keepLines/>
      <w:spacing w:before="240" w:after="0" w:line="259" w:lineRule="auto"/>
      <w:outlineLvl w:val="9"/>
    </w:pPr>
    <w:rPr>
      <w:rFonts w:asciiTheme="majorHAnsi" w:eastAsiaTheme="majorEastAsia" w:hAnsiTheme="majorHAnsi" w:cstheme="majorBidi"/>
      <w:b w:val="0"/>
      <w:bCs w:val="0"/>
      <w:color w:val="2F5496" w:themeColor="accent1" w:themeShade="BF"/>
    </w:rPr>
  </w:style>
  <w:style w:type="paragraph" w:styleId="TOC1">
    <w:name w:val="toc 1"/>
    <w:basedOn w:val="Normal"/>
    <w:next w:val="Normal"/>
    <w:autoRedefine/>
    <w:uiPriority w:val="39"/>
    <w:unhideWhenUsed/>
    <w:rsid w:val="00C272C0"/>
    <w:pPr>
      <w:spacing w:after="100"/>
    </w:pPr>
  </w:style>
  <w:style w:type="paragraph" w:styleId="TOC2">
    <w:name w:val="toc 2"/>
    <w:basedOn w:val="Normal"/>
    <w:next w:val="Normal"/>
    <w:autoRedefine/>
    <w:uiPriority w:val="39"/>
    <w:unhideWhenUsed/>
    <w:rsid w:val="00C272C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28096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5747F-D4EC-489B-91EA-001E0248B427}">
  <ds:schemaRefs>
    <ds:schemaRef ds:uri="http://schemas.openxmlformats.org/officeDocument/2006/bibliography"/>
  </ds:schemaRefs>
</ds:datastoreItem>
</file>

<file path=docMetadata/LabelInfo.xml><?xml version="1.0" encoding="utf-8"?>
<clbl:labelList xmlns:clbl="http://schemas.microsoft.com/office/2020/mipLabelMetadata">
  <clbl:label id="{3c76ce46-357f-46de-88d6-77b9bbb83c46}" enabled="1" method="Privileged" siteId="{4e2c6054-71cb-48f1-bd6c-3a9705aca71b}" contentBits="0" removed="0"/>
</clbl:labelList>
</file>

<file path=docProps/app.xml><?xml version="1.0" encoding="utf-8"?>
<Properties xmlns="http://schemas.openxmlformats.org/officeDocument/2006/extended-properties" xmlns:vt="http://schemas.openxmlformats.org/officeDocument/2006/docPropsVTypes">
  <Template>Normal.dotm</Template>
  <TotalTime>977</TotalTime>
  <Pages>15</Pages>
  <Words>4026</Words>
  <Characters>22953</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Oracle</Company>
  <LinksUpToDate>false</LinksUpToDate>
  <CharactersWithSpaces>26926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Jeff Pollock</cp:lastModifiedBy>
  <cp:revision>16</cp:revision>
  <dcterms:created xsi:type="dcterms:W3CDTF">2026-05-03T18:44:00Z</dcterms:created>
  <dcterms:modified xsi:type="dcterms:W3CDTF">2026-06-04T17:01:00Z</dcterms:modified>
</cp:coreProperties>
</file>