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ACC01" w14:textId="0AE2ED66" w:rsidR="00A9204E" w:rsidRDefault="008E1132">
      <w:r>
        <w:t>SRN: PES1UG21CS451</w:t>
      </w:r>
    </w:p>
    <w:p w14:paraId="0377187B" w14:textId="555B793C" w:rsidR="008E1132" w:rsidRDefault="008E1132">
      <w:r>
        <w:t>Name: Prerana Sanjay Kulkarni</w:t>
      </w:r>
    </w:p>
    <w:p w14:paraId="64D0B9AE" w14:textId="77777777" w:rsidR="008E1132" w:rsidRDefault="008E1132"/>
    <w:p w14:paraId="0ACDD0BF" w14:textId="110099A4" w:rsidR="008E1132" w:rsidRPr="008E1132" w:rsidRDefault="008E1132">
      <w:r>
        <w:rPr>
          <w:b/>
          <w:bCs/>
          <w:i/>
          <w:iCs/>
        </w:rPr>
        <w:t>Result Table:</w:t>
      </w:r>
    </w:p>
    <w:p w14:paraId="084CEB0A" w14:textId="77777777" w:rsidR="008E1132" w:rsidRDefault="008E1132"/>
    <w:tbl>
      <w:tblPr>
        <w:tblStyle w:val="TableGrid"/>
        <w:tblW w:w="11100" w:type="dxa"/>
        <w:tblLook w:val="04A0" w:firstRow="1" w:lastRow="0" w:firstColumn="1" w:lastColumn="0" w:noHBand="0" w:noVBand="1"/>
      </w:tblPr>
      <w:tblGrid>
        <w:gridCol w:w="2220"/>
        <w:gridCol w:w="2220"/>
        <w:gridCol w:w="2220"/>
        <w:gridCol w:w="2220"/>
        <w:gridCol w:w="2220"/>
      </w:tblGrid>
      <w:tr w:rsidR="008E1132" w:rsidRPr="008E1132" w14:paraId="2334C7C0" w14:textId="77777777" w:rsidTr="008E1132">
        <w:trPr>
          <w:trHeight w:val="290"/>
        </w:trPr>
        <w:tc>
          <w:tcPr>
            <w:tcW w:w="2220" w:type="dxa"/>
            <w:hideMark/>
          </w:tcPr>
          <w:p w14:paraId="056BDA9F" w14:textId="77777777" w:rsidR="008E1132" w:rsidRPr="008E1132" w:rsidRDefault="008E1132" w:rsidP="008E1132">
            <w:pPr>
              <w:rPr>
                <w:rFonts w:ascii="Calibri" w:eastAsia="Times New Roman" w:hAnsi="Calibri" w:cs="Calibri"/>
                <w:b/>
                <w:bCs/>
                <w:color w:val="000000"/>
                <w:lang w:val="en-IN" w:eastAsia="en-IN"/>
              </w:rPr>
            </w:pPr>
            <w:r w:rsidRPr="008E1132">
              <w:rPr>
                <w:rFonts w:ascii="Calibri" w:eastAsia="Times New Roman" w:hAnsi="Calibri" w:cs="Calibri"/>
                <w:b/>
                <w:bCs/>
                <w:color w:val="000000"/>
                <w:lang w:val="en-IN" w:eastAsia="en-IN"/>
              </w:rPr>
              <w:t>Question</w:t>
            </w:r>
          </w:p>
        </w:tc>
        <w:tc>
          <w:tcPr>
            <w:tcW w:w="2220" w:type="dxa"/>
            <w:hideMark/>
          </w:tcPr>
          <w:p w14:paraId="15AEBABD" w14:textId="77777777" w:rsidR="008E1132" w:rsidRPr="008E1132" w:rsidRDefault="008E1132" w:rsidP="008E1132">
            <w:pPr>
              <w:rPr>
                <w:rFonts w:ascii="Calibri" w:eastAsia="Times New Roman" w:hAnsi="Calibri" w:cs="Calibri"/>
                <w:b/>
                <w:bCs/>
                <w:color w:val="000000"/>
                <w:lang w:val="en-IN" w:eastAsia="en-IN"/>
              </w:rPr>
            </w:pPr>
            <w:r w:rsidRPr="008E1132">
              <w:rPr>
                <w:rFonts w:ascii="Calibri" w:eastAsia="Times New Roman" w:hAnsi="Calibri" w:cs="Calibri"/>
                <w:b/>
                <w:bCs/>
                <w:color w:val="000000"/>
                <w:lang w:val="en-IN" w:eastAsia="en-IN"/>
              </w:rPr>
              <w:t>Result 1</w:t>
            </w:r>
          </w:p>
        </w:tc>
        <w:tc>
          <w:tcPr>
            <w:tcW w:w="2220" w:type="dxa"/>
            <w:hideMark/>
          </w:tcPr>
          <w:p w14:paraId="6B3EA83E" w14:textId="77777777" w:rsidR="008E1132" w:rsidRPr="008E1132" w:rsidRDefault="008E1132" w:rsidP="008E1132">
            <w:pPr>
              <w:rPr>
                <w:rFonts w:ascii="Calibri" w:eastAsia="Times New Roman" w:hAnsi="Calibri" w:cs="Calibri"/>
                <w:b/>
                <w:bCs/>
                <w:color w:val="000000"/>
                <w:lang w:val="en-IN" w:eastAsia="en-IN"/>
              </w:rPr>
            </w:pPr>
            <w:r w:rsidRPr="008E1132">
              <w:rPr>
                <w:rFonts w:ascii="Calibri" w:eastAsia="Times New Roman" w:hAnsi="Calibri" w:cs="Calibri"/>
                <w:b/>
                <w:bCs/>
                <w:color w:val="000000"/>
                <w:lang w:val="en-IN" w:eastAsia="en-IN"/>
              </w:rPr>
              <w:t>Result 2</w:t>
            </w:r>
          </w:p>
        </w:tc>
        <w:tc>
          <w:tcPr>
            <w:tcW w:w="2220" w:type="dxa"/>
            <w:hideMark/>
          </w:tcPr>
          <w:p w14:paraId="5DC94C95" w14:textId="77777777" w:rsidR="008E1132" w:rsidRPr="008E1132" w:rsidRDefault="008E1132" w:rsidP="008E1132">
            <w:pPr>
              <w:rPr>
                <w:rFonts w:ascii="Calibri" w:eastAsia="Times New Roman" w:hAnsi="Calibri" w:cs="Calibri"/>
                <w:b/>
                <w:bCs/>
                <w:color w:val="000000"/>
                <w:lang w:val="en-IN" w:eastAsia="en-IN"/>
              </w:rPr>
            </w:pPr>
            <w:r w:rsidRPr="008E1132">
              <w:rPr>
                <w:rFonts w:ascii="Calibri" w:eastAsia="Times New Roman" w:hAnsi="Calibri" w:cs="Calibri"/>
                <w:b/>
                <w:bCs/>
                <w:color w:val="000000"/>
                <w:lang w:val="en-IN" w:eastAsia="en-IN"/>
              </w:rPr>
              <w:t>Result 3</w:t>
            </w:r>
          </w:p>
        </w:tc>
        <w:tc>
          <w:tcPr>
            <w:tcW w:w="2220" w:type="dxa"/>
            <w:hideMark/>
          </w:tcPr>
          <w:p w14:paraId="0E8BC5ED" w14:textId="77777777" w:rsidR="008E1132" w:rsidRPr="008E1132" w:rsidRDefault="008E1132" w:rsidP="008E1132">
            <w:pPr>
              <w:rPr>
                <w:rFonts w:ascii="Calibri" w:eastAsia="Times New Roman" w:hAnsi="Calibri" w:cs="Calibri"/>
                <w:b/>
                <w:bCs/>
                <w:color w:val="000000"/>
                <w:lang w:val="en-IN" w:eastAsia="en-IN"/>
              </w:rPr>
            </w:pPr>
            <w:r w:rsidRPr="008E1132">
              <w:rPr>
                <w:rFonts w:ascii="Calibri" w:eastAsia="Times New Roman" w:hAnsi="Calibri" w:cs="Calibri"/>
                <w:b/>
                <w:bCs/>
                <w:color w:val="000000"/>
                <w:lang w:val="en-IN" w:eastAsia="en-IN"/>
              </w:rPr>
              <w:t>Result 4</w:t>
            </w:r>
          </w:p>
        </w:tc>
      </w:tr>
      <w:tr w:rsidR="008E1132" w:rsidRPr="008E1132" w14:paraId="0D6CCCFB" w14:textId="77777777" w:rsidTr="008E1132">
        <w:trPr>
          <w:trHeight w:val="290"/>
        </w:trPr>
        <w:tc>
          <w:tcPr>
            <w:tcW w:w="2220" w:type="dxa"/>
            <w:hideMark/>
          </w:tcPr>
          <w:p w14:paraId="3ADFE27F" w14:textId="77777777" w:rsidR="008E1132" w:rsidRPr="008E1132" w:rsidRDefault="008E1132" w:rsidP="008E1132">
            <w:pPr>
              <w:rPr>
                <w:rFonts w:ascii="Calibri" w:eastAsia="Times New Roman" w:hAnsi="Calibri" w:cs="Calibri"/>
                <w:b/>
                <w:bCs/>
                <w:color w:val="000000"/>
                <w:lang w:val="en-IN" w:eastAsia="en-IN"/>
              </w:rPr>
            </w:pPr>
          </w:p>
        </w:tc>
        <w:tc>
          <w:tcPr>
            <w:tcW w:w="2220" w:type="dxa"/>
            <w:hideMark/>
          </w:tcPr>
          <w:p w14:paraId="3A01027F" w14:textId="77777777" w:rsidR="008E1132" w:rsidRPr="008E1132" w:rsidRDefault="008E1132" w:rsidP="008E1132">
            <w:pPr>
              <w:rPr>
                <w:rFonts w:ascii="Calibri" w:eastAsia="Times New Roman" w:hAnsi="Calibri" w:cs="Calibri"/>
                <w:b/>
                <w:bCs/>
                <w:color w:val="000000"/>
                <w:lang w:val="en-IN" w:eastAsia="en-IN"/>
              </w:rPr>
            </w:pPr>
            <w:proofErr w:type="spellStart"/>
            <w:r w:rsidRPr="008E1132">
              <w:rPr>
                <w:rFonts w:ascii="Calibri" w:eastAsia="Times New Roman" w:hAnsi="Calibri" w:cs="Calibri"/>
                <w:b/>
                <w:bCs/>
                <w:color w:val="000000"/>
                <w:lang w:val="en-IN" w:eastAsia="en-IN"/>
              </w:rPr>
              <w:t>chunk_size</w:t>
            </w:r>
            <w:proofErr w:type="spellEnd"/>
            <w:r w:rsidRPr="008E1132">
              <w:rPr>
                <w:rFonts w:ascii="Calibri" w:eastAsia="Times New Roman" w:hAnsi="Calibri" w:cs="Calibri"/>
                <w:b/>
                <w:bCs/>
                <w:color w:val="000000"/>
                <w:lang w:val="en-IN" w:eastAsia="en-IN"/>
              </w:rPr>
              <w:t>=500</w:t>
            </w:r>
          </w:p>
        </w:tc>
        <w:tc>
          <w:tcPr>
            <w:tcW w:w="2220" w:type="dxa"/>
            <w:hideMark/>
          </w:tcPr>
          <w:p w14:paraId="53C98C3D" w14:textId="77777777" w:rsidR="008E1132" w:rsidRPr="008E1132" w:rsidRDefault="008E1132" w:rsidP="008E1132">
            <w:pPr>
              <w:rPr>
                <w:rFonts w:ascii="Calibri" w:eastAsia="Times New Roman" w:hAnsi="Calibri" w:cs="Calibri"/>
                <w:b/>
                <w:bCs/>
                <w:color w:val="000000"/>
                <w:lang w:val="en-IN" w:eastAsia="en-IN"/>
              </w:rPr>
            </w:pPr>
            <w:proofErr w:type="spellStart"/>
            <w:r w:rsidRPr="008E1132">
              <w:rPr>
                <w:rFonts w:ascii="Calibri" w:eastAsia="Times New Roman" w:hAnsi="Calibri" w:cs="Calibri"/>
                <w:b/>
                <w:bCs/>
                <w:color w:val="000000"/>
                <w:lang w:val="en-IN" w:eastAsia="en-IN"/>
              </w:rPr>
              <w:t>chunk_size</w:t>
            </w:r>
            <w:proofErr w:type="spellEnd"/>
            <w:r w:rsidRPr="008E1132">
              <w:rPr>
                <w:rFonts w:ascii="Calibri" w:eastAsia="Times New Roman" w:hAnsi="Calibri" w:cs="Calibri"/>
                <w:b/>
                <w:bCs/>
                <w:color w:val="000000"/>
                <w:lang w:val="en-IN" w:eastAsia="en-IN"/>
              </w:rPr>
              <w:t xml:space="preserve">=1000, </w:t>
            </w:r>
            <w:proofErr w:type="spellStart"/>
            <w:r w:rsidRPr="008E1132">
              <w:rPr>
                <w:rFonts w:ascii="Calibri" w:eastAsia="Times New Roman" w:hAnsi="Calibri" w:cs="Calibri"/>
                <w:b/>
                <w:bCs/>
                <w:color w:val="000000"/>
                <w:lang w:val="en-IN" w:eastAsia="en-IN"/>
              </w:rPr>
              <w:t>chunk_overlap</w:t>
            </w:r>
            <w:proofErr w:type="spellEnd"/>
            <w:r w:rsidRPr="008E1132">
              <w:rPr>
                <w:rFonts w:ascii="Calibri" w:eastAsia="Times New Roman" w:hAnsi="Calibri" w:cs="Calibri"/>
                <w:b/>
                <w:bCs/>
                <w:color w:val="000000"/>
                <w:lang w:val="en-IN" w:eastAsia="en-IN"/>
              </w:rPr>
              <w:t>=60</w:t>
            </w:r>
          </w:p>
        </w:tc>
        <w:tc>
          <w:tcPr>
            <w:tcW w:w="2220" w:type="dxa"/>
            <w:hideMark/>
          </w:tcPr>
          <w:p w14:paraId="7615F2A6" w14:textId="77777777" w:rsidR="008E1132" w:rsidRPr="008E1132" w:rsidRDefault="008E1132" w:rsidP="008E1132">
            <w:pPr>
              <w:rPr>
                <w:rFonts w:ascii="Calibri" w:eastAsia="Times New Roman" w:hAnsi="Calibri" w:cs="Calibri"/>
                <w:b/>
                <w:bCs/>
                <w:color w:val="000000"/>
                <w:lang w:val="en-IN" w:eastAsia="en-IN"/>
              </w:rPr>
            </w:pPr>
            <w:r w:rsidRPr="008E1132">
              <w:rPr>
                <w:rFonts w:ascii="Calibri" w:eastAsia="Times New Roman" w:hAnsi="Calibri" w:cs="Calibri"/>
                <w:b/>
                <w:bCs/>
                <w:color w:val="000000"/>
                <w:lang w:val="en-IN" w:eastAsia="en-IN"/>
              </w:rPr>
              <w:t>temperature=0.4</w:t>
            </w:r>
          </w:p>
        </w:tc>
        <w:tc>
          <w:tcPr>
            <w:tcW w:w="2220" w:type="dxa"/>
            <w:hideMark/>
          </w:tcPr>
          <w:p w14:paraId="430AB920" w14:textId="77777777" w:rsidR="008E1132" w:rsidRPr="008E1132" w:rsidRDefault="008E1132" w:rsidP="008E1132">
            <w:pPr>
              <w:rPr>
                <w:rFonts w:ascii="Calibri" w:eastAsia="Times New Roman" w:hAnsi="Calibri" w:cs="Calibri"/>
                <w:b/>
                <w:bCs/>
                <w:color w:val="000000"/>
                <w:lang w:val="en-IN" w:eastAsia="en-IN"/>
              </w:rPr>
            </w:pPr>
            <w:proofErr w:type="spellStart"/>
            <w:r w:rsidRPr="008E1132">
              <w:rPr>
                <w:rFonts w:ascii="Calibri" w:eastAsia="Times New Roman" w:hAnsi="Calibri" w:cs="Calibri"/>
                <w:b/>
                <w:bCs/>
                <w:color w:val="000000"/>
                <w:lang w:val="en-IN" w:eastAsia="en-IN"/>
              </w:rPr>
              <w:t>context_length</w:t>
            </w:r>
            <w:proofErr w:type="spellEnd"/>
            <w:r w:rsidRPr="008E1132">
              <w:rPr>
                <w:rFonts w:ascii="Calibri" w:eastAsia="Times New Roman" w:hAnsi="Calibri" w:cs="Calibri"/>
                <w:b/>
                <w:bCs/>
                <w:color w:val="000000"/>
                <w:lang w:val="en-IN" w:eastAsia="en-IN"/>
              </w:rPr>
              <w:t>=2048</w:t>
            </w:r>
          </w:p>
        </w:tc>
      </w:tr>
      <w:tr w:rsidR="008E1132" w:rsidRPr="008E1132" w14:paraId="3633D203" w14:textId="77777777" w:rsidTr="008E1132">
        <w:trPr>
          <w:trHeight w:val="580"/>
        </w:trPr>
        <w:tc>
          <w:tcPr>
            <w:tcW w:w="2220" w:type="dxa"/>
            <w:hideMark/>
          </w:tcPr>
          <w:p w14:paraId="2200702F" w14:textId="77777777" w:rsidR="008E1132" w:rsidRPr="008E1132" w:rsidRDefault="008E1132" w:rsidP="008E1132">
            <w:pPr>
              <w:rPr>
                <w:rFonts w:ascii="Calibri" w:eastAsia="Times New Roman" w:hAnsi="Calibri" w:cs="Calibri"/>
                <w:b/>
                <w:bCs/>
                <w:color w:val="000000"/>
                <w:lang w:val="en-IN" w:eastAsia="en-IN"/>
              </w:rPr>
            </w:pPr>
            <w:r w:rsidRPr="008E1132">
              <w:rPr>
                <w:rFonts w:ascii="Calibri" w:eastAsia="Times New Roman" w:hAnsi="Calibri" w:cs="Calibri"/>
                <w:b/>
                <w:bCs/>
                <w:color w:val="000000"/>
                <w:lang w:val="en-IN" w:eastAsia="en-IN"/>
              </w:rPr>
              <w:t>1. What was AAPL’s sales during 2018?</w:t>
            </w:r>
          </w:p>
        </w:tc>
        <w:tc>
          <w:tcPr>
            <w:tcW w:w="2220" w:type="dxa"/>
            <w:hideMark/>
          </w:tcPr>
          <w:p w14:paraId="05DC7AFE"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Inaccurate and incomplete data, missing key figures</w:t>
            </w:r>
          </w:p>
        </w:tc>
        <w:tc>
          <w:tcPr>
            <w:tcW w:w="2220" w:type="dxa"/>
            <w:hideMark/>
          </w:tcPr>
          <w:p w14:paraId="7667136C"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Accurate information with detailed breakdowns of sales</w:t>
            </w:r>
          </w:p>
        </w:tc>
        <w:tc>
          <w:tcPr>
            <w:tcW w:w="2220" w:type="dxa"/>
            <w:hideMark/>
          </w:tcPr>
          <w:p w14:paraId="6B611C6E"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Coherent response with slight inaccuracies in figures</w:t>
            </w:r>
          </w:p>
        </w:tc>
        <w:tc>
          <w:tcPr>
            <w:tcW w:w="2220" w:type="dxa"/>
            <w:hideMark/>
          </w:tcPr>
          <w:p w14:paraId="078C8E18"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Comprehensive and precise, includes additional financial context</w:t>
            </w:r>
          </w:p>
        </w:tc>
      </w:tr>
      <w:tr w:rsidR="008E1132" w:rsidRPr="008E1132" w14:paraId="2470EDF8" w14:textId="77777777" w:rsidTr="008E1132">
        <w:trPr>
          <w:trHeight w:val="580"/>
        </w:trPr>
        <w:tc>
          <w:tcPr>
            <w:tcW w:w="2220" w:type="dxa"/>
            <w:hideMark/>
          </w:tcPr>
          <w:p w14:paraId="7D0C85C4" w14:textId="77777777" w:rsidR="008E1132" w:rsidRPr="008E1132" w:rsidRDefault="008E1132" w:rsidP="008E1132">
            <w:pPr>
              <w:rPr>
                <w:rFonts w:ascii="Calibri" w:eastAsia="Times New Roman" w:hAnsi="Calibri" w:cs="Calibri"/>
                <w:b/>
                <w:bCs/>
                <w:color w:val="000000"/>
                <w:lang w:val="en-IN" w:eastAsia="en-IN"/>
              </w:rPr>
            </w:pPr>
            <w:r w:rsidRPr="008E1132">
              <w:rPr>
                <w:rFonts w:ascii="Calibri" w:eastAsia="Times New Roman" w:hAnsi="Calibri" w:cs="Calibri"/>
                <w:b/>
                <w:bCs/>
                <w:color w:val="000000"/>
                <w:lang w:val="en-IN" w:eastAsia="en-IN"/>
              </w:rPr>
              <w:t>2. What was MSFT’s sales during 2018?</w:t>
            </w:r>
          </w:p>
        </w:tc>
        <w:tc>
          <w:tcPr>
            <w:tcW w:w="2220" w:type="dxa"/>
            <w:hideMark/>
          </w:tcPr>
          <w:p w14:paraId="6474B7BF"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Missing or vague data points, lacks detail</w:t>
            </w:r>
          </w:p>
        </w:tc>
        <w:tc>
          <w:tcPr>
            <w:tcW w:w="2220" w:type="dxa"/>
            <w:hideMark/>
          </w:tcPr>
          <w:p w14:paraId="6CBA0ADA"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Comprehensive and accurate data, including product-wise sales</w:t>
            </w:r>
          </w:p>
        </w:tc>
        <w:tc>
          <w:tcPr>
            <w:tcW w:w="2220" w:type="dxa"/>
            <w:hideMark/>
          </w:tcPr>
          <w:p w14:paraId="383F3FB0"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Some creative elaboration but mostly accurate</w:t>
            </w:r>
          </w:p>
        </w:tc>
        <w:tc>
          <w:tcPr>
            <w:tcW w:w="2220" w:type="dxa"/>
            <w:hideMark/>
          </w:tcPr>
          <w:p w14:paraId="6D7B0B64"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Detailed, including sales by segment and comparisons to previous years</w:t>
            </w:r>
          </w:p>
        </w:tc>
      </w:tr>
      <w:tr w:rsidR="008E1132" w:rsidRPr="008E1132" w14:paraId="2002C263" w14:textId="77777777" w:rsidTr="008E1132">
        <w:trPr>
          <w:trHeight w:val="580"/>
        </w:trPr>
        <w:tc>
          <w:tcPr>
            <w:tcW w:w="2220" w:type="dxa"/>
            <w:hideMark/>
          </w:tcPr>
          <w:p w14:paraId="1B6619A3" w14:textId="77777777" w:rsidR="008E1132" w:rsidRPr="008E1132" w:rsidRDefault="008E1132" w:rsidP="008E1132">
            <w:pPr>
              <w:rPr>
                <w:rFonts w:ascii="Calibri" w:eastAsia="Times New Roman" w:hAnsi="Calibri" w:cs="Calibri"/>
                <w:b/>
                <w:bCs/>
                <w:color w:val="000000"/>
                <w:lang w:val="en-IN" w:eastAsia="en-IN"/>
              </w:rPr>
            </w:pPr>
            <w:r w:rsidRPr="008E1132">
              <w:rPr>
                <w:rFonts w:ascii="Calibri" w:eastAsia="Times New Roman" w:hAnsi="Calibri" w:cs="Calibri"/>
                <w:b/>
                <w:bCs/>
                <w:color w:val="000000"/>
                <w:lang w:val="en-IN" w:eastAsia="en-IN"/>
              </w:rPr>
              <w:t>3. How much were the NASDAQ stock dividends in 2016?</w:t>
            </w:r>
          </w:p>
        </w:tc>
        <w:tc>
          <w:tcPr>
            <w:tcW w:w="2220" w:type="dxa"/>
            <w:hideMark/>
          </w:tcPr>
          <w:p w14:paraId="36F25430"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Lacks specific details, general overview provided</w:t>
            </w:r>
          </w:p>
        </w:tc>
        <w:tc>
          <w:tcPr>
            <w:tcW w:w="2220" w:type="dxa"/>
            <w:hideMark/>
          </w:tcPr>
          <w:p w14:paraId="09948457"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Accurate dividend information, includes payout dates</w:t>
            </w:r>
          </w:p>
        </w:tc>
        <w:tc>
          <w:tcPr>
            <w:tcW w:w="2220" w:type="dxa"/>
            <w:hideMark/>
          </w:tcPr>
          <w:p w14:paraId="21A5BB59"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Accurate, but response includes speculative statements</w:t>
            </w:r>
          </w:p>
        </w:tc>
        <w:tc>
          <w:tcPr>
            <w:tcW w:w="2220" w:type="dxa"/>
            <w:hideMark/>
          </w:tcPr>
          <w:p w14:paraId="6E111295"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Thorough analysis with historical context and future projections</w:t>
            </w:r>
          </w:p>
        </w:tc>
      </w:tr>
      <w:tr w:rsidR="008E1132" w:rsidRPr="008E1132" w14:paraId="08C2A483" w14:textId="77777777" w:rsidTr="008E1132">
        <w:trPr>
          <w:trHeight w:val="870"/>
        </w:trPr>
        <w:tc>
          <w:tcPr>
            <w:tcW w:w="2220" w:type="dxa"/>
            <w:hideMark/>
          </w:tcPr>
          <w:p w14:paraId="24E804F1" w14:textId="77777777" w:rsidR="008E1132" w:rsidRPr="008E1132" w:rsidRDefault="008E1132" w:rsidP="008E1132">
            <w:pPr>
              <w:rPr>
                <w:rFonts w:ascii="Calibri" w:eastAsia="Times New Roman" w:hAnsi="Calibri" w:cs="Calibri"/>
                <w:b/>
                <w:bCs/>
                <w:color w:val="000000"/>
                <w:lang w:val="en-IN" w:eastAsia="en-IN"/>
              </w:rPr>
            </w:pPr>
            <w:r w:rsidRPr="008E1132">
              <w:rPr>
                <w:rFonts w:ascii="Calibri" w:eastAsia="Times New Roman" w:hAnsi="Calibri" w:cs="Calibri"/>
                <w:b/>
                <w:bCs/>
                <w:color w:val="000000"/>
                <w:lang w:val="en-IN" w:eastAsia="en-IN"/>
              </w:rPr>
              <w:t>4. How much were the NASDAQ stock dividends in 2017?</w:t>
            </w:r>
          </w:p>
        </w:tc>
        <w:tc>
          <w:tcPr>
            <w:tcW w:w="2220" w:type="dxa"/>
            <w:hideMark/>
          </w:tcPr>
          <w:p w14:paraId="74125522"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Incomplete information, lacks clarity</w:t>
            </w:r>
          </w:p>
        </w:tc>
        <w:tc>
          <w:tcPr>
            <w:tcW w:w="2220" w:type="dxa"/>
            <w:hideMark/>
          </w:tcPr>
          <w:p w14:paraId="7E58F368"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Detailed and precise figures with context</w:t>
            </w:r>
          </w:p>
        </w:tc>
        <w:tc>
          <w:tcPr>
            <w:tcW w:w="2220" w:type="dxa"/>
            <w:hideMark/>
          </w:tcPr>
          <w:p w14:paraId="357ED8F0"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Generally accurate but includes unrelated financial details</w:t>
            </w:r>
          </w:p>
        </w:tc>
        <w:tc>
          <w:tcPr>
            <w:tcW w:w="2220" w:type="dxa"/>
            <w:hideMark/>
          </w:tcPr>
          <w:p w14:paraId="5E554847"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Provides accurate figures and deeper insights into market conditions</w:t>
            </w:r>
          </w:p>
        </w:tc>
      </w:tr>
      <w:tr w:rsidR="008E1132" w:rsidRPr="008E1132" w14:paraId="1C5B92C0" w14:textId="77777777" w:rsidTr="008E1132">
        <w:trPr>
          <w:trHeight w:val="870"/>
        </w:trPr>
        <w:tc>
          <w:tcPr>
            <w:tcW w:w="2220" w:type="dxa"/>
            <w:hideMark/>
          </w:tcPr>
          <w:p w14:paraId="2E2DEB77" w14:textId="77777777" w:rsidR="008E1132" w:rsidRPr="008E1132" w:rsidRDefault="008E1132" w:rsidP="008E1132">
            <w:pPr>
              <w:rPr>
                <w:rFonts w:ascii="Calibri" w:eastAsia="Times New Roman" w:hAnsi="Calibri" w:cs="Calibri"/>
                <w:b/>
                <w:bCs/>
                <w:color w:val="000000"/>
                <w:lang w:val="en-IN" w:eastAsia="en-IN"/>
              </w:rPr>
            </w:pPr>
            <w:r w:rsidRPr="008E1132">
              <w:rPr>
                <w:rFonts w:ascii="Calibri" w:eastAsia="Times New Roman" w:hAnsi="Calibri" w:cs="Calibri"/>
                <w:b/>
                <w:bCs/>
                <w:color w:val="000000"/>
                <w:lang w:val="en-IN" w:eastAsia="en-IN"/>
              </w:rPr>
              <w:t>5. How much debt does NASDAQ have in 2018?</w:t>
            </w:r>
          </w:p>
        </w:tc>
        <w:tc>
          <w:tcPr>
            <w:tcW w:w="2220" w:type="dxa"/>
            <w:hideMark/>
          </w:tcPr>
          <w:p w14:paraId="32AEFEB6"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Vague response, lacking specifics</w:t>
            </w:r>
          </w:p>
        </w:tc>
        <w:tc>
          <w:tcPr>
            <w:tcW w:w="2220" w:type="dxa"/>
            <w:hideMark/>
          </w:tcPr>
          <w:p w14:paraId="7E6E54B8"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Detailed debt figures, including breakdowns by type</w:t>
            </w:r>
          </w:p>
        </w:tc>
        <w:tc>
          <w:tcPr>
            <w:tcW w:w="2220" w:type="dxa"/>
            <w:hideMark/>
          </w:tcPr>
          <w:p w14:paraId="69B5176B"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Mostly accurate but includes speculative elements</w:t>
            </w:r>
          </w:p>
        </w:tc>
        <w:tc>
          <w:tcPr>
            <w:tcW w:w="2220" w:type="dxa"/>
            <w:hideMark/>
          </w:tcPr>
          <w:p w14:paraId="63505862" w14:textId="77777777" w:rsidR="008E1132" w:rsidRPr="008E1132" w:rsidRDefault="008E1132" w:rsidP="008E1132">
            <w:pPr>
              <w:rPr>
                <w:rFonts w:ascii="Calibri" w:eastAsia="Times New Roman" w:hAnsi="Calibri" w:cs="Calibri"/>
                <w:color w:val="000000"/>
                <w:lang w:val="en-IN" w:eastAsia="en-IN"/>
              </w:rPr>
            </w:pPr>
            <w:r w:rsidRPr="008E1132">
              <w:rPr>
                <w:rFonts w:ascii="Calibri" w:eastAsia="Times New Roman" w:hAnsi="Calibri" w:cs="Calibri"/>
                <w:color w:val="000000"/>
                <w:lang w:val="en-IN" w:eastAsia="en-IN"/>
              </w:rPr>
              <w:t>Precise breakdown of debt structure, including long-term and short-term liabilities</w:t>
            </w:r>
          </w:p>
        </w:tc>
      </w:tr>
    </w:tbl>
    <w:p w14:paraId="3F76C90E" w14:textId="77777777" w:rsidR="008E1132" w:rsidRDefault="008E1132"/>
    <w:p w14:paraId="1C79EF9D" w14:textId="77777777" w:rsidR="008E1132" w:rsidRDefault="008E1132"/>
    <w:p w14:paraId="42173CE5" w14:textId="3068F45D" w:rsidR="008E1132" w:rsidRPr="008E1132" w:rsidRDefault="008E1132">
      <w:pPr>
        <w:rPr>
          <w:b/>
          <w:bCs/>
          <w:i/>
          <w:iCs/>
        </w:rPr>
      </w:pPr>
      <w:r w:rsidRPr="008E1132">
        <w:rPr>
          <w:b/>
          <w:bCs/>
          <w:i/>
          <w:iCs/>
        </w:rPr>
        <w:t>Inferences Drawn:</w:t>
      </w:r>
    </w:p>
    <w:p w14:paraId="17C5CF4B" w14:textId="77777777" w:rsidR="008E1132" w:rsidRDefault="008E1132"/>
    <w:p w14:paraId="71486203" w14:textId="77777777" w:rsidR="008E1132" w:rsidRDefault="008E1132" w:rsidP="008E1132">
      <w:r>
        <w:t>Result 1 (</w:t>
      </w:r>
      <w:proofErr w:type="spellStart"/>
      <w:r>
        <w:t>chunk_size</w:t>
      </w:r>
      <w:proofErr w:type="spellEnd"/>
      <w:r>
        <w:t>=500): The model response on a smaller chunk size; probably loss of context, less accurate gathering of information. This often results in vague and incomplete responses, missing key figures and details.</w:t>
      </w:r>
    </w:p>
    <w:p w14:paraId="42117AEB" w14:textId="77777777" w:rsidR="008E1132" w:rsidRDefault="008E1132" w:rsidP="008E1132"/>
    <w:p w14:paraId="00E4FA31" w14:textId="77777777" w:rsidR="008E1132" w:rsidRDefault="008E1132" w:rsidP="008E1132">
      <w:r>
        <w:t>Result 2 (</w:t>
      </w:r>
      <w:proofErr w:type="spellStart"/>
      <w:r>
        <w:t>chunk_size</w:t>
      </w:r>
      <w:proofErr w:type="spellEnd"/>
      <w:r>
        <w:t xml:space="preserve">=1000, </w:t>
      </w:r>
      <w:proofErr w:type="spellStart"/>
      <w:r>
        <w:t>chunk_overlap</w:t>
      </w:r>
      <w:proofErr w:type="spellEnd"/>
      <w:r>
        <w:t xml:space="preserve">=60): The response with the larger chunk size and overlap gives more accurate and detailed information due to better retention of context. </w:t>
      </w:r>
      <w:proofErr w:type="gramStart"/>
      <w:r>
        <w:t>What's</w:t>
      </w:r>
      <w:proofErr w:type="gramEnd"/>
      <w:r>
        <w:t xml:space="preserve"> more, this configuration holds coherence and extra detail that often gets lost on smaller chunk sizes.</w:t>
      </w:r>
    </w:p>
    <w:p w14:paraId="6B37DC26" w14:textId="77777777" w:rsidR="008E1132" w:rsidRDefault="008E1132" w:rsidP="008E1132"/>
    <w:p w14:paraId="6B5EC8E5" w14:textId="77777777" w:rsidR="008E1132" w:rsidRDefault="008E1132" w:rsidP="008E1132">
      <w:r>
        <w:t xml:space="preserve">Result 3: Temperature = 0.4. The response with a low temperature setting ensures that results are more deterministic and coherent, though </w:t>
      </w:r>
      <w:proofErr w:type="gramStart"/>
      <w:r>
        <w:t>inaccurate</w:t>
      </w:r>
      <w:proofErr w:type="gramEnd"/>
      <w:r>
        <w:t xml:space="preserve"> or speculative at times. The value creates a balance between creativity and accuracy. The response generally is coherent and on-topic.</w:t>
      </w:r>
    </w:p>
    <w:p w14:paraId="44F66238" w14:textId="77777777" w:rsidR="008E1132" w:rsidRDefault="008E1132" w:rsidP="008E1132"/>
    <w:p w14:paraId="270D3154" w14:textId="2E4DE1A5" w:rsidR="008E1132" w:rsidRDefault="008E1132" w:rsidP="008E1132">
      <w:r>
        <w:t>Result 4: This setting allows the model to consider more significant portions of the input it views, enabling responses to be very detailed and contextually rich in their information. It refines how the model retains and provides references for relevant information, resulting in fully accurate answers that include supplementary financial context, historical data, and future projections.</w:t>
      </w:r>
    </w:p>
    <w:sectPr w:rsidR="008E1132" w:rsidSect="008E11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23087236">
    <w:abstractNumId w:val="19"/>
  </w:num>
  <w:num w:numId="2" w16cid:durableId="2101559649">
    <w:abstractNumId w:val="12"/>
  </w:num>
  <w:num w:numId="3" w16cid:durableId="2030570637">
    <w:abstractNumId w:val="10"/>
  </w:num>
  <w:num w:numId="4" w16cid:durableId="646323451">
    <w:abstractNumId w:val="21"/>
  </w:num>
  <w:num w:numId="5" w16cid:durableId="1719428875">
    <w:abstractNumId w:val="13"/>
  </w:num>
  <w:num w:numId="6" w16cid:durableId="675039739">
    <w:abstractNumId w:val="16"/>
  </w:num>
  <w:num w:numId="7" w16cid:durableId="1938321389">
    <w:abstractNumId w:val="18"/>
  </w:num>
  <w:num w:numId="8" w16cid:durableId="515847662">
    <w:abstractNumId w:val="9"/>
  </w:num>
  <w:num w:numId="9" w16cid:durableId="1467550253">
    <w:abstractNumId w:val="7"/>
  </w:num>
  <w:num w:numId="10" w16cid:durableId="1657606929">
    <w:abstractNumId w:val="6"/>
  </w:num>
  <w:num w:numId="11" w16cid:durableId="1809547058">
    <w:abstractNumId w:val="5"/>
  </w:num>
  <w:num w:numId="12" w16cid:durableId="1497257659">
    <w:abstractNumId w:val="4"/>
  </w:num>
  <w:num w:numId="13" w16cid:durableId="541480106">
    <w:abstractNumId w:val="8"/>
  </w:num>
  <w:num w:numId="14" w16cid:durableId="1489009699">
    <w:abstractNumId w:val="3"/>
  </w:num>
  <w:num w:numId="15" w16cid:durableId="1220095697">
    <w:abstractNumId w:val="2"/>
  </w:num>
  <w:num w:numId="16" w16cid:durableId="2117166966">
    <w:abstractNumId w:val="1"/>
  </w:num>
  <w:num w:numId="17" w16cid:durableId="539904702">
    <w:abstractNumId w:val="0"/>
  </w:num>
  <w:num w:numId="18" w16cid:durableId="568266849">
    <w:abstractNumId w:val="14"/>
  </w:num>
  <w:num w:numId="19" w16cid:durableId="526725153">
    <w:abstractNumId w:val="15"/>
  </w:num>
  <w:num w:numId="20" w16cid:durableId="190844749">
    <w:abstractNumId w:val="20"/>
  </w:num>
  <w:num w:numId="21" w16cid:durableId="2126846869">
    <w:abstractNumId w:val="17"/>
  </w:num>
  <w:num w:numId="22" w16cid:durableId="1043166805">
    <w:abstractNumId w:val="11"/>
  </w:num>
  <w:num w:numId="23" w16cid:durableId="7722830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32"/>
    <w:rsid w:val="00645252"/>
    <w:rsid w:val="006D3D74"/>
    <w:rsid w:val="0083569A"/>
    <w:rsid w:val="00865EF7"/>
    <w:rsid w:val="008E1132"/>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DF14"/>
  <w15:chartTrackingRefBased/>
  <w15:docId w15:val="{D405E7FC-5051-4E26-9D62-3DA16039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8E1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5635">
      <w:bodyDiv w:val="1"/>
      <w:marLeft w:val="0"/>
      <w:marRight w:val="0"/>
      <w:marTop w:val="0"/>
      <w:marBottom w:val="0"/>
      <w:divBdr>
        <w:top w:val="none" w:sz="0" w:space="0" w:color="auto"/>
        <w:left w:val="none" w:sz="0" w:space="0" w:color="auto"/>
        <w:bottom w:val="none" w:sz="0" w:space="0" w:color="auto"/>
        <w:right w:val="none" w:sz="0" w:space="0" w:color="auto"/>
      </w:divBdr>
    </w:div>
    <w:div w:id="176039010">
      <w:bodyDiv w:val="1"/>
      <w:marLeft w:val="0"/>
      <w:marRight w:val="0"/>
      <w:marTop w:val="0"/>
      <w:marBottom w:val="0"/>
      <w:divBdr>
        <w:top w:val="none" w:sz="0" w:space="0" w:color="auto"/>
        <w:left w:val="none" w:sz="0" w:space="0" w:color="auto"/>
        <w:bottom w:val="none" w:sz="0" w:space="0" w:color="auto"/>
        <w:right w:val="none" w:sz="0" w:space="0" w:color="auto"/>
      </w:divBdr>
    </w:div>
    <w:div w:id="990715688">
      <w:bodyDiv w:val="1"/>
      <w:marLeft w:val="0"/>
      <w:marRight w:val="0"/>
      <w:marTop w:val="0"/>
      <w:marBottom w:val="0"/>
      <w:divBdr>
        <w:top w:val="none" w:sz="0" w:space="0" w:color="auto"/>
        <w:left w:val="none" w:sz="0" w:space="0" w:color="auto"/>
        <w:bottom w:val="none" w:sz="0" w:space="0" w:color="auto"/>
        <w:right w:val="none" w:sz="0" w:space="0" w:color="auto"/>
      </w:divBdr>
    </w:div>
    <w:div w:id="1288661061">
      <w:bodyDiv w:val="1"/>
      <w:marLeft w:val="0"/>
      <w:marRight w:val="0"/>
      <w:marTop w:val="0"/>
      <w:marBottom w:val="0"/>
      <w:divBdr>
        <w:top w:val="none" w:sz="0" w:space="0" w:color="auto"/>
        <w:left w:val="none" w:sz="0" w:space="0" w:color="auto"/>
        <w:bottom w:val="none" w:sz="0" w:space="0" w:color="auto"/>
        <w:right w:val="none" w:sz="0" w:space="0" w:color="auto"/>
      </w:divBdr>
    </w:div>
    <w:div w:id="1327438610">
      <w:bodyDiv w:val="1"/>
      <w:marLeft w:val="0"/>
      <w:marRight w:val="0"/>
      <w:marTop w:val="0"/>
      <w:marBottom w:val="0"/>
      <w:divBdr>
        <w:top w:val="none" w:sz="0" w:space="0" w:color="auto"/>
        <w:left w:val="none" w:sz="0" w:space="0" w:color="auto"/>
        <w:bottom w:val="none" w:sz="0" w:space="0" w:color="auto"/>
        <w:right w:val="none" w:sz="0" w:space="0" w:color="auto"/>
      </w:divBdr>
    </w:div>
    <w:div w:id="1376588949">
      <w:bodyDiv w:val="1"/>
      <w:marLeft w:val="0"/>
      <w:marRight w:val="0"/>
      <w:marTop w:val="0"/>
      <w:marBottom w:val="0"/>
      <w:divBdr>
        <w:top w:val="none" w:sz="0" w:space="0" w:color="auto"/>
        <w:left w:val="none" w:sz="0" w:space="0" w:color="auto"/>
        <w:bottom w:val="none" w:sz="0" w:space="0" w:color="auto"/>
        <w:right w:val="none" w:sz="0" w:space="0" w:color="auto"/>
      </w:divBdr>
    </w:div>
    <w:div w:id="1776056752">
      <w:bodyDiv w:val="1"/>
      <w:marLeft w:val="0"/>
      <w:marRight w:val="0"/>
      <w:marTop w:val="0"/>
      <w:marBottom w:val="0"/>
      <w:divBdr>
        <w:top w:val="none" w:sz="0" w:space="0" w:color="auto"/>
        <w:left w:val="none" w:sz="0" w:space="0" w:color="auto"/>
        <w:bottom w:val="none" w:sz="0" w:space="0" w:color="auto"/>
        <w:right w:val="none" w:sz="0" w:space="0" w:color="auto"/>
      </w:divBdr>
    </w:div>
    <w:div w:id="208957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rk\AppData\Local\Microsoft\Office\16.0\DTS\en-IN%7b67F5373D-6333-477B-BDC1-7DC0CDD99D17%7d\%7b17EFEAA7-5F2F-4E6F-9712-A17987A28AE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{17EFEAA7-5F2F-4E6F-9712-A17987A28AE4}tf02786999_win32.dotx</Template>
  <TotalTime>8</TotalTime>
  <Pages>1</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Kulkarni</dc:creator>
  <cp:keywords/>
  <dc:description/>
  <cp:lastModifiedBy>Prerana Kulkarni</cp:lastModifiedBy>
  <cp:revision>1</cp:revision>
  <dcterms:created xsi:type="dcterms:W3CDTF">2024-08-02T17:19:00Z</dcterms:created>
  <dcterms:modified xsi:type="dcterms:W3CDTF">2024-08-02T17:27:00Z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