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10" w:type="pct"/>
        <w:tblInd w:w="-8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841"/>
        <w:gridCol w:w="1365"/>
        <w:gridCol w:w="998"/>
        <w:gridCol w:w="755"/>
        <w:gridCol w:w="1136"/>
        <w:gridCol w:w="2164"/>
        <w:gridCol w:w="588"/>
        <w:gridCol w:w="1078"/>
      </w:tblGrid>
      <w:tr>
        <w:trPr>
          <w:trHeight w:val="285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测试用例编号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功能点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用例说明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前置条件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输入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执行步骤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预期结果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重要程度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执行用例测试结果</w:t>
            </w:r>
          </w:p>
        </w:tc>
      </w:tr>
      <w:tr>
        <w:trPr>
          <w:trHeight w:val="270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模块（测试用例个数：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9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个）</w:t>
            </w: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-001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仓库创建界面登陆测试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仓库创建界面文字正确性验证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食品仓储管理界面正常显示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打开仓库创建界面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打开仓库创</w:t>
            </w:r>
            <w:bookmarkStart w:id="0" w:name="_GoBack"/>
            <w:bookmarkEnd w:id="0"/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建界面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2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创建仓库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创建仓库成功正确性验证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创建仓库界面正常显示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添加仓库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在前端界面创建仓库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食品仓库可以被成功创建并在前后端均有显示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color w:val="FF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3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186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4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5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  <w:lang w:eastAsia="zh-CN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添加食品和食品各项参数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在前端界面添加食品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食品能正确的添加进数据库并在前端界面能正确显示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6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二维码扫描食品入库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能够通过二维码的形式一键将食品入库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食品信息二维码正确生成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使用手机APP扫描二维码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使用手机APP扫描食品信息二维码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食品能正确的通过二维码扫描的方式添加进库存，并在前端界面能正常显示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7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食品成功添加到库中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点击食品删除按钮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点击食品删除按钮弹出是否删除食品对话框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8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删除食品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在前端界面删除食品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食品能正确的从数据中删除并且在前端界面也删除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9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食品转移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食品仓库转移成功正确性验证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库存界面正常显示、食品成功入库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转移仓库中存在的食品到其他仓库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转移仓库中的存在的食品到其他仓库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食品能正确的从源仓库转移到目标仓库并对仓库记录做修改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FD8F6"/>
    <w:rsid w:val="790FD8F6"/>
    <w:rsid w:val="7F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2022-06-03T19:01:00Z</dcterms:created>
  <dc:creator>东亚雄狮</dc:creator>
  <cp:lastModifiedBy>东亚雄狮</cp:lastModifiedBy>
  <dcterms:modified xsi:type="dcterms:W3CDTF">2022-06-04T21:34:09Z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9C3897E21D9775AE957999622B9A0AF0</vt:lpwstr>
  </property>
</Properties>
</file>