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32"/>
        <w:gridCol w:w="7056"/>
        <w:tblGridChange w:id="0">
          <w:tblGrid>
            <w:gridCol w:w="2232"/>
            <w:gridCol w:w="70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UC 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User adjusts the size of the media player display.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Shane Arwood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Subscriber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 user wants to switch between the default player, mini player, and full screen player.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Value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 case details the case that the user wants to change the size of the media player. The system initially allows the user to play a song and opens the default media player, then adjusts the size of the player when the user chooses. 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Main Success Scenario </w:t>
      </w:r>
    </w:p>
    <w:tbl>
      <w:tblPr>
        <w:tblStyle w:val="Table2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screen icon on the media player that indicates they want to change the media player view.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options: “Default Player”, “Mini Player”, and “Full Screen”.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a display option different than the one currently being used (for example, switching from default to full screen)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confirmation message: “Switch to &lt;the display the user chose&gt;?”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“Yes”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changes the media player display to the one the user chose. 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1: User selects the same display currently being used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User selects to switch to the same display they’re already in.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screen icon on the media player that indicates they want to change the media player view.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options: “Default Player”, “Mini Player”, and “Full Screen”.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to switch to the media player display currently being used.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the error message: “Already in &lt;default/mini/full screen&gt; view”.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clicks outside the error message or clicks the “x” on the dialogue box.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error message.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Alternative Failure Scenario 2: User fails to confirm to switch the display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Trigger Condition</w:t>
      </w:r>
      <w:r w:rsidDel="00000000" w:rsidR="00000000" w:rsidRPr="00000000">
        <w:rPr>
          <w:rtl w:val="0"/>
        </w:rPr>
        <w:t xml:space="preserve">: When prompted for confirmation after choosing a view to switch to, the user declines.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4"/>
        <w:gridCol w:w="3838"/>
        <w:gridCol w:w="4680"/>
        <w:tblGridChange w:id="0">
          <w:tblGrid>
            <w:gridCol w:w="734"/>
            <w:gridCol w:w="3838"/>
            <w:gridCol w:w="4680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the screen icon on the media player that indicates they want to change the media player view.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list of options: “Default Player”, “Mini Player”, and “Full Screen”.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selects a display option different than the one currently being used (for example, switching from default to full screen)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displays a confirmation message: “Switch to &lt;the display the user chose&gt;?”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“No”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dialogue box without changing the media player view.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8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2"/>
        <w:gridCol w:w="6966"/>
        <w:tblGridChange w:id="0">
          <w:tblGrid>
            <w:gridCol w:w="2322"/>
            <w:gridCol w:w="6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Event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The user selected the change media player view icon.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user already has the media player open.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Execution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Occasionally (several times per week)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Criteria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The media player is in the view the user chose.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Cost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Discussion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Depending on the device, there might not be certain displays available (such as the mini player not being available on a mobile device). The developers will have to ensure that the list of options to switch the display to only include those compatible with the device. 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Issues / Risks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system should switch the display in under 3 seconds. It should also only switch the display when the chosen display is available on the user’s device.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UML Activity Diagrams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7511285" cy="45100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1526" l="13715" r="7638" t="373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1285" cy="451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 w:val="1"/>
    <w:rsid w:val="00741FD4"/>
    <w:pPr>
      <w:keepNext w:val="1"/>
      <w:spacing w:after="60" w:before="240"/>
      <w:outlineLvl w:val="1"/>
    </w:pPr>
    <w:rPr>
      <w:rFonts w:cs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240"/>
      <w:outlineLvl w:val="2"/>
    </w:pPr>
    <w:rPr>
      <w:rFonts w:cs="Arial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5583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 w:val="1"/>
    <w:rsid w:val="0085583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FhP5zF2L3D5s5t8JI+2mTVbIw==">AMUW2mVHpi7qQWo1I+P6E95+hP85oUSSGifvol1tlV1g0ZUd5HSywCkPGRD6pcCbxXt2we3Gq064zkSPx14dCMsg2Lrmy22ChiYkjg6ycmyK2Jmfz+aZZF4=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2013-02-23T17:22:00Z</dcterms:created>
  <dc:creator>Michael Christiansen</dc:creator>
</cp:coreProperties>
</file>