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g5vj7z9a94r3" w:id="0"/>
      <w:bookmarkEnd w:id="0"/>
      <w:r w:rsidDel="00000000" w:rsidR="00000000" w:rsidRPr="00000000">
        <w:rPr>
          <w:rtl w:val="0"/>
        </w:rPr>
        <w:t xml:space="preserve">Green Coffee Foundation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and Practical printouts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Green Samples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Washed SHG/B EP Central American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Robusta (Vietnam or India)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Low Grade Ethiopia (Gr 5, high defect count)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Brazil NY 2 SS FC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Something with moisture issue (too high or low)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SHB/G screened to 95% in screen 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Ethiopia Yirgacheffe Natural Gr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Ethiopia Yirgacheffe Washed Gr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Roasted Samples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Brazil NY 2 SS FC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Robusta (Vietnam or India)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Equipment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roaster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Sizing screens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Moisture meter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Flavoractiv kit series one (earthy, musty, grassy, leathery)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cups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labels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Samples can be collected from past samples from importers or provided by Serengeti - basically free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Recurring cost for Flavoractiv capsules per class ~$100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SCA certificate fee per student ~$36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