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Green Coffee Intermediate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Green Samples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Colombia Excelso or Supremo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Kenya AA or AB</w:t>
        <w:br w:type="textWrapping"/>
        <w:t xml:space="preserve">India Robusta Grade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</w:t>
        <w:br w:type="textWrapping"/>
        <w:t xml:space="preserve">Full Black</w:t>
        <w:br w:type="textWrapping"/>
        <w:t xml:space="preserve">Severe Insect Damage</w:t>
        <w:br w:type="textWrapping"/>
        <w:t xml:space="preserve">Immature</w:t>
        <w:br w:type="textWrapping"/>
        <w:t xml:space="preserve">Broken/Chipped Bean</w:t>
        <w:br w:type="textWrapping"/>
        <w:t xml:space="preserve">Floater</w:t>
        <w:br w:type="textWrapping"/>
        <w:t xml:space="preserve">Parchment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Partial Black</w:t>
        <w:br w:type="textWrapping"/>
        <w:t xml:space="preserve">Foreign Matter</w:t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Washed Process Caturra Variety Arabica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Washed Process Pacamara Variety Arabica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Natural Processed Robusta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Natural Processed Arabica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Washed Processed Robusta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Monsooned Malabar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Decaffeinated Arabica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Washed Process Arabica Current Crop</w:t>
        <w:br w:type="textWrapping"/>
        <w:t xml:space="preserve">o Washed Process Arabica Past Crop</w:t>
        <w:br w:type="textWrapping"/>
        <w:t xml:space="preserve">o Natural Processed Robusta Current Crop</w:t>
        <w:br w:type="textWrapping"/>
        <w:t xml:space="preserve">o Wet Hulled Arabica Current Crop</w:t>
        <w:br w:type="textWrapping"/>
        <w:t xml:space="preserve">o Washed Processed Robusta Current Crop</w:t>
        <w:br w:type="textWrapping"/>
        <w:t xml:space="preserve">o Monsooned Malabar</w:t>
        <w:br w:type="textWrapping"/>
        <w:t xml:space="preserve">o Decaffeinated Arabica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Roasted Samples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Latin American SHG/B type 81 – 83 SCAA scoring</w:t>
        <w:br w:type="textWrapping"/>
        <w:t xml:space="preserve">washed mild with medium intensity and quality acidity and predominant flavors of caramel,</w:t>
        <w:br w:type="textWrapping"/>
        <w:t xml:space="preserve">peanut or almond and citrus fruit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washed SHG/B type clean with no defects, variability across cups or sign of</w:t>
        <w:br w:type="textWrapping"/>
        <w:t xml:space="preserve">Age (Scoring 84 – 86 on SCAA)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washed SHG/B type with no signs of age but may show variability</w:t>
        <w:br w:type="textWrapping"/>
        <w:t xml:space="preserve">(Scoring 76 – 78 on SCAA)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Flavoractiv capsules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Grassy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Leather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Earthy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Moisture and Density meter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Samples can be collected from past samples from importers or provided by Serengeti - basically free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Recurring cost for Flavoractiv capsules per class ~$100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ff0000"/>
          <w:rtl w:val="0"/>
        </w:rPr>
        <w:t xml:space="preserve">SCA certificate fee per student ~$36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