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14:paraId="2F4337B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Summary of Predictive Insights</w:t>
      </w:r>
    </w:p>
    <w:p w14:paraId="40BE55F5" w14:textId="77777777" w:rsidR="007D72C2" w:rsidRPr="00A537D1" w:rsidRDefault="00A537D1">
      <w:pPr>
        <w:rPr>
          <w:rFonts w:ascii="Arial" w:hAnsi="Arial" w:cs="Arial"/>
          <w:color w:val="000000" w:themeColor="text1"/>
        </w:rPr>
      </w:pPr>
      <w:r w:rsidRPr="00A537D1">
        <w:rPr>
          <w:rFonts w:ascii="Arial" w:hAnsi="Arial" w:cs="Arial"/>
          <w:color w:val="000000" w:themeColor="text1"/>
        </w:rPr>
        <w:t>Briefly restate your model’s findings from Task 2. Focus on high-risk segments, key predictors of delinquency (e.g., missed payments, credit utilization), and any meaningful patterns the Collections team should be aware of.</w:t>
      </w:r>
      <w:r w:rsidRPr="00A537D1">
        <w:rPr>
          <w:rFonts w:ascii="Arial" w:hAnsi="Arial" w:cs="Arial"/>
          <w:color w:val="000000" w:themeColor="text1"/>
        </w:rPr>
        <w:br/>
      </w:r>
      <w:r w:rsidRPr="00A537D1">
        <w:rPr>
          <w:rFonts w:ascii="Arial" w:hAnsi="Arial" w:cs="Arial"/>
          <w:color w:val="000000" w:themeColor="text1"/>
        </w:rPr>
        <w:br/>
        <w:t>Tip: Use 2–3 bullet points or short paragraphs. Refer to the dataset and insights you uncovered.</w:t>
      </w:r>
    </w:p>
    <w:p w14:paraId="60F471FE" w14:textId="77777777" w:rsidR="007D72C2" w:rsidRDefault="00A537D1">
      <w:pPr>
        <w:rPr>
          <w:rFonts w:ascii="Arial" w:hAnsi="Arial" w:cs="Arial"/>
          <w:color w:val="000000" w:themeColor="text1"/>
        </w:rPr>
      </w:pPr>
      <w:r w:rsidRPr="00A537D1">
        <w:rPr>
          <w:rFonts w:ascii="Arial" w:hAnsi="Arial" w:cs="Arial"/>
          <w:color w:val="000000" w:themeColor="text1"/>
        </w:rPr>
        <w:t>Optional: Include a Key Insights Summary Table (you may create this in Excel or insert manually).</w:t>
      </w:r>
    </w:p>
    <w:tbl>
      <w:tblPr>
        <w:tblW w:w="5000" w:type="pct"/>
        <w:tblCellMar>
          <w:left w:w="30" w:type="dxa"/>
          <w:right w:w="30" w:type="dxa"/>
        </w:tblCellMar>
        <w:tblLook w:val="0000" w:firstRow="0" w:lastRow="0" w:firstColumn="0" w:lastColumn="0" w:noHBand="0" w:noVBand="0"/>
      </w:tblPr>
      <w:tblGrid>
        <w:gridCol w:w="1930"/>
        <w:gridCol w:w="2380"/>
        <w:gridCol w:w="1817"/>
        <w:gridCol w:w="2573"/>
      </w:tblGrid>
      <w:tr w:rsidR="00A537D1" w:rsidRPr="00A537D1" w14:paraId="36311A05" w14:textId="77777777" w:rsidTr="0006461E">
        <w:trPr>
          <w:trHeight w:val="332"/>
        </w:trPr>
        <w:tc>
          <w:tcPr>
            <w:tcW w:w="1109" w:type="pct"/>
            <w:tcBorders>
              <w:top w:val="single" w:sz="6" w:space="0" w:color="auto"/>
              <w:left w:val="single" w:sz="6" w:space="0" w:color="auto"/>
              <w:bottom w:val="single" w:sz="6" w:space="0" w:color="auto"/>
              <w:right w:val="single" w:sz="6" w:space="0" w:color="auto"/>
            </w:tcBorders>
          </w:tcPr>
          <w:p w14:paraId="0CD6A7EA"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Key Insight</w:t>
            </w:r>
          </w:p>
        </w:tc>
        <w:tc>
          <w:tcPr>
            <w:tcW w:w="1368" w:type="pct"/>
            <w:tcBorders>
              <w:top w:val="single" w:sz="6" w:space="0" w:color="auto"/>
              <w:left w:val="single" w:sz="6" w:space="0" w:color="auto"/>
              <w:bottom w:val="single" w:sz="6" w:space="0" w:color="auto"/>
              <w:right w:val="single" w:sz="6" w:space="0" w:color="auto"/>
            </w:tcBorders>
          </w:tcPr>
          <w:p w14:paraId="21F469F1"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Customer Segment</w:t>
            </w:r>
          </w:p>
        </w:tc>
        <w:tc>
          <w:tcPr>
            <w:tcW w:w="1044" w:type="pct"/>
            <w:tcBorders>
              <w:top w:val="single" w:sz="6" w:space="0" w:color="auto"/>
              <w:left w:val="single" w:sz="6" w:space="0" w:color="auto"/>
              <w:bottom w:val="single" w:sz="6" w:space="0" w:color="auto"/>
              <w:right w:val="single" w:sz="6" w:space="0" w:color="auto"/>
            </w:tcBorders>
          </w:tcPr>
          <w:p w14:paraId="3891034A"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Influencing Variables</w:t>
            </w:r>
          </w:p>
        </w:tc>
        <w:tc>
          <w:tcPr>
            <w:tcW w:w="1479" w:type="pct"/>
            <w:tcBorders>
              <w:top w:val="single" w:sz="6" w:space="0" w:color="auto"/>
              <w:left w:val="single" w:sz="6" w:space="0" w:color="auto"/>
              <w:bottom w:val="single" w:sz="6" w:space="0" w:color="auto"/>
              <w:right w:val="single" w:sz="6" w:space="0" w:color="auto"/>
            </w:tcBorders>
          </w:tcPr>
          <w:p w14:paraId="2E380553"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Potential Impact</w:t>
            </w:r>
          </w:p>
        </w:tc>
      </w:tr>
      <w:tr w:rsidR="0006461E" w:rsidRPr="00A537D1" w14:paraId="4217145F" w14:textId="77777777" w:rsidTr="0006461E">
        <w:trPr>
          <w:trHeight w:val="782"/>
        </w:trPr>
        <w:tc>
          <w:tcPr>
            <w:tcW w:w="1109" w:type="pct"/>
            <w:tcBorders>
              <w:top w:val="single" w:sz="6" w:space="0" w:color="auto"/>
              <w:left w:val="single" w:sz="6" w:space="0" w:color="auto"/>
              <w:bottom w:val="single" w:sz="6" w:space="0" w:color="auto"/>
              <w:right w:val="single" w:sz="6" w:space="0" w:color="auto"/>
            </w:tcBorders>
          </w:tcPr>
          <w:p w14:paraId="14BFF5A1" w14:textId="326CEE6C" w:rsidR="0006461E" w:rsidRPr="00A537D1" w:rsidRDefault="0006461E" w:rsidP="0006461E">
            <w:pPr>
              <w:rPr>
                <w:rFonts w:ascii="Arial" w:hAnsi="Arial" w:cs="Arial"/>
                <w:color w:val="000000" w:themeColor="text1"/>
                <w:sz w:val="20"/>
                <w:szCs w:val="20"/>
                <w:lang w:val="en-GB"/>
              </w:rPr>
            </w:pPr>
            <w:r w:rsidRPr="00D85AEB">
              <w:t>Overall delinquency rate is 16.0% (80/500).</w:t>
            </w:r>
          </w:p>
        </w:tc>
        <w:tc>
          <w:tcPr>
            <w:tcW w:w="1368" w:type="pct"/>
            <w:tcBorders>
              <w:top w:val="single" w:sz="6" w:space="0" w:color="auto"/>
              <w:left w:val="single" w:sz="6" w:space="0" w:color="auto"/>
              <w:bottom w:val="single" w:sz="6" w:space="0" w:color="auto"/>
              <w:right w:val="single" w:sz="6" w:space="0" w:color="auto"/>
            </w:tcBorders>
          </w:tcPr>
          <w:p w14:paraId="233EE3BA" w14:textId="18036B85" w:rsidR="0006461E" w:rsidRPr="0006461E" w:rsidRDefault="0006461E" w:rsidP="0006461E">
            <w:pPr>
              <w:rPr>
                <w:rFonts w:ascii="Arial" w:hAnsi="Arial" w:cs="Arial" w:hint="eastAsia"/>
                <w:color w:val="000000" w:themeColor="text1"/>
                <w:sz w:val="20"/>
                <w:szCs w:val="20"/>
                <w:lang w:eastAsia="ko-KR"/>
              </w:rPr>
            </w:pPr>
            <w:r w:rsidRPr="00D85AEB">
              <w:t>All customers</w:t>
            </w:r>
          </w:p>
        </w:tc>
        <w:tc>
          <w:tcPr>
            <w:tcW w:w="1044" w:type="pct"/>
            <w:tcBorders>
              <w:top w:val="single" w:sz="6" w:space="0" w:color="auto"/>
              <w:left w:val="single" w:sz="6" w:space="0" w:color="auto"/>
              <w:bottom w:val="single" w:sz="6" w:space="0" w:color="auto"/>
              <w:right w:val="single" w:sz="6" w:space="0" w:color="auto"/>
            </w:tcBorders>
          </w:tcPr>
          <w:p w14:paraId="3EB31FED" w14:textId="05C76455" w:rsidR="0006461E" w:rsidRPr="00A537D1" w:rsidRDefault="0006461E" w:rsidP="0006461E">
            <w:pPr>
              <w:rPr>
                <w:rFonts w:ascii="Arial" w:hAnsi="Arial" w:cs="Arial"/>
                <w:color w:val="000000" w:themeColor="text1"/>
                <w:sz w:val="20"/>
                <w:szCs w:val="20"/>
                <w:lang w:val="en-GB"/>
              </w:rPr>
            </w:pPr>
            <w:r w:rsidRPr="00D85AEB">
              <w:t>Delinquency status</w:t>
            </w:r>
          </w:p>
        </w:tc>
        <w:tc>
          <w:tcPr>
            <w:tcW w:w="1479" w:type="pct"/>
            <w:tcBorders>
              <w:top w:val="single" w:sz="6" w:space="0" w:color="auto"/>
              <w:left w:val="single" w:sz="6" w:space="0" w:color="auto"/>
              <w:bottom w:val="single" w:sz="6" w:space="0" w:color="auto"/>
              <w:right w:val="single" w:sz="6" w:space="0" w:color="auto"/>
            </w:tcBorders>
          </w:tcPr>
          <w:p w14:paraId="78DC9A44" w14:textId="15341EE8" w:rsidR="0006461E" w:rsidRPr="00A537D1" w:rsidRDefault="0006461E" w:rsidP="0006461E">
            <w:pPr>
              <w:rPr>
                <w:rFonts w:ascii="Arial" w:hAnsi="Arial" w:cs="Arial"/>
                <w:color w:val="000000" w:themeColor="text1"/>
                <w:sz w:val="20"/>
                <w:szCs w:val="20"/>
                <w:lang w:val="en-GB"/>
              </w:rPr>
            </w:pPr>
            <w:r w:rsidRPr="00D85AEB">
              <w:t>Establishes a baseline risk level against which higher-risk customer segments can be compared.</w:t>
            </w:r>
          </w:p>
        </w:tc>
      </w:tr>
      <w:tr w:rsidR="0006461E" w:rsidRPr="00A537D1" w14:paraId="1362A66F" w14:textId="77777777" w:rsidTr="0006461E">
        <w:trPr>
          <w:trHeight w:val="782"/>
        </w:trPr>
        <w:tc>
          <w:tcPr>
            <w:tcW w:w="1109" w:type="pct"/>
            <w:tcBorders>
              <w:top w:val="single" w:sz="6" w:space="0" w:color="auto"/>
              <w:left w:val="single" w:sz="6" w:space="0" w:color="auto"/>
              <w:bottom w:val="single" w:sz="6" w:space="0" w:color="auto"/>
              <w:right w:val="single" w:sz="6" w:space="0" w:color="auto"/>
            </w:tcBorders>
          </w:tcPr>
          <w:p w14:paraId="1E2CAACA" w14:textId="623D26F3" w:rsidR="0006461E" w:rsidRPr="00A537D1" w:rsidRDefault="0006461E" w:rsidP="0006461E">
            <w:pPr>
              <w:rPr>
                <w:rFonts w:ascii="Arial" w:hAnsi="Arial" w:cs="Arial"/>
                <w:color w:val="000000" w:themeColor="text1"/>
                <w:sz w:val="20"/>
                <w:szCs w:val="20"/>
                <w:lang w:val="en-GB"/>
              </w:rPr>
            </w:pPr>
            <w:r w:rsidRPr="00E000D5">
              <w:t>Age 46.5–59.25: 22.4% delinquency (1.40× baseline), highest age-based rate.</w:t>
            </w:r>
          </w:p>
        </w:tc>
        <w:tc>
          <w:tcPr>
            <w:tcW w:w="1368" w:type="pct"/>
            <w:tcBorders>
              <w:top w:val="single" w:sz="6" w:space="0" w:color="auto"/>
              <w:left w:val="single" w:sz="6" w:space="0" w:color="auto"/>
              <w:bottom w:val="single" w:sz="6" w:space="0" w:color="auto"/>
              <w:right w:val="single" w:sz="6" w:space="0" w:color="auto"/>
            </w:tcBorders>
          </w:tcPr>
          <w:p w14:paraId="32A0D42F" w14:textId="6F3F2220" w:rsidR="0006461E" w:rsidRPr="00D922F5" w:rsidRDefault="0006461E" w:rsidP="0006461E">
            <w:pPr>
              <w:spacing w:after="80" w:line="240" w:lineRule="auto"/>
              <w:rPr>
                <w:rFonts w:ascii="Malgun Gothic" w:eastAsia="Malgun Gothic" w:hAnsi="Malgun Gothic" w:cs="Malgun Gothic"/>
                <w:lang w:eastAsia="ko-KR"/>
              </w:rPr>
            </w:pPr>
            <w:r w:rsidRPr="00E000D5">
              <w:t>Customers aged 46.5–59.25</w:t>
            </w:r>
          </w:p>
        </w:tc>
        <w:tc>
          <w:tcPr>
            <w:tcW w:w="1044" w:type="pct"/>
            <w:tcBorders>
              <w:top w:val="single" w:sz="6" w:space="0" w:color="auto"/>
              <w:left w:val="single" w:sz="6" w:space="0" w:color="auto"/>
              <w:bottom w:val="single" w:sz="6" w:space="0" w:color="auto"/>
              <w:right w:val="single" w:sz="6" w:space="0" w:color="auto"/>
            </w:tcBorders>
          </w:tcPr>
          <w:p w14:paraId="5EF8EFE1" w14:textId="65A23C82" w:rsidR="0006461E" w:rsidRPr="00A537D1" w:rsidRDefault="0006461E" w:rsidP="0006461E">
            <w:pPr>
              <w:rPr>
                <w:rFonts w:ascii="Arial" w:hAnsi="Arial" w:cs="Arial"/>
                <w:color w:val="000000" w:themeColor="text1"/>
                <w:sz w:val="20"/>
                <w:szCs w:val="20"/>
                <w:lang w:val="en-GB"/>
              </w:rPr>
            </w:pPr>
            <w:r w:rsidRPr="00E000D5">
              <w:t>Age, Delinquency</w:t>
            </w:r>
          </w:p>
        </w:tc>
        <w:tc>
          <w:tcPr>
            <w:tcW w:w="1479" w:type="pct"/>
            <w:tcBorders>
              <w:top w:val="single" w:sz="6" w:space="0" w:color="auto"/>
              <w:left w:val="single" w:sz="6" w:space="0" w:color="auto"/>
              <w:bottom w:val="single" w:sz="6" w:space="0" w:color="auto"/>
              <w:right w:val="single" w:sz="6" w:space="0" w:color="auto"/>
            </w:tcBorders>
          </w:tcPr>
          <w:p w14:paraId="0F177EA8" w14:textId="1BF82BEF" w:rsidR="0006461E" w:rsidRPr="00A537D1" w:rsidRDefault="0006461E" w:rsidP="0006461E">
            <w:pPr>
              <w:rPr>
                <w:rFonts w:ascii="Arial" w:hAnsi="Arial" w:cs="Arial"/>
                <w:color w:val="000000" w:themeColor="text1"/>
                <w:sz w:val="20"/>
                <w:szCs w:val="20"/>
                <w:lang w:val="en-GB"/>
              </w:rPr>
            </w:pPr>
            <w:r w:rsidRPr="00E000D5">
              <w:t>This segment could be prioritized for further risk assessment, as its observed delinquency rate is substantially above the portfolio average.</w:t>
            </w:r>
          </w:p>
        </w:tc>
      </w:tr>
      <w:tr w:rsidR="0006461E" w:rsidRPr="00A537D1" w14:paraId="0F6105AE" w14:textId="77777777" w:rsidTr="0006461E">
        <w:trPr>
          <w:trHeight w:val="782"/>
        </w:trPr>
        <w:tc>
          <w:tcPr>
            <w:tcW w:w="1109" w:type="pct"/>
            <w:tcBorders>
              <w:top w:val="single" w:sz="6" w:space="0" w:color="auto"/>
              <w:left w:val="single" w:sz="6" w:space="0" w:color="auto"/>
              <w:bottom w:val="single" w:sz="6" w:space="0" w:color="auto"/>
              <w:right w:val="single" w:sz="6" w:space="0" w:color="auto"/>
            </w:tcBorders>
          </w:tcPr>
          <w:p w14:paraId="27ED5074" w14:textId="1ABA2819" w:rsidR="0006461E" w:rsidRPr="00A537D1" w:rsidRDefault="0006461E" w:rsidP="0006461E">
            <w:pPr>
              <w:rPr>
                <w:rFonts w:ascii="Arial" w:hAnsi="Arial" w:cs="Arial"/>
                <w:color w:val="000000" w:themeColor="text1"/>
                <w:sz w:val="20"/>
                <w:szCs w:val="20"/>
                <w:lang w:val="en-GB"/>
              </w:rPr>
            </w:pPr>
            <w:r w:rsidRPr="00E000D5">
              <w:t>Missing/invalid Loan Balance: 24.1% delinquency (1.51× baseline), highest among examined groups.</w:t>
            </w:r>
          </w:p>
        </w:tc>
        <w:tc>
          <w:tcPr>
            <w:tcW w:w="1368" w:type="pct"/>
            <w:tcBorders>
              <w:top w:val="single" w:sz="6" w:space="0" w:color="auto"/>
              <w:left w:val="single" w:sz="6" w:space="0" w:color="auto"/>
              <w:bottom w:val="single" w:sz="6" w:space="0" w:color="auto"/>
              <w:right w:val="single" w:sz="6" w:space="0" w:color="auto"/>
            </w:tcBorders>
          </w:tcPr>
          <w:p w14:paraId="56342AC9" w14:textId="27179656" w:rsidR="0006461E" w:rsidRDefault="0006461E" w:rsidP="0006461E">
            <w:pPr>
              <w:spacing w:after="80" w:line="240" w:lineRule="auto"/>
            </w:pPr>
            <w:r w:rsidRPr="00E000D5">
              <w:t>Customers with missing/invalid Loan Balance</w:t>
            </w:r>
          </w:p>
        </w:tc>
        <w:tc>
          <w:tcPr>
            <w:tcW w:w="1044" w:type="pct"/>
            <w:tcBorders>
              <w:top w:val="single" w:sz="6" w:space="0" w:color="auto"/>
              <w:left w:val="single" w:sz="6" w:space="0" w:color="auto"/>
              <w:bottom w:val="single" w:sz="6" w:space="0" w:color="auto"/>
              <w:right w:val="single" w:sz="6" w:space="0" w:color="auto"/>
            </w:tcBorders>
          </w:tcPr>
          <w:p w14:paraId="2A5A4726" w14:textId="46D7D30C" w:rsidR="0006461E" w:rsidRPr="00A537D1" w:rsidRDefault="0006461E" w:rsidP="0006461E">
            <w:pPr>
              <w:rPr>
                <w:rFonts w:ascii="Arial" w:hAnsi="Arial" w:cs="Arial"/>
                <w:color w:val="000000" w:themeColor="text1"/>
                <w:sz w:val="20"/>
                <w:szCs w:val="20"/>
                <w:lang w:val="en-GB"/>
              </w:rPr>
            </w:pPr>
            <w:r w:rsidRPr="00E000D5">
              <w:t>Loan Balance data quality, Delinquency</w:t>
            </w:r>
          </w:p>
        </w:tc>
        <w:tc>
          <w:tcPr>
            <w:tcW w:w="1479" w:type="pct"/>
            <w:tcBorders>
              <w:top w:val="single" w:sz="6" w:space="0" w:color="auto"/>
              <w:left w:val="single" w:sz="6" w:space="0" w:color="auto"/>
              <w:bottom w:val="single" w:sz="6" w:space="0" w:color="auto"/>
              <w:right w:val="single" w:sz="6" w:space="0" w:color="auto"/>
            </w:tcBorders>
          </w:tcPr>
          <w:p w14:paraId="64684662" w14:textId="60C85331" w:rsidR="0006461E" w:rsidRPr="00A537D1" w:rsidRDefault="0006461E" w:rsidP="0006461E">
            <w:pPr>
              <w:rPr>
                <w:rFonts w:ascii="Arial" w:hAnsi="Arial" w:cs="Arial"/>
                <w:color w:val="000000" w:themeColor="text1"/>
                <w:sz w:val="20"/>
                <w:szCs w:val="20"/>
                <w:lang w:val="en-GB"/>
              </w:rPr>
            </w:pPr>
            <w:r w:rsidRPr="00E000D5">
              <w:t>Missing Loan Balance may act as a risk or data-quality indicator. The business should investigate why these values are missing before using this relationship for credit decisions.</w:t>
            </w:r>
          </w:p>
        </w:tc>
      </w:tr>
      <w:tr w:rsidR="0006461E" w:rsidRPr="00A537D1" w14:paraId="2E656B12" w14:textId="77777777" w:rsidTr="0006461E">
        <w:trPr>
          <w:trHeight w:val="782"/>
        </w:trPr>
        <w:tc>
          <w:tcPr>
            <w:tcW w:w="1109" w:type="pct"/>
            <w:tcBorders>
              <w:top w:val="single" w:sz="6" w:space="0" w:color="auto"/>
              <w:left w:val="single" w:sz="6" w:space="0" w:color="auto"/>
              <w:bottom w:val="single" w:sz="6" w:space="0" w:color="auto"/>
              <w:right w:val="single" w:sz="6" w:space="0" w:color="auto"/>
            </w:tcBorders>
          </w:tcPr>
          <w:p w14:paraId="6B8BACD7" w14:textId="002C64DB" w:rsidR="0006461E" w:rsidRPr="00A537D1" w:rsidRDefault="0006461E" w:rsidP="0006461E">
            <w:pPr>
              <w:rPr>
                <w:rFonts w:ascii="Arial" w:hAnsi="Arial" w:cs="Arial"/>
                <w:color w:val="000000" w:themeColor="text1"/>
                <w:sz w:val="20"/>
                <w:szCs w:val="20"/>
                <w:lang w:val="en-GB"/>
              </w:rPr>
            </w:pPr>
            <w:r w:rsidRPr="00E000D5">
              <w:lastRenderedPageBreak/>
              <w:t>Business credit card: 21.3% delinquency (1.33× baseline).</w:t>
            </w:r>
          </w:p>
        </w:tc>
        <w:tc>
          <w:tcPr>
            <w:tcW w:w="1368" w:type="pct"/>
            <w:tcBorders>
              <w:top w:val="single" w:sz="6" w:space="0" w:color="auto"/>
              <w:left w:val="single" w:sz="6" w:space="0" w:color="auto"/>
              <w:bottom w:val="single" w:sz="6" w:space="0" w:color="auto"/>
              <w:right w:val="single" w:sz="6" w:space="0" w:color="auto"/>
            </w:tcBorders>
          </w:tcPr>
          <w:p w14:paraId="68729FA0" w14:textId="4348A5D2" w:rsidR="0006461E" w:rsidRDefault="0006461E" w:rsidP="0006461E">
            <w:pPr>
              <w:spacing w:after="80" w:line="240" w:lineRule="auto"/>
            </w:pPr>
            <w:r w:rsidRPr="00E000D5">
              <w:t>Business card holders</w:t>
            </w:r>
          </w:p>
        </w:tc>
        <w:tc>
          <w:tcPr>
            <w:tcW w:w="1044" w:type="pct"/>
            <w:tcBorders>
              <w:top w:val="single" w:sz="6" w:space="0" w:color="auto"/>
              <w:left w:val="single" w:sz="6" w:space="0" w:color="auto"/>
              <w:bottom w:val="single" w:sz="6" w:space="0" w:color="auto"/>
              <w:right w:val="single" w:sz="6" w:space="0" w:color="auto"/>
            </w:tcBorders>
          </w:tcPr>
          <w:p w14:paraId="1062B025" w14:textId="1D43B0E8" w:rsidR="0006461E" w:rsidRPr="00A537D1" w:rsidRDefault="0006461E" w:rsidP="0006461E">
            <w:pPr>
              <w:rPr>
                <w:rFonts w:ascii="Arial" w:hAnsi="Arial" w:cs="Arial" w:hint="eastAsia"/>
                <w:color w:val="000000" w:themeColor="text1"/>
                <w:sz w:val="20"/>
                <w:szCs w:val="20"/>
                <w:lang w:val="en-GB" w:eastAsia="ko-KR"/>
              </w:rPr>
            </w:pPr>
            <w:r w:rsidRPr="00E000D5">
              <w:t>Credit Card Type, Delinquency</w:t>
            </w:r>
          </w:p>
        </w:tc>
        <w:tc>
          <w:tcPr>
            <w:tcW w:w="1479" w:type="pct"/>
            <w:tcBorders>
              <w:top w:val="single" w:sz="6" w:space="0" w:color="auto"/>
              <w:left w:val="single" w:sz="6" w:space="0" w:color="auto"/>
              <w:bottom w:val="single" w:sz="6" w:space="0" w:color="auto"/>
              <w:right w:val="single" w:sz="6" w:space="0" w:color="auto"/>
            </w:tcBorders>
          </w:tcPr>
          <w:p w14:paraId="350C27F3" w14:textId="48E67997" w:rsidR="0006461E" w:rsidRPr="00A537D1" w:rsidRDefault="0006461E" w:rsidP="0006461E">
            <w:pPr>
              <w:rPr>
                <w:rFonts w:ascii="Arial" w:hAnsi="Arial" w:cs="Arial"/>
                <w:color w:val="000000" w:themeColor="text1"/>
                <w:sz w:val="20"/>
                <w:szCs w:val="20"/>
                <w:lang w:val="en-GB"/>
              </w:rPr>
            </w:pPr>
            <w:r w:rsidRPr="00E000D5">
              <w:t>Business card holders may warrant closer risk monitoring, although other characteristics should be controlled for before concluding that card type itself explains higher delinquency.</w:t>
            </w:r>
          </w:p>
        </w:tc>
      </w:tr>
      <w:tr w:rsidR="0006461E" w:rsidRPr="00A537D1" w14:paraId="2DAFBED5" w14:textId="77777777" w:rsidTr="0006461E">
        <w:trPr>
          <w:trHeight w:val="782"/>
        </w:trPr>
        <w:tc>
          <w:tcPr>
            <w:tcW w:w="1109" w:type="pct"/>
            <w:tcBorders>
              <w:top w:val="single" w:sz="6" w:space="0" w:color="auto"/>
              <w:left w:val="single" w:sz="6" w:space="0" w:color="auto"/>
              <w:bottom w:val="single" w:sz="6" w:space="0" w:color="auto"/>
              <w:right w:val="single" w:sz="6" w:space="0" w:color="auto"/>
            </w:tcBorders>
          </w:tcPr>
          <w:p w14:paraId="03C96A8F" w14:textId="4CD3705E" w:rsidR="0006461E" w:rsidRPr="00A537D1" w:rsidRDefault="0006461E" w:rsidP="0006461E">
            <w:pPr>
              <w:rPr>
                <w:rFonts w:ascii="Arial" w:hAnsi="Arial" w:cs="Arial"/>
                <w:color w:val="000000" w:themeColor="text1"/>
                <w:sz w:val="20"/>
                <w:szCs w:val="20"/>
                <w:lang w:val="en-GB"/>
              </w:rPr>
            </w:pPr>
            <w:r w:rsidRPr="00E000D5">
              <w:t>Account tenure 5–10 years: 19.7%; 10–15 years: 9.1%.</w:t>
            </w:r>
          </w:p>
        </w:tc>
        <w:tc>
          <w:tcPr>
            <w:tcW w:w="1368" w:type="pct"/>
            <w:tcBorders>
              <w:top w:val="single" w:sz="6" w:space="0" w:color="auto"/>
              <w:left w:val="single" w:sz="6" w:space="0" w:color="auto"/>
              <w:bottom w:val="single" w:sz="6" w:space="0" w:color="auto"/>
              <w:right w:val="single" w:sz="6" w:space="0" w:color="auto"/>
            </w:tcBorders>
          </w:tcPr>
          <w:p w14:paraId="61099B55" w14:textId="719562A5" w:rsidR="0006461E" w:rsidRPr="0006461E" w:rsidRDefault="0006461E" w:rsidP="0006461E">
            <w:pPr>
              <w:spacing w:after="80" w:line="240" w:lineRule="auto"/>
              <w:rPr>
                <w:rFonts w:ascii="Malgun Gothic" w:eastAsia="Malgun Gothic" w:hAnsi="Malgun Gothic" w:cs="Malgun Gothic"/>
                <w:lang w:eastAsia="ko-KR"/>
              </w:rPr>
            </w:pPr>
            <w:r w:rsidRPr="00E000D5">
              <w:t>Customers grouped by account tenure</w:t>
            </w:r>
          </w:p>
        </w:tc>
        <w:tc>
          <w:tcPr>
            <w:tcW w:w="1044" w:type="pct"/>
            <w:tcBorders>
              <w:top w:val="single" w:sz="6" w:space="0" w:color="auto"/>
              <w:left w:val="single" w:sz="6" w:space="0" w:color="auto"/>
              <w:bottom w:val="single" w:sz="6" w:space="0" w:color="auto"/>
              <w:right w:val="single" w:sz="6" w:space="0" w:color="auto"/>
            </w:tcBorders>
          </w:tcPr>
          <w:p w14:paraId="4898EC3D" w14:textId="0AF64BE8" w:rsidR="0006461E" w:rsidRPr="00A537D1" w:rsidRDefault="0006461E" w:rsidP="0006461E">
            <w:pPr>
              <w:rPr>
                <w:rFonts w:ascii="Arial" w:hAnsi="Arial" w:cs="Arial"/>
                <w:color w:val="000000" w:themeColor="text1"/>
                <w:sz w:val="20"/>
                <w:szCs w:val="20"/>
                <w:lang w:val="en-GB"/>
              </w:rPr>
            </w:pPr>
            <w:r w:rsidRPr="00E000D5">
              <w:t>Account Tenure, Delinquency</w:t>
            </w:r>
          </w:p>
        </w:tc>
        <w:tc>
          <w:tcPr>
            <w:tcW w:w="1479" w:type="pct"/>
            <w:tcBorders>
              <w:top w:val="single" w:sz="6" w:space="0" w:color="auto"/>
              <w:left w:val="single" w:sz="6" w:space="0" w:color="auto"/>
              <w:bottom w:val="single" w:sz="6" w:space="0" w:color="auto"/>
              <w:right w:val="single" w:sz="6" w:space="0" w:color="auto"/>
            </w:tcBorders>
          </w:tcPr>
          <w:p w14:paraId="2DABAA44" w14:textId="25CAAF6A" w:rsidR="0006461E" w:rsidRPr="00A537D1" w:rsidRDefault="0006461E" w:rsidP="0006461E">
            <w:pPr>
              <w:rPr>
                <w:rFonts w:ascii="Arial" w:hAnsi="Arial" w:cs="Arial"/>
                <w:color w:val="000000" w:themeColor="text1"/>
                <w:sz w:val="20"/>
                <w:szCs w:val="20"/>
                <w:lang w:val="en-GB"/>
              </w:rPr>
            </w:pPr>
            <w:r w:rsidRPr="00E000D5">
              <w:t>Delinquency does not appear to decrease uniformly with tenure. The large difference between tenure groups warrants further investigation into whether tenure contributes predictive information.</w:t>
            </w:r>
          </w:p>
        </w:tc>
      </w:tr>
    </w:tbl>
    <w:p w14:paraId="50978634" w14:textId="77777777" w:rsidR="00A537D1" w:rsidRPr="00A537D1" w:rsidRDefault="00A537D1">
      <w:pPr>
        <w:rPr>
          <w:rFonts w:ascii="Arial" w:hAnsi="Arial" w:cs="Arial" w:hint="eastAsia"/>
          <w:color w:val="000000" w:themeColor="text1"/>
          <w:lang w:eastAsia="ko-KR"/>
        </w:rPr>
      </w:pPr>
    </w:p>
    <w:p w14:paraId="72833B3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2. Recommendation Framework</w:t>
      </w:r>
    </w:p>
    <w:p w14:paraId="2F84D53A" w14:textId="77777777" w:rsidR="007D72C2" w:rsidRPr="00A537D1" w:rsidRDefault="00A537D1">
      <w:pPr>
        <w:rPr>
          <w:rFonts w:ascii="Arial" w:hAnsi="Arial" w:cs="Arial"/>
          <w:color w:val="000000" w:themeColor="text1"/>
        </w:rPr>
      </w:pPr>
      <w:r w:rsidRPr="00A537D1">
        <w:rPr>
          <w:rFonts w:ascii="Arial" w:hAnsi="Arial" w:cs="Arial"/>
          <w:color w:val="000000" w:themeColor="text1"/>
        </w:rPr>
        <w:t>Based on one of your model’s insights, outline your recommended intervention. Your recommendation should follow a SMART approach (Specific, Measurable, Actionable, Relevant, Time-bound).</w:t>
      </w:r>
    </w:p>
    <w:p w14:paraId="15F4D6C8" w14:textId="77777777" w:rsidR="007D72C2" w:rsidRPr="00A537D1" w:rsidRDefault="00A537D1">
      <w:pPr>
        <w:rPr>
          <w:rFonts w:ascii="Arial" w:hAnsi="Arial" w:cs="Arial"/>
          <w:color w:val="000000" w:themeColor="text1"/>
        </w:rPr>
      </w:pPr>
      <w:r w:rsidRPr="00A537D1">
        <w:rPr>
          <w:rFonts w:ascii="Arial" w:hAnsi="Arial" w:cs="Arial"/>
          <w:color w:val="000000" w:themeColor="text1"/>
        </w:rPr>
        <w:t>Use the following subheadings to guide your structure:</w:t>
      </w:r>
    </w:p>
    <w:p w14:paraId="3CD31CE3" w14:textId="77777777" w:rsidR="00CB2940" w:rsidRDefault="00CB2940" w:rsidP="00CB2940">
      <w:pPr>
        <w:pStyle w:val="ListBullet"/>
      </w:pPr>
      <w:r>
        <w:rPr>
          <w:rStyle w:val="Strong"/>
        </w:rPr>
        <w:t>Restated Insight:</w:t>
      </w:r>
      <w:r>
        <w:t xml:space="preserve"> Missing/invalid Loan Balance records show a 24.1% delinquency rate, 1.51× the overall baseline and the highest among examined groups.</w:t>
      </w:r>
    </w:p>
    <w:p w14:paraId="0A080D14" w14:textId="77777777" w:rsidR="00CB2940" w:rsidRDefault="00CB2940" w:rsidP="00CB2940">
      <w:pPr>
        <w:pStyle w:val="ListBullet"/>
      </w:pPr>
      <w:r>
        <w:rPr>
          <w:rStyle w:val="Strong"/>
        </w:rPr>
        <w:t>Proposed Recommendation:</w:t>
      </w:r>
      <w:r>
        <w:t xml:space="preserve"> Investigate the causes of missing Loan Balance data and improve data completeness before using it for credit-risk decisions.</w:t>
      </w:r>
    </w:p>
    <w:p w14:paraId="71EA7F38" w14:textId="77777777" w:rsidR="00CB2940" w:rsidRDefault="00CB2940" w:rsidP="00CB2940">
      <w:pPr>
        <w:pStyle w:val="ListBullet"/>
        <w:tabs>
          <w:tab w:val="clear" w:pos="360"/>
          <w:tab w:val="num" w:pos="720"/>
        </w:tabs>
        <w:ind w:left="720"/>
      </w:pPr>
      <w:r>
        <w:rPr>
          <w:rStyle w:val="Strong"/>
        </w:rPr>
        <w:t>Specific:</w:t>
      </w:r>
      <w:r>
        <w:t xml:space="preserve"> Investigate the causes of missing/invalid Loan Balance records and recover the correct values where possible.</w:t>
      </w:r>
    </w:p>
    <w:p w14:paraId="4C1F8812" w14:textId="77777777" w:rsidR="00CB2940" w:rsidRDefault="00CB2940" w:rsidP="00CB2940">
      <w:pPr>
        <w:pStyle w:val="ListBullet"/>
        <w:tabs>
          <w:tab w:val="clear" w:pos="360"/>
          <w:tab w:val="num" w:pos="720"/>
        </w:tabs>
        <w:ind w:left="720"/>
      </w:pPr>
      <w:r>
        <w:rPr>
          <w:rStyle w:val="Strong"/>
        </w:rPr>
        <w:t>Measurable:</w:t>
      </w:r>
      <w:r>
        <w:t xml:space="preserve"> Reduce the missing/invalid Loan Balance rate from 5.8% to below 2%.</w:t>
      </w:r>
    </w:p>
    <w:p w14:paraId="70B3F6A0" w14:textId="77777777" w:rsidR="00CB2940" w:rsidRDefault="00CB2940" w:rsidP="00CB2940">
      <w:pPr>
        <w:pStyle w:val="ListBullet"/>
        <w:tabs>
          <w:tab w:val="clear" w:pos="360"/>
          <w:tab w:val="num" w:pos="720"/>
        </w:tabs>
        <w:ind w:left="720"/>
      </w:pPr>
      <w:r>
        <w:rPr>
          <w:rStyle w:val="Strong"/>
        </w:rPr>
        <w:t>Actionable:</w:t>
      </w:r>
      <w:r>
        <w:t xml:space="preserve"> Review loan contracts, customer records, and system logs to recover and validate missing Loan Balance values.</w:t>
      </w:r>
    </w:p>
    <w:p w14:paraId="43093B08" w14:textId="77777777" w:rsidR="00CB2940" w:rsidRPr="00EE52F5" w:rsidRDefault="00CB2940" w:rsidP="00CB2940">
      <w:pPr>
        <w:pStyle w:val="ListBullet"/>
        <w:tabs>
          <w:tab w:val="clear" w:pos="360"/>
          <w:tab w:val="num" w:pos="720"/>
        </w:tabs>
        <w:ind w:left="720"/>
      </w:pPr>
      <w:r>
        <w:rPr>
          <w:rStyle w:val="Strong"/>
        </w:rPr>
        <w:t>Relevant:</w:t>
      </w:r>
      <w:r>
        <w:t xml:space="preserve"> Although 5.8% missingness is not necessarily critical, Loan Balance is an important risk variable, and the 24.1% delinquency rate in this group warrants further investigation.</w:t>
      </w:r>
    </w:p>
    <w:p w14:paraId="542A72C1" w14:textId="77777777" w:rsidR="00CB2940" w:rsidRPr="00EE52F5" w:rsidRDefault="00CB2940" w:rsidP="00CB2940">
      <w:pPr>
        <w:pStyle w:val="ListBullet"/>
        <w:tabs>
          <w:tab w:val="clear" w:pos="360"/>
          <w:tab w:val="num" w:pos="720"/>
        </w:tabs>
        <w:ind w:left="720"/>
      </w:pPr>
      <w:r w:rsidRPr="00EE52F5">
        <w:rPr>
          <w:rStyle w:val="Strong"/>
        </w:rPr>
        <w:t>Time-bound:</w:t>
      </w:r>
      <w:r w:rsidRPr="00EE52F5">
        <w:t xml:space="preserve"> Identify the causes within one month and complete data correction and database updates within the following two months.</w:t>
      </w:r>
    </w:p>
    <w:p w14:paraId="17D2B140" w14:textId="0A0E535F" w:rsidR="007D72C2" w:rsidRPr="00A537D1" w:rsidRDefault="00A537D1" w:rsidP="00CB2940">
      <w:pPr>
        <w:pStyle w:val="ListBullet"/>
        <w:tabs>
          <w:tab w:val="clear" w:pos="360"/>
          <w:tab w:val="num" w:pos="720"/>
        </w:tabs>
        <w:ind w:left="720"/>
        <w:rPr>
          <w:rFonts w:ascii="Arial" w:hAnsi="Arial" w:cs="Arial"/>
          <w:color w:val="000000" w:themeColor="text1"/>
        </w:rPr>
      </w:pPr>
      <w:r w:rsidRPr="00EE52F5">
        <w:rPr>
          <w:rFonts w:cs="Arial"/>
          <w:b/>
          <w:bCs/>
          <w:color w:val="000000" w:themeColor="text1"/>
        </w:rPr>
        <w:lastRenderedPageBreak/>
        <w:t>Justification and Business Rationale</w:t>
      </w:r>
      <w:r w:rsidRPr="00EE52F5">
        <w:rPr>
          <w:rFonts w:cs="Arial"/>
          <w:color w:val="000000" w:themeColor="text1"/>
        </w:rPr>
        <w:t>:</w:t>
      </w:r>
      <w:r w:rsidR="00CB2940" w:rsidRPr="00EE52F5">
        <w:rPr>
          <w:rFonts w:cs="Arial"/>
          <w:color w:val="000000" w:themeColor="text1"/>
        </w:rPr>
        <w:t xml:space="preserve"> </w:t>
      </w:r>
      <w:r w:rsidR="00EE52F5" w:rsidRPr="00EE52F5">
        <w:rPr>
          <w:rFonts w:cs="Arial"/>
          <w:color w:val="000000" w:themeColor="text1"/>
        </w:rPr>
        <w:t>The missing Loan Balance group shows a higher delinquency rate (24.1%) than the overall baseline (16.0%), suggesting a potential risk or data-quality issue. Improving data completeness can support more reliable credit-risk assessment and business decisions</w:t>
      </w:r>
      <w:r w:rsidR="00EE52F5" w:rsidRPr="00EE52F5">
        <w:rPr>
          <w:rFonts w:ascii="Arial" w:hAnsi="Arial" w:cs="Arial"/>
          <w:color w:val="000000" w:themeColor="text1"/>
        </w:rPr>
        <w:t>.</w:t>
      </w:r>
    </w:p>
    <w:p w14:paraId="08E6A272"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3. Ethical and Responsible AI Considerations</w:t>
      </w:r>
    </w:p>
    <w:p w14:paraId="38C6C917" w14:textId="7DE48213" w:rsidR="00A931C1" w:rsidRPr="00A11A07" w:rsidRDefault="00A931C1" w:rsidP="00A931C1">
      <w:pPr>
        <w:rPr>
          <w:rFonts w:ascii="Arial" w:hAnsi="Arial" w:cs="Arial"/>
          <w:b/>
          <w:bCs/>
          <w:color w:val="000000" w:themeColor="text1"/>
        </w:rPr>
      </w:pPr>
      <w:r w:rsidRPr="00A931C1">
        <w:rPr>
          <w:rFonts w:ascii="Arial" w:hAnsi="Arial" w:cs="Arial"/>
          <w:b/>
          <w:bCs/>
          <w:color w:val="000000" w:themeColor="text1"/>
        </w:rPr>
        <w:t>Fairness and Potential Bias</w:t>
      </w:r>
    </w:p>
    <w:p w14:paraId="1DA8E843" w14:textId="5B3AE809" w:rsidR="00A931C1" w:rsidRPr="00A931C1" w:rsidRDefault="00A931C1" w:rsidP="00A931C1">
      <w:pPr>
        <w:rPr>
          <w:rFonts w:ascii="Arial" w:hAnsi="Arial" w:cs="Arial"/>
          <w:color w:val="000000" w:themeColor="text1"/>
        </w:rPr>
      </w:pPr>
      <w:r w:rsidRPr="00A931C1">
        <w:rPr>
          <w:rFonts w:ascii="Arial" w:hAnsi="Arial" w:cs="Arial"/>
          <w:color w:val="000000" w:themeColor="text1"/>
        </w:rPr>
        <w:t>The model and its recommendations should avoid creating systematic disadvantages for particular demographic or customer groups. For example, the analysis found a higher delinquency rate for the 46.5–59.25 age group. However, using age directly to make lending decisions could unfairly disadvantage customers in this group, particularly because the observed relationship does not demonstrate that age causes delinquency.</w:t>
      </w:r>
    </w:p>
    <w:p w14:paraId="6831EB49" w14:textId="1D5EDC6C" w:rsidR="00A931C1" w:rsidRPr="00A931C1" w:rsidRDefault="00A931C1" w:rsidP="00A931C1">
      <w:pPr>
        <w:rPr>
          <w:rFonts w:ascii="Arial" w:hAnsi="Arial" w:cs="Arial"/>
          <w:color w:val="000000" w:themeColor="text1"/>
        </w:rPr>
      </w:pPr>
      <w:r w:rsidRPr="00A931C1">
        <w:rPr>
          <w:rFonts w:ascii="Arial" w:hAnsi="Arial" w:cs="Arial"/>
          <w:color w:val="000000" w:themeColor="text1"/>
        </w:rPr>
        <w:t>The model should therefore be tested for disparate impact by comparing prediction outcomes, false-positive rates, and approval or rejection rates across relevant customer groups. High-risk classifications should not automatically lead to adverse decisions without further assessment.</w:t>
      </w:r>
    </w:p>
    <w:p w14:paraId="7AE12F47" w14:textId="2B05ECEC" w:rsidR="00A931C1" w:rsidRPr="00A931C1" w:rsidRDefault="00A931C1" w:rsidP="00A931C1">
      <w:pPr>
        <w:rPr>
          <w:rFonts w:ascii="Arial" w:hAnsi="Arial" w:cs="Arial"/>
          <w:color w:val="000000" w:themeColor="text1"/>
        </w:rPr>
      </w:pPr>
      <w:r w:rsidRPr="00A931C1">
        <w:rPr>
          <w:rFonts w:ascii="Arial" w:hAnsi="Arial" w:cs="Arial"/>
          <w:color w:val="000000" w:themeColor="text1"/>
        </w:rPr>
        <w:t>The model should also be trained and validated using diverse and representative data. The current dataset contains only 500 observations, which may not adequately represent a larger customer population. Patterns identified in this sample should therefore be validated using additional data before the model is deployed for real financial decisions.</w:t>
      </w:r>
    </w:p>
    <w:p w14:paraId="409EA4D5" w14:textId="6A892965" w:rsidR="00A931C1" w:rsidRPr="00A11A07" w:rsidRDefault="00A931C1" w:rsidP="00A931C1">
      <w:pPr>
        <w:rPr>
          <w:rFonts w:ascii="Arial" w:hAnsi="Arial" w:cs="Arial"/>
          <w:b/>
          <w:bCs/>
          <w:color w:val="000000" w:themeColor="text1"/>
        </w:rPr>
      </w:pPr>
      <w:r w:rsidRPr="00A931C1">
        <w:rPr>
          <w:rFonts w:ascii="Arial" w:hAnsi="Arial" w:cs="Arial"/>
          <w:b/>
          <w:bCs/>
          <w:color w:val="000000" w:themeColor="text1"/>
        </w:rPr>
        <w:t>Limitations of Grouped Analysis</w:t>
      </w:r>
    </w:p>
    <w:p w14:paraId="568A32E7" w14:textId="32365C8C" w:rsidR="00A931C1" w:rsidRPr="00A931C1" w:rsidRDefault="00A931C1" w:rsidP="00A931C1">
      <w:pPr>
        <w:rPr>
          <w:rFonts w:ascii="Arial" w:hAnsi="Arial" w:cs="Arial"/>
          <w:color w:val="000000" w:themeColor="text1"/>
        </w:rPr>
      </w:pPr>
      <w:r w:rsidRPr="00A931C1">
        <w:rPr>
          <w:rFonts w:ascii="Arial" w:hAnsi="Arial" w:cs="Arial"/>
          <w:color w:val="000000" w:themeColor="text1"/>
        </w:rPr>
        <w:t>Grouped analysis provides useful descriptive evidence but does not necessarily establish a causal relationship. Differences in delinquency rates between groups may result from other variables, random variation, or interactions between customer characteristics.</w:t>
      </w:r>
    </w:p>
    <w:p w14:paraId="51999D53" w14:textId="518D3BA7" w:rsidR="00A931C1" w:rsidRPr="00A931C1" w:rsidRDefault="00A931C1" w:rsidP="00A931C1">
      <w:pPr>
        <w:rPr>
          <w:rFonts w:ascii="Arial" w:hAnsi="Arial" w:cs="Arial"/>
          <w:color w:val="000000" w:themeColor="text1"/>
        </w:rPr>
      </w:pPr>
      <w:r w:rsidRPr="00A931C1">
        <w:rPr>
          <w:rFonts w:ascii="Arial" w:hAnsi="Arial" w:cs="Arial"/>
          <w:color w:val="000000" w:themeColor="text1"/>
        </w:rPr>
        <w:t>For example, the age groups were created using quartiles based on the dataset's age distribution. Therefore, the 46.5–59.25 group should be interpreted as a data-defined segment rather than evidence that middle-aged customers generally have higher delinquency risk.</w:t>
      </w:r>
    </w:p>
    <w:p w14:paraId="5313BC8E" w14:textId="447B843F" w:rsidR="00A931C1" w:rsidRPr="00A931C1" w:rsidRDefault="00A931C1" w:rsidP="00A931C1">
      <w:pPr>
        <w:rPr>
          <w:rFonts w:ascii="Arial" w:hAnsi="Arial" w:cs="Arial"/>
          <w:color w:val="000000" w:themeColor="text1"/>
        </w:rPr>
      </w:pPr>
      <w:r w:rsidRPr="00A931C1">
        <w:rPr>
          <w:rFonts w:ascii="Arial" w:hAnsi="Arial" w:cs="Arial"/>
          <w:color w:val="000000" w:themeColor="text1"/>
        </w:rPr>
        <w:t>Similarly, customers with missing or invalid Loan Balance values showed a 24.1% delinquency rate compared with the 16.0% overall rate. While the missing-value status is objectively identifiable, the observed delinquency difference may be affected by selection bias because customers with missing Loan Balance data may differ systematically from customers with complete records. Missing Loan Balance should therefore be treated primarily as a data-quality concern and potential risk indicator rather than direct evidence of higher credit risk.</w:t>
      </w:r>
    </w:p>
    <w:p w14:paraId="18E192B1" w14:textId="0490DD04" w:rsidR="00A931C1" w:rsidRPr="00A11A07" w:rsidRDefault="00A931C1" w:rsidP="00A931C1">
      <w:pPr>
        <w:rPr>
          <w:rFonts w:ascii="Arial" w:hAnsi="Arial" w:cs="Arial"/>
          <w:b/>
          <w:bCs/>
          <w:color w:val="000000" w:themeColor="text1"/>
        </w:rPr>
      </w:pPr>
      <w:r w:rsidRPr="00A931C1">
        <w:rPr>
          <w:rFonts w:ascii="Arial" w:hAnsi="Arial" w:cs="Arial"/>
          <w:b/>
          <w:bCs/>
          <w:color w:val="000000" w:themeColor="text1"/>
        </w:rPr>
        <w:t>Explainability and Model Reliability</w:t>
      </w:r>
    </w:p>
    <w:p w14:paraId="4ED96C05" w14:textId="0DF17E8F" w:rsidR="00A931C1" w:rsidRPr="00A931C1" w:rsidRDefault="00A931C1" w:rsidP="00A931C1">
      <w:pPr>
        <w:rPr>
          <w:rFonts w:ascii="Arial" w:hAnsi="Arial" w:cs="Arial"/>
          <w:color w:val="000000" w:themeColor="text1"/>
        </w:rPr>
      </w:pPr>
      <w:r w:rsidRPr="00A931C1">
        <w:rPr>
          <w:rFonts w:ascii="Arial" w:hAnsi="Arial" w:cs="Arial"/>
          <w:color w:val="000000" w:themeColor="text1"/>
        </w:rPr>
        <w:lastRenderedPageBreak/>
        <w:t>Logistic regression provides predicted probabilities of delinquency, making its results relatively straightforward to interpret and communicate. Model coefficients can also help explain how individual variables are associated with changes in predicted delinquency risk</w:t>
      </w:r>
      <w:r w:rsidR="00A11A07">
        <w:rPr>
          <w:rFonts w:ascii="Arial" w:hAnsi="Arial" w:cs="Arial"/>
          <w:color w:val="000000" w:themeColor="text1"/>
        </w:rPr>
        <w:t>.</w:t>
      </w:r>
    </w:p>
    <w:p w14:paraId="0611D56F" w14:textId="60140D61" w:rsidR="00A931C1" w:rsidRPr="00A931C1" w:rsidRDefault="00A931C1" w:rsidP="00A931C1">
      <w:pPr>
        <w:rPr>
          <w:rFonts w:ascii="Arial" w:hAnsi="Arial" w:cs="Arial"/>
          <w:color w:val="000000" w:themeColor="text1"/>
        </w:rPr>
      </w:pPr>
      <w:r w:rsidRPr="00A931C1">
        <w:rPr>
          <w:rFonts w:ascii="Arial" w:hAnsi="Arial" w:cs="Arial"/>
          <w:color w:val="000000" w:themeColor="text1"/>
        </w:rPr>
        <w:t>The model uses L2 regularization, which discourages excessively large coefficients and can reduce overfitting and improve model stability, particularly when predictors are correlated. However, L2 regularization does not eliminate the limitations of the relatively small 500-row dataset, so model performance should still be validated on larger and more representative datasets.</w:t>
      </w:r>
    </w:p>
    <w:p w14:paraId="7535C017" w14:textId="77777777" w:rsidR="00A931C1" w:rsidRPr="00A931C1" w:rsidRDefault="00A931C1" w:rsidP="00A931C1">
      <w:pPr>
        <w:rPr>
          <w:rFonts w:ascii="Arial" w:hAnsi="Arial" w:cs="Arial"/>
          <w:color w:val="000000" w:themeColor="text1"/>
        </w:rPr>
      </w:pPr>
    </w:p>
    <w:p w14:paraId="5304B746" w14:textId="4FD45C38" w:rsidR="00A931C1" w:rsidRPr="00A11A07" w:rsidRDefault="00A931C1" w:rsidP="00A931C1">
      <w:pPr>
        <w:rPr>
          <w:rFonts w:ascii="Arial" w:hAnsi="Arial" w:cs="Arial"/>
          <w:b/>
          <w:bCs/>
          <w:color w:val="000000" w:themeColor="text1"/>
        </w:rPr>
      </w:pPr>
      <w:r w:rsidRPr="00A931C1">
        <w:rPr>
          <w:rFonts w:ascii="Arial" w:hAnsi="Arial" w:cs="Arial"/>
          <w:b/>
          <w:bCs/>
          <w:color w:val="000000" w:themeColor="text1"/>
        </w:rPr>
        <w:t>Responsible Financial Decision-Making</w:t>
      </w:r>
    </w:p>
    <w:p w14:paraId="1BC358D2" w14:textId="23C4CC0A" w:rsidR="00A931C1" w:rsidRPr="00A931C1" w:rsidRDefault="00A931C1" w:rsidP="00A931C1">
      <w:pPr>
        <w:rPr>
          <w:rFonts w:ascii="Arial" w:hAnsi="Arial" w:cs="Arial"/>
          <w:color w:val="000000" w:themeColor="text1"/>
        </w:rPr>
      </w:pPr>
      <w:r w:rsidRPr="00A931C1">
        <w:rPr>
          <w:rFonts w:ascii="Arial" w:hAnsi="Arial" w:cs="Arial"/>
          <w:color w:val="000000" w:themeColor="text1"/>
        </w:rPr>
        <w:t>The recommendation supports responsible financial decision-making by focusing on investigating and correcting missing Loan Balance information rather than automatically penalizing affected customers. Improving data completeness can provide more reliable information for future credit-risk assessment while reducing the risk of decisions being made from incomplete customer records.</w:t>
      </w:r>
    </w:p>
    <w:p w14:paraId="30332544" w14:textId="77777777" w:rsidR="00A931C1" w:rsidRPr="00A931C1" w:rsidRDefault="00A931C1" w:rsidP="00A931C1">
      <w:pPr>
        <w:rPr>
          <w:rFonts w:ascii="Arial" w:hAnsi="Arial" w:cs="Arial"/>
          <w:color w:val="000000" w:themeColor="text1"/>
        </w:rPr>
      </w:pPr>
      <w:r w:rsidRPr="00A931C1">
        <w:rPr>
          <w:rFonts w:ascii="Arial" w:hAnsi="Arial" w:cs="Arial"/>
          <w:color w:val="000000" w:themeColor="text1"/>
        </w:rPr>
        <w:t>Model predictions should therefore support, rather than fully replace, appropriate business review and risk-assessment processes, particularly when predictions could materially affect customers.</w:t>
      </w:r>
    </w:p>
    <w:p w14:paraId="1793AE90" w14:textId="77777777" w:rsidR="00A931C1" w:rsidRDefault="00A931C1" w:rsidP="00A931C1">
      <w:pPr>
        <w:rPr>
          <w:rFonts w:ascii="Arial" w:hAnsi="Arial" w:cs="Arial"/>
          <w:color w:val="000000" w:themeColor="text1"/>
        </w:rPr>
      </w:pPr>
    </w:p>
    <w:p w14:paraId="27A0527C" w14:textId="3A993CF8" w:rsidR="00A931C1" w:rsidRPr="00A11A07" w:rsidRDefault="00A931C1" w:rsidP="00A931C1">
      <w:pPr>
        <w:rPr>
          <w:rFonts w:ascii="Arial" w:hAnsi="Arial" w:cs="Arial"/>
          <w:b/>
          <w:bCs/>
          <w:color w:val="000000" w:themeColor="text1"/>
        </w:rPr>
      </w:pPr>
      <w:r w:rsidRPr="00A931C1">
        <w:rPr>
          <w:rFonts w:ascii="Arial" w:hAnsi="Arial" w:cs="Arial"/>
          <w:b/>
          <w:bCs/>
          <w:color w:val="000000" w:themeColor="text1"/>
        </w:rPr>
        <w:t>Transparency, Accountability, and Data Privacy</w:t>
      </w:r>
    </w:p>
    <w:p w14:paraId="462D3B96" w14:textId="0A4600CC" w:rsidR="00A931C1" w:rsidRPr="00A931C1" w:rsidRDefault="00A931C1" w:rsidP="00A931C1">
      <w:pPr>
        <w:rPr>
          <w:rFonts w:ascii="Arial" w:hAnsi="Arial" w:cs="Arial"/>
          <w:color w:val="000000" w:themeColor="text1"/>
        </w:rPr>
      </w:pPr>
      <w:r w:rsidRPr="00A931C1">
        <w:rPr>
          <w:rFonts w:ascii="Arial" w:hAnsi="Arial" w:cs="Arial"/>
          <w:color w:val="000000" w:themeColor="text1"/>
        </w:rPr>
        <w:t>The business should clearly document the variables used by the model, important data limitations, model performance, and the reasoning behind risk recommendations. Decisions based on model outputs should remain traceable and accountable, with appropriate human oversight for significant financial decisions.</w:t>
      </w:r>
    </w:p>
    <w:p w14:paraId="39651AF2" w14:textId="22E8888D" w:rsidR="00A931C1" w:rsidRPr="00A931C1" w:rsidRDefault="00A931C1" w:rsidP="00A931C1">
      <w:pPr>
        <w:rPr>
          <w:rFonts w:ascii="Arial" w:hAnsi="Arial" w:cs="Arial"/>
          <w:color w:val="000000" w:themeColor="text1"/>
        </w:rPr>
      </w:pPr>
      <w:r w:rsidRPr="00A931C1">
        <w:rPr>
          <w:rFonts w:ascii="Arial" w:hAnsi="Arial" w:cs="Arial"/>
          <w:color w:val="000000" w:themeColor="text1"/>
        </w:rPr>
        <w:t>Customer financial information, including Loan Balance and delinquency records, should also be handled according to appropriate data privacy and security requirements. Only information necessary for legitimate risk assessment should be collected, accessed, and retained.</w:t>
      </w:r>
    </w:p>
    <w:p w14:paraId="61EB24E3" w14:textId="4DCB45EA" w:rsidR="00A931C1" w:rsidRPr="00A11A07" w:rsidRDefault="00A931C1" w:rsidP="00A931C1">
      <w:pPr>
        <w:rPr>
          <w:rFonts w:ascii="Arial" w:hAnsi="Arial" w:cs="Arial"/>
          <w:b/>
          <w:bCs/>
          <w:color w:val="000000" w:themeColor="text1"/>
        </w:rPr>
      </w:pPr>
      <w:r w:rsidRPr="00A931C1">
        <w:rPr>
          <w:rFonts w:ascii="Arial" w:hAnsi="Arial" w:cs="Arial"/>
          <w:b/>
          <w:bCs/>
          <w:color w:val="000000" w:themeColor="text1"/>
        </w:rPr>
        <w:t>Conclusion</w:t>
      </w:r>
    </w:p>
    <w:p w14:paraId="47E1A506" w14:textId="4527CCCC" w:rsidR="00A931C1" w:rsidRPr="00A931C1" w:rsidRDefault="00A931C1" w:rsidP="00A931C1">
      <w:pPr>
        <w:rPr>
          <w:rFonts w:ascii="Arial" w:hAnsi="Arial" w:cs="Arial"/>
          <w:color w:val="000000" w:themeColor="text1"/>
        </w:rPr>
      </w:pPr>
      <w:r w:rsidRPr="00A931C1">
        <w:rPr>
          <w:rFonts w:ascii="Arial" w:hAnsi="Arial" w:cs="Arial"/>
          <w:color w:val="000000" w:themeColor="text1"/>
        </w:rPr>
        <w:t>The analysis identifies potentially useful patterns in delinquency risk, particularly the higher observed delinquency rate among customers with missing or invalid Loan Balance information. However, the small dataset, possible selection bias, and limitations of grouped analysis mean that these findings should be treated as risk indicators rather than causal conclusions.</w:t>
      </w:r>
    </w:p>
    <w:p w14:paraId="33EC1793" w14:textId="3684B836" w:rsidR="007D72C2" w:rsidRPr="00A537D1" w:rsidRDefault="00A931C1" w:rsidP="00A931C1">
      <w:pPr>
        <w:rPr>
          <w:rFonts w:ascii="Arial" w:hAnsi="Arial" w:cs="Arial"/>
          <w:color w:val="000000" w:themeColor="text1"/>
        </w:rPr>
      </w:pPr>
      <w:r w:rsidRPr="00A931C1">
        <w:rPr>
          <w:rFonts w:ascii="Arial" w:hAnsi="Arial" w:cs="Arial"/>
          <w:color w:val="000000" w:themeColor="text1"/>
        </w:rPr>
        <w:lastRenderedPageBreak/>
        <w:t>The proposed recommendation therefore prioritizes improving Loan Balance data quality and investigating the underlying cause of missing records instead of using missingness alone to make credit decisions. Before deployment, the model should be validated on larger and more representative data, tested for disparate impact across customer groups, and supported by transparent and accountable decision-making processes.</w:t>
      </w: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A39AFB8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B0A4BF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D3883"/>
    <w:multiLevelType w:val="hybridMultilevel"/>
    <w:tmpl w:val="8392E9F8"/>
    <w:lvl w:ilvl="0" w:tplc="F46457B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6464D2"/>
    <w:multiLevelType w:val="multilevel"/>
    <w:tmpl w:val="301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A6D6B"/>
    <w:multiLevelType w:val="hybridMultilevel"/>
    <w:tmpl w:val="F80EB5A0"/>
    <w:lvl w:ilvl="0" w:tplc="2C38D348">
      <w:start w:val="1"/>
      <w:numFmt w:val="bullet"/>
      <w:lvlText w:val="●"/>
      <w:lvlJc w:val="left"/>
      <w:pPr>
        <w:ind w:left="720" w:hanging="360"/>
      </w:pPr>
    </w:lvl>
    <w:lvl w:ilvl="1" w:tplc="076E7682" w:tentative="1">
      <w:start w:val="1"/>
      <w:numFmt w:val="bullet"/>
      <w:lvlText w:val="○"/>
      <w:lvlJc w:val="left"/>
      <w:pPr>
        <w:ind w:left="1440" w:hanging="360"/>
      </w:pPr>
    </w:lvl>
    <w:lvl w:ilvl="2" w:tplc="E146B5A2" w:tentative="1">
      <w:start w:val="1"/>
      <w:numFmt w:val="bullet"/>
      <w:lvlText w:val="■"/>
      <w:lvlJc w:val="left"/>
      <w:pPr>
        <w:ind w:left="2160" w:hanging="360"/>
      </w:pPr>
    </w:lvl>
    <w:lvl w:ilvl="3" w:tplc="B830B72C" w:tentative="1">
      <w:start w:val="1"/>
      <w:numFmt w:val="bullet"/>
      <w:lvlText w:val="●"/>
      <w:lvlJc w:val="left"/>
      <w:pPr>
        <w:ind w:left="2880" w:hanging="360"/>
      </w:pPr>
    </w:lvl>
    <w:lvl w:ilvl="4" w:tplc="A8E4C266" w:tentative="1">
      <w:start w:val="1"/>
      <w:numFmt w:val="bullet"/>
      <w:lvlText w:val="○"/>
      <w:lvlJc w:val="left"/>
      <w:pPr>
        <w:ind w:left="3600" w:hanging="360"/>
      </w:pPr>
    </w:lvl>
    <w:lvl w:ilvl="5" w:tplc="7D12AB8C" w:tentative="1">
      <w:start w:val="1"/>
      <w:numFmt w:val="bullet"/>
      <w:lvlText w:val="■"/>
      <w:lvlJc w:val="left"/>
      <w:pPr>
        <w:ind w:left="4320" w:hanging="360"/>
      </w:pPr>
    </w:lvl>
    <w:lvl w:ilvl="6" w:tplc="95BA69A2" w:tentative="1">
      <w:start w:val="1"/>
      <w:numFmt w:val="bullet"/>
      <w:lvlText w:val="●"/>
      <w:lvlJc w:val="left"/>
      <w:pPr>
        <w:ind w:left="5040" w:hanging="360"/>
      </w:pPr>
    </w:lvl>
    <w:lvl w:ilvl="7" w:tplc="E17C060E" w:tentative="1">
      <w:start w:val="1"/>
      <w:numFmt w:val="bullet"/>
      <w:lvlText w:val="●"/>
      <w:lvlJc w:val="left"/>
      <w:pPr>
        <w:ind w:left="5760" w:hanging="360"/>
      </w:pPr>
    </w:lvl>
    <w:lvl w:ilvl="8" w:tplc="8F565462" w:tentative="1">
      <w:start w:val="1"/>
      <w:numFmt w:val="bullet"/>
      <w:lvlText w:val="●"/>
      <w:lvlJc w:val="left"/>
      <w:pPr>
        <w:ind w:left="6480" w:hanging="360"/>
      </w:p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1045570326">
    <w:abstractNumId w:val="11"/>
    <w:lvlOverride w:ilvl="0">
      <w:startOverride w:val="1"/>
    </w:lvlOverride>
  </w:num>
  <w:num w:numId="11" w16cid:durableId="1080567583">
    <w:abstractNumId w:val="9"/>
  </w:num>
  <w:num w:numId="12" w16cid:durableId="175053521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61E"/>
    <w:rsid w:val="0015074B"/>
    <w:rsid w:val="0029639D"/>
    <w:rsid w:val="002A597F"/>
    <w:rsid w:val="00311EC0"/>
    <w:rsid w:val="00326F90"/>
    <w:rsid w:val="003C77AA"/>
    <w:rsid w:val="007D72C2"/>
    <w:rsid w:val="008237CA"/>
    <w:rsid w:val="00A11A07"/>
    <w:rsid w:val="00A537D1"/>
    <w:rsid w:val="00A931C1"/>
    <w:rsid w:val="00AA1D8D"/>
    <w:rsid w:val="00B47730"/>
    <w:rsid w:val="00CB0664"/>
    <w:rsid w:val="00CB2940"/>
    <w:rsid w:val="00CE4CC6"/>
    <w:rsid w:val="00D922F5"/>
    <w:rsid w:val="00EE52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styleId="NormalWeb">
    <w:name w:val="Normal (Web)"/>
    <w:basedOn w:val="Normal"/>
    <w:uiPriority w:val="99"/>
    <w:semiHidden/>
    <w:unhideWhenUsed/>
    <w:rsid w:val="00CB2940"/>
    <w:pPr>
      <w:spacing w:before="100" w:beforeAutospacing="1" w:after="100" w:afterAutospacing="1" w:line="240" w:lineRule="auto"/>
    </w:pPr>
    <w:rPr>
      <w:rFonts w:ascii="Times New Roman" w:eastAsia="Times New Roman" w:hAnsi="Times New Roman" w:cs="Times New Roman"/>
      <w:sz w:val="24"/>
      <w:szCs w:val="24"/>
      <w:lang w:val="en-KR"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주원 이</cp:lastModifiedBy>
  <cp:revision>9</cp:revision>
  <dcterms:created xsi:type="dcterms:W3CDTF">2013-12-23T23:15:00Z</dcterms:created>
  <dcterms:modified xsi:type="dcterms:W3CDTF">2026-10-05T07:27:00Z</dcterms:modified>
  <cp:category/>
</cp:coreProperties>
</file>