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F4E79"/>
          <w:sz w:val="60"/>
        </w:rPr>
        <w:t>NeoSkill.uz</w:t>
      </w:r>
    </w:p>
    <w:p>
      <w:pPr>
        <w:jc w:val="center"/>
      </w:pPr>
      <w:r>
        <w:rPr>
          <w:rFonts w:ascii="Aptos Display" w:hAnsi="Aptos Display"/>
          <w:b/>
          <w:color w:val="27374C"/>
          <w:sz w:val="44"/>
        </w:rPr>
        <w:t>PM / Product Owner Project Pack</w:t>
      </w:r>
    </w:p>
    <w:p>
      <w:pPr>
        <w:jc w:val="center"/>
      </w:pPr>
      <w:r>
        <w:rPr>
          <w:rFonts w:ascii="Aptos" w:hAnsi="Aptos"/>
          <w:b w:val="0"/>
          <w:color w:val="6B7280"/>
          <w:sz w:val="22"/>
        </w:rPr>
        <w:t>Codex bilan NeoSkill MVPni boshqarish uchun hujjatlar indeksi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Holat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Working baseline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Versiya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1.1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Sana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7-sentabr, 2026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Asos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UPDATE NeoSkill TZ v1.1</w:t>
            </w:r>
          </w:p>
        </w:tc>
      </w:tr>
    </w:tbl>
    <w:p>
      <w:r>
        <w:br w:type="page"/>
      </w:r>
    </w:p>
    <w:p>
      <w:pPr>
        <w:pStyle w:val="Heading1"/>
      </w:pPr>
      <w:r>
        <w:t>1. Paketdan qanday foydalaniladi</w:t>
      </w:r>
    </w:p>
    <w:p>
      <w:r>
        <w:t>Ushbu paket UPDATE NeoSkill TZ v1.1 ni bajariladigan product delivery tizimiga aylantiradi. TZ “nima quriladi?” degan savolga javob beradi; bu hujjatlar esa “qaysi tartibda, qaysi chegarada, qaysi qabul mezoni bilan va Codexga qanday task berib quramiz?” savollariga javob beradi.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Ish tartibi — </w:t>
            </w:r>
            <w:r>
              <w:t>Avval PRD va Decision Register o‘qiladi. Keyin Product Backlog’dagi eng yuqori prioritetli READY task tanlanadi. Codexga faqat bitta task ID beriladi. Task acceptance criteria va testlardan o‘tgach DONE qilinadi.</w:t>
            </w:r>
          </w:p>
        </w:tc>
      </w:tr>
    </w:tbl>
    <w:p/>
    <w:p>
      <w:pPr>
        <w:pStyle w:val="Heading1"/>
      </w:pPr>
      <w:r>
        <w:t>2. Hujjatlar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Fayl</w:t>
            </w:r>
          </w:p>
        </w:tc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Vazifa</w:t>
            </w:r>
          </w:p>
        </w:tc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Kim ishlatadi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01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NeoSkill_PRD_v1.1.docx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Product maqsadi, foydalanuvchilar, scope, product rules, KPI va Definition of Done.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PO / PM / Codex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02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NeoSkill_Product_Backlog_and_Roadmap_v1.1.docx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Epics, prioritetlar, tasklar, dependency va milestone ketma-ketligi.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PM / Codex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03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NeoSkill_QA_UAT_Release_Plan_v1.1.docx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Test strategiyasi, UAT ssenariylari, release gate va regression checklist.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PM / QA / PO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04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NeoSkill_Decision_and_Risk_Register_v1.1.docx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Qabul qilingan/pending product-technical qarorlar va loyiha risklari.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PO / PM / Tech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05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NeoSkill_Codex_Execution_Playbook_v1.1.docx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Codex bilan ishlash qoidalari, task promptlari, review va change-control.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PM / Developer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MD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codex/AGENTS.md + PRODUCT_CONTEXT.md + DECISIONS.md + DESIGN_SYSTEM.md + BACKLOG.md + TASK_TEMPLATE.md + DESIGN_GAP_LOG.md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Repositoryga qo‘yiladigan Codex-ready ishchi kontekst.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Codex</w:t>
            </w:r>
          </w:p>
        </w:tc>
      </w:tr>
      <w:tr>
        <w:tc>
          <w:tcPr>
            <w:tcW w:type="dxa" w:w="2520"/>
          </w:tcPr>
          <w:p>
            <w:r>
              <w:t>06</w:t>
            </w:r>
          </w:p>
        </w:tc>
        <w:tc>
          <w:tcPr>
            <w:tcW w:type="dxa" w:w="2520"/>
          </w:tcPr>
          <w:p>
            <w:r>
              <w:t>NeoSkill_Design_Implementation_Spec_v1.0.docx</w:t>
            </w:r>
          </w:p>
        </w:tc>
        <w:tc>
          <w:tcPr>
            <w:tcW w:type="dxa" w:w="2520"/>
          </w:tcPr>
          <w:p>
            <w:r>
              <w:t>Figma visual contract, precedence, design token/component rules va UI acceptance criteria.</w:t>
            </w:r>
          </w:p>
        </w:tc>
        <w:tc>
          <w:tcPr>
            <w:tcW w:type="dxa" w:w="2520"/>
          </w:tcPr>
          <w:p>
            <w:r>
              <w:t>PO / PM / Codex</w:t>
            </w:r>
          </w:p>
        </w:tc>
      </w:tr>
    </w:tbl>
    <w:p/>
    <w:p>
      <w:pPr>
        <w:pStyle w:val="Heading1"/>
      </w:pPr>
      <w:r>
        <w:t>3. Manba va chegaralar</w:t>
      </w:r>
    </w:p>
    <w:p>
      <w:pPr>
        <w:pStyle w:val="ListBullet"/>
      </w:pPr>
      <w:r>
        <w:t>Product baseline: UPDATE NeoSkill TZ v1.1, 7-sentabr 2026.</w:t>
      </w:r>
    </w:p>
    <w:p>
      <w:pPr>
        <w:pStyle w:val="ListBullet"/>
      </w:pPr>
      <w:r>
        <w:t>MVPda Click/Payme/Card payment yo‘q; paid course manual Enrollment Request orqali ochiladi.</w:t>
      </w:r>
    </w:p>
    <w:p>
      <w:pPr>
        <w:pStyle w:val="ListBullet"/>
      </w:pPr>
      <w:r>
        <w:t>MVPda Google login, instructor cabinet, internal chat/forum, mobile app, AI teacher, ratings/reviews, advanced DRM yo‘q.</w:t>
      </w:r>
    </w:p>
    <w:p>
      <w:pPr>
        <w:pStyle w:val="ListBullet"/>
      </w:pPr>
      <w:r>
        <w:t>Bepul kurslar auto-enrollment; pullik kurslar admin approve orqali ACTIVE enrollment oladi.</w:t>
      </w:r>
    </w:p>
    <w:p>
      <w:pPr>
        <w:pStyle w:val="ListBullet"/>
      </w:pPr>
      <w:r>
        <w:t>Video MVPda managed hosting/stream URL orqali ishlaydi; og‘ir upload/transcoding pipeline majburiy emas.</w:t>
      </w:r>
    </w:p>
    <w:p>
      <w:pPr>
        <w:pStyle w:val="Heading1"/>
      </w:pPr>
      <w:r>
        <w:t>4. PO uchun boshqaruv qoidasi</w:t>
      </w:r>
    </w:p>
    <w:p>
      <w:r>
        <w:t>Har qanday yangi g‘oya avval “MVP uchun zarurmi?” savolidan o‘tadi. Agar u registration → enrollment → learning → test → unlock → completion asosiy oqimini ishga tushirishga to‘sqinlik qilmasa, default holatda backlogga Phase 2 sifatida tushadi. Bu scope creepni nazorat qiladi.</w:t>
      </w:r>
    </w:p>
    <w:p>
      <w:r>
        <w:br w:type="page"/>
      </w:r>
    </w:p>
    <w:p>
      <w:pPr>
        <w:pStyle w:val="Heading1"/>
      </w:pPr>
      <w:r>
        <w:t>5. UPDATE v1.1 - Figma design contract</w:t>
      </w:r>
    </w:p>
    <w:p>
      <w:r>
        <w:t>Figma NeoSkill’ning visual reference manbasi sifatida paketga qo‘shildi. Rang, typography, component appearance va umumiy layout format Figma’dan olinadi; funksional behavior esa TZ/PRD/Decision Register’dan olinadi.</w:t>
      </w:r>
    </w:p>
    <w:p>
      <w:r>
        <w:t>Figma: https://www.figma.com/design/qGHPlSmY94SfOg9kAmrpCe/Untitled?node-id=0-1&amp;t=uK8Eg7QLeJl7mphE-1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Yangi/yangilangan fayl</w:t>
            </w:r>
          </w:p>
        </w:tc>
        <w:tc>
          <w:tcPr>
            <w:tcW w:type="dxa" w:w="50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Maqsad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06_NeoSkill_Design_Implementation_Spec_v1.0.docx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Visual source of truth, precedence, token/component contract va UI acceptance criteria.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codex/DESIGN_SYSTEM.md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Codex uchun qisqa va majburiy Figma implementation rules.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codex/DESIGN_GAP_LOG.md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Figma’dan deliberate deviationlarni hujjatlashtirish.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AGENTS/PRD/QA/Decisions/Playbook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Figma design contract bilan integratsiya qilingan.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Source-of-truth qoidasi - </w:t>
            </w:r>
            <w:r>
              <w:t>Figma visual truth; TZ/PRD product truth. Figma’dagi product kamchiligi ko‘chirilmaydi, lekin rang va vizual til saqlanadi.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7280"/>
        <w:sz w:val="16"/>
      </w:rPr>
      <w:t>NeoSkill Product Delivery Pack  •  7-sentabr,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6B7280"/>
        <w:sz w:val="16"/>
      </w:rPr>
      <w:t>NeoSkill.uz  |  PM / Product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37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37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