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Normal"/>
      </w:pPr>
    </w:p>
    <w:p>
      <w:pPr>
        <w:pStyle w:val="Title"/>
      </w:pPr>
      <w:r>
        <w:rPr/>
        <w:t xml:space="preserve">Mabia AI</w:t>
      </w:r>
    </w:p>
    <w:p>
      <w:pPr>
        <w:pStyle w:val="Subtitle"/>
      </w:pPr>
      <w:r>
        <w:rPr/>
        <w:t xml:space="preserve">CHPS Emergency Response, Voice Outreach and Nutrition Coordination Platform</w:t>
      </w:r>
    </w:p>
    <w:p>
      <w:pPr>
        <w:pStyle w:val="Normal"/>
        <w:pBdr>
          <w:bottom w:val="single" w:sz="18" w:space="6" w:color="1F6F8B"/>
        </w:pBdr>
      </w:pPr>
    </w:p>
    <w:p>
      <w:pPr>
        <w:pStyle w:val="Meta"/>
      </w:pPr>
      <w:r>
        <w:rPr/>
        <w:t xml:space="preserve">UNICEF StartUp Lab  ·  AI for Nurturing Care Hackathon 2026</w:t>
      </w:r>
    </w:p>
    <w:p>
      <w:pPr>
        <w:pStyle w:val="Meta"/>
      </w:pPr>
      <w:r>
        <w:rPr/>
        <w:t xml:space="preserve">Northern, North East, Savannah, Upper East and Upper West Regions, Ghana</w:t>
      </w:r>
    </w:p>
    <w:p>
      <w:pPr>
        <w:pStyle w:val="Normal"/>
      </w:pPr>
    </w:p>
    <w:p>
      <w:pPr>
        <w:pStyle w:val="Normal"/>
      </w:pPr>
    </w:p>
    <w:p>
      <w:pPr>
        <w:pStyle w:val="Pullquote"/>
      </w:pPr>
      <w:r>
        <w:rPr/>
        <w:t xml:space="preserve">An offline-first voice platform that calls pregnant women and caregivers in their own language over plain GSM — triaging danger signs, measuring dietary diversity, and dispatching community transport — so that silence is never mistaken for safety.</w:t>
      </w:r>
    </w:p>
    <w:p>
      <w:pPr>
        <w:pStyle w:val="Normal"/>
      </w:pPr>
    </w:p>
    <w:p>
      <w:pPr>
        <w:pStyle w:val="Normal"/>
      </w:pPr>
    </w:p>
    <w:p>
      <w:pPr>
        <w:pStyle w:val="Heading2"/>
      </w:pPr>
      <w:r>
        <w:rPr/>
        <w:t xml:space="preserve">Contents</w:t>
      </w:r>
    </w:p>
    <w:p>
      <w:pPr>
        <w:pStyle w:val="Contents"/>
      </w:pPr>
      <w:r>
        <w:rPr/>
        <w:t xml:space="preserve">1.   Solution Name</w:t>
      </w:r>
    </w:p>
    <w:p>
      <w:pPr>
        <w:pStyle w:val="Contents"/>
      </w:pPr>
      <w:r>
        <w:rPr/>
        <w:t xml:space="preserve">2.   Executive Summary</w:t>
      </w:r>
    </w:p>
    <w:p>
      <w:pPr>
        <w:pStyle w:val="Contents"/>
      </w:pPr>
      <w:r>
        <w:rPr/>
        <w:t xml:space="preserve">3.   Problem Statement</w:t>
      </w:r>
    </w:p>
    <w:p>
      <w:pPr>
        <w:pStyle w:val="Contents"/>
      </w:pPr>
      <w:r>
        <w:rPr/>
        <w:t xml:space="preserve">4.   System Users</w:t>
      </w:r>
    </w:p>
    <w:p>
      <w:pPr>
        <w:pStyle w:val="Contents"/>
      </w:pPr>
      <w:r>
        <w:rPr/>
        <w:t xml:space="preserve">5.   End-to-End System Flow</w:t>
      </w:r>
    </w:p>
    <w:p>
      <w:pPr>
        <w:pStyle w:val="Contents"/>
      </w:pPr>
      <w:r>
        <w:rPr/>
        <w:t xml:space="preserve">6.   Voice, SMS and USSD Layer</w:t>
      </w:r>
    </w:p>
    <w:p>
      <w:pPr>
        <w:pStyle w:val="Contents"/>
      </w:pPr>
      <w:r>
        <w:rPr/>
        <w:t xml:space="preserve">7.   AI and Decision Support</w:t>
      </w:r>
    </w:p>
    <w:p>
      <w:pPr>
        <w:pStyle w:val="Contents"/>
      </w:pPr>
      <w:r>
        <w:rPr/>
        <w:t xml:space="preserve">8.   Local-Food Nutrition Intelligence</w:t>
      </w:r>
    </w:p>
    <w:p>
      <w:pPr>
        <w:pStyle w:val="Contents"/>
      </w:pPr>
      <w:r>
        <w:rPr/>
        <w:t xml:space="preserve">9.   Local-Language Speech</w:t>
      </w:r>
    </w:p>
    <w:p>
      <w:pPr>
        <w:pStyle w:val="Contents"/>
      </w:pPr>
      <w:r>
        <w:rPr/>
        <w:t xml:space="preserve">10.   Technical Architecture</w:t>
      </w:r>
    </w:p>
    <w:p>
      <w:pPr>
        <w:pStyle w:val="Contents"/>
      </w:pPr>
      <w:r>
        <w:rPr/>
        <w:t xml:space="preserve">11.   The Worker’s Interface</w:t>
      </w:r>
    </w:p>
    <w:p>
      <w:pPr>
        <w:pStyle w:val="Contents"/>
      </w:pPr>
      <w:r>
        <w:rPr/>
        <w:t xml:space="preserve">12.   Technology Stack</w:t>
      </w:r>
    </w:p>
    <w:p>
      <w:pPr>
        <w:pStyle w:val="Contents"/>
      </w:pPr>
      <w:r>
        <w:rPr/>
        <w:t xml:space="preserve">13.   Data Protection and Responsible AI</w:t>
      </w:r>
    </w:p>
    <w:p>
      <w:pPr>
        <w:pStyle w:val="Contents"/>
      </w:pPr>
      <w:r>
        <w:rPr/>
        <w:t xml:space="preserve">14.   Build Status</w:t>
      </w:r>
    </w:p>
    <w:p>
      <w:pPr>
        <w:pStyle w:val="Contents"/>
      </w:pPr>
      <w:r>
        <w:rPr/>
        <w:t xml:space="preserve">15.   Impact Measurement</w:t>
      </w:r>
    </w:p>
    <w:p>
      <w:pPr>
        <w:pStyle w:val="Contents"/>
      </w:pPr>
      <w:r>
        <w:rPr/>
        <w:t xml:space="preserve">16.   Verification</w:t>
      </w:r>
    </w:p>
    <w:p>
      <w:pPr>
        <w:pStyle w:val="Contents"/>
      </w:pPr>
      <w:r>
        <w:rPr/>
        <w:t xml:space="preserve">17.   Innovation and Differentiation</w:t>
      </w:r>
    </w:p>
    <w:p>
      <w:pPr>
        <w:pStyle w:val="Contents"/>
      </w:pPr>
      <w:r>
        <w:rPr/>
        <w:t xml:space="preserve">18.   Team and Repository</w:t>
      </w:r>
    </w:p>
    <w:p>
      <w:r>
        <w:br w:type="page"/>
      </w:r>
    </w:p>
    <w:p>
      <w:pPr>
        <w:pStyle w:val="Heading1"/>
        <w:pBdr>
          <w:bottom w:val="single" w:sz="8" w:space="4" w:color="C9D6DE"/>
        </w:pBdr>
      </w:pPr>
      <w:r>
        <w:rPr/>
        <w:t xml:space="preserve">1.  Solution Name</w:t>
      </w:r>
    </w:p>
    <w:p>
      <w:pPr>
        <w:pStyle w:val="Normal"/>
      </w:pPr>
      <w:r>
        <w:rPr/>
        <w:t xml:space="preserve">Mabia AI — CHPS Emergency Response, Voice Outreach and Nutrition Coordination Platform.</w:t>
      </w:r>
    </w:p>
    <w:p>
      <w:pPr>
        <w:pStyle w:val="Normal"/>
      </w:pPr>
      <w:r>
        <w:rPr>
          <w:b/>
        </w:rPr>
        <w:t xml:space="preserve">Mabia</w:t>
      </w:r>
      <w:r>
        <w:rPr/>
        <w:t xml:space="preserve"> is the name of the language family spoken across most of Northern Ghana, which includes Dagbani, Kusaal and Frafra. The term means </w:t>
      </w:r>
      <w:r>
        <w:rPr>
          <w:b/>
        </w:rPr>
        <w:t xml:space="preserve">mother's child</w:t>
      </w:r>
      <w:r>
        <w:rPr/>
        <w:t xml:space="preserve"> — from </w:t>
      </w:r>
      <w:r>
        <w:rPr>
          <w:b/>
        </w:rPr>
        <w:t xml:space="preserve">ma</w:t>
      </w:r>
      <w:r>
        <w:rPr/>
        <w:t xml:space="preserve">, mother, and </w:t>
      </w:r>
      <w:r>
        <w:rPr>
          <w:b/>
        </w:rPr>
        <w:t xml:space="preserve">bia</w:t>
      </w:r>
      <w:r>
        <w:rPr/>
        <w:t xml:space="preserve">, child — and was chosen for the family because the languages are siblings of one another. It is an unusually exact name for a platform whose entire purpose is the survival of mothers and their children, and which speaks to them in their own languages. Gonja, also supported, belongs to the neighbouring Guang group rather than to Mabia.</w:t>
      </w:r>
    </w:p>
    <w:p>
      <w:pPr>
        <w:pStyle w:val="Heading1"/>
        <w:pBdr>
          <w:bottom w:val="single" w:sz="8" w:space="4" w:color="C9D6DE"/>
        </w:pBdr>
      </w:pPr>
      <w:r>
        <w:rPr/>
        <w:t xml:space="preserve">2.  Executive Summary</w:t>
      </w:r>
    </w:p>
    <w:p>
      <w:pPr>
        <w:pStyle w:val="Normal"/>
      </w:pPr>
      <w:r>
        <w:rPr/>
        <w:t xml:space="preserve">Mabia AI is an offline-first, AI-assisted health coordination platform for rural Northern Ghana. It closes the gap between risk identification, emergency communication, transport access and practical nutrition guidance — the four places where maternal and under-five survival is currently lost.</w:t>
      </w:r>
    </w:p>
    <w:p>
      <w:pPr>
        <w:pStyle w:val="Normal"/>
      </w:pPr>
      <w:r>
        <w:rPr/>
        <w:t xml:space="preserve">The platform inverts the direction of contact. Rather than waiting for a mother to recognise danger and find airtime to call a helpline, Mabia AI calls her, on a schedule anchored to her pregnancy, in her own language, over plain GSM. Each call performs danger-sign triage, measures dietary diversity against the WHO standard, and delivers one specific nutrition message chosen for the food groups she is actually missing, the region she lives in, and the month of the year.</w:t>
      </w:r>
    </w:p>
    <w:p>
      <w:pPr>
        <w:pStyle w:val="Normal"/>
      </w:pPr>
      <w:r>
        <w:rPr/>
        <w:t xml:space="preserve">An explainable rule-based risk engine converts every call and every household visit into a Green, Amber or Red classification with the reasoning attached. Red alerts reach the Community Health Officer by SMS, are validated by a human being, and trigger automated transport dispatch through the community's own drivers. The loop stays open until the CHO records whether care was actually received.</w:t>
      </w:r>
    </w:p>
    <w:p>
      <w:pPr>
        <w:pStyle w:val="Normal"/>
      </w:pPr>
      <w:r>
        <w:rPr/>
        <w:t xml:space="preserve">A voice hotline provides the reverse channel. A caregiver rings the platform and hangs up; the system calls her back at no cost to her, offers structured guidance, and can route her to an on-call nurse. No call is ever allowed to end without a health worker being alerted.</w:t>
      </w:r>
    </w:p>
    <w:p>
      <w:pPr>
        <w:pStyle w:val="Normal"/>
      </w:pPr>
      <w:r>
        <w:rPr/>
        <w:t xml:space="preserve">Everything the caregiver touches works on a basic feature phone, with no mobile data, no smartphone and no literacy requirement. Everything the health worker touches works fully offline and synchronises through an append-only event log when a signal returns.</w:t>
      </w:r>
    </w:p>
    <w:p>
      <w:pPr>
        <w:pStyle w:val="Heading1"/>
        <w:pBdr>
          <w:bottom w:val="single" w:sz="8" w:space="4" w:color="C9D6DE"/>
        </w:pBdr>
      </w:pPr>
      <w:r>
        <w:rPr/>
        <w:t xml:space="preserve">3.  Problem Statement</w:t>
      </w:r>
    </w:p>
    <w:p>
      <w:pPr>
        <w:pStyle w:val="Normal"/>
      </w:pPr>
      <w:r>
        <w:rPr/>
        <w:t xml:space="preserve">Northern Ghana — the Northern, North East, Savannah, Upper East and Upper West Regions — carries a disproportionate share of the country's maternal and child mortality, driven by geographic barriers, poverty and weak referral networks.</w:t>
      </w:r>
    </w:p>
    <w:p>
      <w:pPr>
        <w:pStyle w:val="Normal"/>
      </w:pPr>
      <w:r>
        <w:rPr/>
        <w:t xml:space="preserve">These failures map precisely onto the Three Delays model (Thaddeus and Maine, 1994): the delay in recognising danger and deciding to seek care, the delay in reaching care, and the delay in receiving adequate care on arrival. Mabia AI is structured as a deliberate response to all three, rather than as a collection of features.</w:t>
      </w:r>
    </w:p>
    <w:p>
      <w:pPr>
        <w:pStyle w:val="ListBullet"/>
        <w:ind w:left="510" w:hanging="255"/>
      </w:pPr>
      <w:r>
        <w:rPr/>
        <w:t xml:space="preserve">•   </w:t>
      </w:r>
      <w:r>
        <w:rPr>
          <w:b/>
        </w:rPr>
        <w:t xml:space="preserve">Delay 1 — the detection gap.</w:t>
      </w:r>
      <w:r>
        <w:rPr/>
        <w:t xml:space="preserve"> The system fails at recognising danger and deciding to seek care. Existing helplines wait passively; they assume a woman already knows something is wrong, and they treat silence as safety. Nationally, maternal mortality stood at 234 per 100,000 live births in 2023, against an SDG target of under 70 by 2030.</w:t>
      </w:r>
    </w:p>
    <w:p>
      <w:pPr>
        <w:pStyle w:val="ListBullet"/>
        <w:ind w:left="510" w:hanging="255"/>
      </w:pPr>
      <w:r>
        <w:rPr/>
        <w:t xml:space="preserve">•   </w:t>
      </w:r>
      <w:r>
        <w:rPr>
          <w:b/>
        </w:rPr>
        <w:t xml:space="preserve">Regional concentration.</w:t>
      </w:r>
      <w:r>
        <w:rPr/>
        <w:t xml:space="preserve"> Between 2019 and 2023 the Northern Region alone accounted for 10 per cent of Ghana's neonatal deaths — 2,512 deaths. In the Upper East, neonatal deaths are driven primarily by birth asphyxia, a cause directly sensitive to how quickly a woman in labour reaches skilled care.</w:t>
      </w:r>
    </w:p>
    <w:p>
      <w:pPr>
        <w:pStyle w:val="ListBullet"/>
        <w:ind w:left="510" w:hanging="255"/>
      </w:pPr>
      <w:r>
        <w:rPr/>
        <w:t xml:space="preserve">•   </w:t>
      </w:r>
      <w:r>
        <w:rPr>
          <w:b/>
        </w:rPr>
        <w:t xml:space="preserve">Anaemia.</w:t>
      </w:r>
      <w:r>
        <w:rPr/>
        <w:t xml:space="preserve"> Maternal anaemia in the Upper West has risen to 44.2 per cent, compounding haemorrhage risk and reflecting both supply gaps in iron and folic acid and the absence of practical dietary guidance.</w:t>
      </w:r>
    </w:p>
    <w:p>
      <w:pPr>
        <w:pStyle w:val="ListBullet"/>
        <w:ind w:left="510" w:hanging="255"/>
      </w:pPr>
      <w:r>
        <w:rPr/>
        <w:t xml:space="preserve">•   </w:t>
      </w:r>
      <w:r>
        <w:rPr>
          <w:b/>
        </w:rPr>
        <w:t xml:space="preserve">Delay 2 — the transport gap.</w:t>
      </w:r>
      <w:r>
        <w:rPr/>
        <w:t xml:space="preserve"> Reaching care is obstructed by long distances, poor roads and severely limited ambulance availability. Community vehicles exist but are uncoordinated.</w:t>
      </w:r>
    </w:p>
    <w:p>
      <w:pPr>
        <w:pStyle w:val="ListBullet"/>
        <w:ind w:left="510" w:hanging="255"/>
      </w:pPr>
      <w:r>
        <w:rPr/>
        <w:t xml:space="preserve">•   </w:t>
      </w:r>
      <w:r>
        <w:rPr>
          <w:b/>
        </w:rPr>
        <w:t xml:space="preserve">Delay 3 — the communication and follow-up gap.</w:t>
      </w:r>
      <w:r>
        <w:rPr/>
        <w:t xml:space="preserve"> Referral communication between communities and facilities is weak, so facilities learn of a case as the patient arrives rather than before. Records are fragmented and generally begin at hospital discharge, leaving out-of-facility contacts structurally invisible and referral completion unconfirmed.</w:t>
      </w:r>
    </w:p>
    <w:p>
      <w:pPr>
        <w:pStyle w:val="ListBullet"/>
        <w:ind w:left="510" w:hanging="255"/>
      </w:pPr>
      <w:r>
        <w:rPr/>
        <w:t xml:space="preserve">•   </w:t>
      </w:r>
      <w:r>
        <w:rPr>
          <w:b/>
        </w:rPr>
        <w:t xml:space="preserve">Nutrition gap.</w:t>
      </w:r>
      <w:r>
        <w:rPr/>
        <w:t xml:space="preserve"> Stunting reaches nearly 30 per cent in the Northern and North East Regions against a national figure of 17.4 per cent. Food insecurity runs as high as 73.7 per cent in the Upper East and above 58 per cent in Savannah. Nationally, 2.4 million children under five live in child food poverty and only 26.4 per cent of children aged 6–23 months receive a minimum acceptable diet.</w:t>
      </w:r>
    </w:p>
    <w:p>
      <w:pPr>
        <w:pStyle w:val="ListBullet"/>
        <w:ind w:left="510" w:hanging="255"/>
      </w:pPr>
      <w:r>
        <w:rPr/>
        <w:t xml:space="preserve">•   </w:t>
      </w:r>
      <w:r>
        <w:rPr>
          <w:b/>
        </w:rPr>
        <w:t xml:space="preserve">Guidance gap.</w:t>
      </w:r>
      <w:r>
        <w:rPr/>
        <w:t xml:space="preserve"> The cited causes of poor diets are seasonal shortages, high food costs and a lack of practical guidance for caregivers. Generic advice fails here: telling a household in Savannah during the lean season to buy eggs is advice it cannot act on.</w:t>
      </w:r>
    </w:p>
    <w:p>
      <w:pPr>
        <w:pStyle w:val="Heading1"/>
        <w:pBdr>
          <w:bottom w:val="single" w:sz="8" w:space="4" w:color="C9D6DE"/>
        </w:pBdr>
      </w:pPr>
      <w:r>
        <w:rPr/>
        <w:t xml:space="preserve">4.  System Users</w:t>
      </w:r>
    </w:p>
    <w:tbl>
      <w:tblPr>
        <w:tblW w:w="5000" w:type="pct"/>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CellMar>
          <w:top w:w="80" w:type="dxa"/>
          <w:bottom w:w="80" w:type="dxa"/>
          <w:left w:w="120" w:type="dxa"/>
          <w:right w:w="120" w:type="dxa"/>
        </w:tblCellMar>
      </w:tblPr>
      <w:tblGrid>
        <w:gridCol w:w="2721"/>
        <w:gridCol w:w="6349"/>
      </w:tblGrid>
      <w:tr>
        <w:trPr>
          <w:tblHeader/>
        </w:trPr>
        <w:tc>
          <w:tcPr>
            <w:tcW w:w="1500" w:type="pct"/>
            <w:shd w:val="clear" w:fill="F2F7F9"/>
            <w:vAlign w:val="center"/>
          </w:tcPr>
          <w:p>
            <w:pPr>
              <w:pStyle w:val="TableText"/>
            </w:pPr>
            <w:r>
              <w:rPr>
                <w:b/>
              </w:rPr>
              <w:t xml:space="preserve">User</w:t>
            </w:r>
          </w:p>
        </w:tc>
        <w:tc>
          <w:tcPr>
            <w:tcW w:w="3500" w:type="pct"/>
            <w:shd w:val="clear" w:fill="F2F7F9"/>
            <w:vAlign w:val="center"/>
          </w:tcPr>
          <w:p>
            <w:pPr>
              <w:pStyle w:val="TableText"/>
            </w:pPr>
            <w:r>
              <w:rPr>
                <w:b/>
              </w:rPr>
              <w:t xml:space="preserve">Role in the system</w:t>
            </w:r>
          </w:p>
        </w:tc>
      </w:tr>
      <w:tr>
        <w:tc>
          <w:tcPr>
            <w:tcW w:w="1500" w:type="pct"/>
            <w:vAlign w:val="center"/>
          </w:tcPr>
          <w:p>
            <w:pPr>
              <w:pStyle w:val="TableText"/>
            </w:pPr>
            <w:r>
              <w:rPr/>
              <w:t xml:space="preserve">Pregnant women and caregivers</w:t>
            </w:r>
          </w:p>
        </w:tc>
        <w:tc>
          <w:tcPr>
            <w:tcW w:w="3500" w:type="pct"/>
            <w:vAlign w:val="center"/>
          </w:tcPr>
          <w:p>
            <w:pPr>
              <w:pStyle w:val="TableText"/>
            </w:pPr>
            <w:r>
              <w:rPr/>
              <w:t xml:space="preserve">Receive scheduled proactive voice calls in their own language. Answer danger-sign and dietary questions by keypad, receive one targeted nutrition message per call, and can reach the platform at any time at no airtime cost.</w:t>
            </w:r>
          </w:p>
        </w:tc>
      </w:tr>
      <w:tr>
        <w:tc>
          <w:tcPr>
            <w:tcW w:w="1500" w:type="pct"/>
            <w:vAlign w:val="center"/>
          </w:tcPr>
          <w:p>
            <w:pPr>
              <w:pStyle w:val="TableText"/>
            </w:pPr>
            <w:r>
              <w:rPr/>
              <w:t xml:space="preserve">CHPS workers (Community Health Officers)</w:t>
            </w:r>
          </w:p>
        </w:tc>
        <w:tc>
          <w:tcPr>
            <w:tcW w:w="3500" w:type="pct"/>
            <w:vAlign w:val="center"/>
          </w:tcPr>
          <w:p>
            <w:pPr>
              <w:pStyle w:val="TableText"/>
            </w:pPr>
            <w:r>
              <w:rPr/>
              <w:t xml:space="preserve">Conduct household visits and baseline registration. Work an offline queue prioritised by risk, validate every recommendation as the human in the loop, resupply iron and folic acid, and record actual referral outcomes.</w:t>
            </w:r>
          </w:p>
        </w:tc>
      </w:tr>
      <w:tr>
        <w:tc>
          <w:tcPr>
            <w:tcW w:w="1500" w:type="pct"/>
            <w:vAlign w:val="center"/>
          </w:tcPr>
          <w:p>
            <w:pPr>
              <w:pStyle w:val="TableText"/>
            </w:pPr>
            <w:r>
              <w:rPr/>
              <w:t xml:space="preserve">Nutrition officers</w:t>
            </w:r>
          </w:p>
        </w:tc>
        <w:tc>
          <w:tcPr>
            <w:tcW w:w="3500" w:type="pct"/>
            <w:vAlign w:val="center"/>
          </w:tcPr>
          <w:p>
            <w:pPr>
              <w:pStyle w:val="TableText"/>
            </w:pPr>
            <w:r>
              <w:rPr/>
              <w:t xml:space="preserve">Work a nutrition-filtered view of the same caseload: dietary diversity trends, MUAC trajectories, and iron and folic acid stock and adherence.</w:t>
            </w:r>
          </w:p>
        </w:tc>
      </w:tr>
      <w:tr>
        <w:tc>
          <w:tcPr>
            <w:tcW w:w="1500" w:type="pct"/>
            <w:vAlign w:val="center"/>
          </w:tcPr>
          <w:p>
            <w:pPr>
              <w:pStyle w:val="TableText"/>
            </w:pPr>
            <w:r>
              <w:rPr/>
              <w:t xml:space="preserve">On-call nurses</w:t>
            </w:r>
          </w:p>
        </w:tc>
        <w:tc>
          <w:tcPr>
            <w:tcW w:w="3500" w:type="pct"/>
            <w:vAlign w:val="center"/>
          </w:tcPr>
          <w:p>
            <w:pPr>
              <w:pStyle w:val="TableText"/>
            </w:pPr>
            <w:r>
              <w:rPr/>
              <w:t xml:space="preserve">Registered against a facility and a shift window. Receive routed voice calls from caregivers whose situation falls outside structured guidance.</w:t>
            </w:r>
          </w:p>
        </w:tc>
      </w:tr>
      <w:tr>
        <w:tc>
          <w:tcPr>
            <w:tcW w:w="1500" w:type="pct"/>
            <w:vAlign w:val="center"/>
          </w:tcPr>
          <w:p>
            <w:pPr>
              <w:pStyle w:val="TableText"/>
            </w:pPr>
            <w:r>
              <w:rPr/>
              <w:t xml:space="preserve">Transport providers</w:t>
            </w:r>
          </w:p>
        </w:tc>
        <w:tc>
          <w:tcPr>
            <w:tcW w:w="3500" w:type="pct"/>
            <w:vAlign w:val="center"/>
          </w:tcPr>
          <w:p>
            <w:pPr>
              <w:pStyle w:val="TableText"/>
            </w:pPr>
            <w:r>
              <w:rPr/>
              <w:t xml:space="preserve">Register vehicle availability within their own community. Receive automated voice calls and accept assignments by keypad.</w:t>
            </w:r>
          </w:p>
        </w:tc>
      </w:tr>
      <w:tr>
        <w:tc>
          <w:tcPr>
            <w:tcW w:w="1500" w:type="pct"/>
            <w:vAlign w:val="center"/>
          </w:tcPr>
          <w:p>
            <w:pPr>
              <w:pStyle w:val="TableText"/>
            </w:pPr>
            <w:r>
              <w:rPr/>
              <w:t xml:space="preserve">Health facilities</w:t>
            </w:r>
          </w:p>
        </w:tc>
        <w:tc>
          <w:tcPr>
            <w:tcW w:w="3500" w:type="pct"/>
            <w:vAlign w:val="center"/>
          </w:tcPr>
          <w:p>
            <w:pPr>
              <w:pStyle w:val="TableText"/>
            </w:pPr>
            <w:r>
              <w:rPr/>
              <w:t xml:space="preserve">Receive inbound alerts, prepare resources before arrival, and confirm that the patient reached care.</w:t>
            </w:r>
          </w:p>
        </w:tc>
      </w:tr>
      <w:tr>
        <w:tc>
          <w:tcPr>
            <w:tcW w:w="1500" w:type="pct"/>
            <w:vAlign w:val="center"/>
          </w:tcPr>
          <w:p>
            <w:pPr>
              <w:pStyle w:val="TableText"/>
            </w:pPr>
            <w:r>
              <w:rPr/>
              <w:t xml:space="preserve">The platform</w:t>
            </w:r>
          </w:p>
        </w:tc>
        <w:tc>
          <w:tcPr>
            <w:tcW w:w="3500" w:type="pct"/>
            <w:vAlign w:val="center"/>
          </w:tcPr>
          <w:p>
            <w:pPr>
              <w:pStyle w:val="TableText"/>
            </w:pPr>
            <w:r>
              <w:rPr/>
              <w:t xml:space="preserve">Automates the outreach timeline, conducts triage, selects nutrition guidance, classifies risk, routes emergency transport, and holds each case open until a human closes it.</w:t>
            </w:r>
          </w:p>
        </w:tc>
      </w:tr>
    </w:tbl>
    <w:p>
      <w:pPr>
        <w:pStyle w:val="Normal"/>
      </w:pPr>
    </w:p>
    <w:p>
      <w:pPr>
        <w:pStyle w:val="Heading1"/>
        <w:pBdr>
          <w:bottom w:val="single" w:sz="8" w:space="4" w:color="C9D6DE"/>
        </w:pBdr>
      </w:pPr>
      <w:r>
        <w:rPr/>
        <w:t xml:space="preserve">5.  End-to-End System Flow</w:t>
      </w:r>
    </w:p>
    <w:p>
      <w:pPr>
        <w:pStyle w:val="Heading2"/>
      </w:pPr>
      <w:r>
        <w:rPr/>
        <w:t xml:space="preserve">Phase 1 — Household registration</w:t>
      </w:r>
    </w:p>
    <w:p>
      <w:pPr>
        <w:pStyle w:val="Normal"/>
      </w:pPr>
      <w:r>
        <w:rPr/>
        <w:t xml:space="preserve">The CHPS worker enrols the caregiver at first antenatal contact, capturing pregnancy stage, language, phone number, a named secondary household contact, baseline danger signs, previous complications, any food taboos observed by the household, and explicit consent.</w:t>
      </w:r>
    </w:p>
    <w:p>
      <w:pPr>
        <w:pStyle w:val="Normal"/>
      </w:pPr>
      <w:r>
        <w:rPr/>
        <w:t xml:space="preserve">Enrolment also records </w:t>
      </w:r>
      <w:r>
        <w:rPr>
          <w:b/>
        </w:rPr>
        <w:t xml:space="preserve">how far she is from care</w:t>
      </w:r>
      <w:r>
        <w:rPr/>
        <w:t xml:space="preserve">: how many minutes it takes her to reach the health centre, and what the road is like. This is asked rather than inferred. Geography is the whole of Delay 2, and a rule about distance that reads a field nobody collects is a rule that can never fire.</w:t>
      </w:r>
    </w:p>
    <w:p>
      <w:pPr>
        <w:pStyle w:val="Normal"/>
      </w:pPr>
      <w:r>
        <w:rPr/>
        <w:t xml:space="preserve">Consent is recorded as three separate agreements rather than one box — to being called, to her health information being kept, and to a second contact being reached — because they are three separate things to agree to.</w:t>
      </w:r>
    </w:p>
    <w:p>
      <w:pPr>
        <w:pStyle w:val="Heading2"/>
      </w:pPr>
      <w:r>
        <w:rPr/>
        <w:t xml:space="preserve">Phase 2 — Offline data capture</w:t>
      </w:r>
    </w:p>
    <w:p>
      <w:pPr>
        <w:pStyle w:val="Normal"/>
      </w:pPr>
      <w:r>
        <w:rPr/>
        <w:t xml:space="preserve">Data is captured on the worker's device in a React Progressive Web App. Because connectivity is unreliable, patient records, visit histories and emergency events are written locally to IndexedDB as an append-only event log.</w:t>
      </w:r>
    </w:p>
    <w:p>
      <w:pPr>
        <w:pStyle w:val="Heading2"/>
      </w:pPr>
      <w:r>
        <w:rPr/>
        <w:t xml:space="preserve">Phase 3 — Synchronisation</w:t>
      </w:r>
    </w:p>
    <w:p>
      <w:pPr>
        <w:pStyle w:val="Normal"/>
      </w:pPr>
      <w:r>
        <w:rPr/>
        <w:t xml:space="preserve">When a connection appears, the local sync manager replays queued events to the backend. Every event carries a client-generated identifier, so retries over an unstable link are safe and a late sync can never overwrite a colleague's work.</w:t>
      </w:r>
    </w:p>
    <w:p>
      <w:pPr>
        <w:pStyle w:val="Heading2"/>
      </w:pPr>
      <w:r>
        <w:rPr/>
        <w:t xml:space="preserve">Phase 4 — Proactive voice outreach</w:t>
      </w:r>
    </w:p>
    <w:p>
      <w:pPr>
        <w:pStyle w:val="Normal"/>
      </w:pPr>
      <w:r>
        <w:rPr/>
        <w:t xml:space="preserve">The cloud scheduler builds a contact timeline on the WHO eight-contact model and calls the mother on that cadence, independent of whether any health worker is online. Each call follows a short, familiar structure: a greeting and a check that it is a good time to speak, three to five danger-sign questions answered by keypad, one nutrition message, one birth-preparedness question covering funds, transport and a blood donor, and the date of her next visit.</w:t>
      </w:r>
    </w:p>
    <w:p>
      <w:pPr>
        <w:pStyle w:val="Normal"/>
      </w:pPr>
      <w:r>
        <w:rPr/>
        <w:t xml:space="preserve">If she cannot be reached, the system retries across the day, falls back to SMS, alerts the secondary household contact, and finally flags the CHO for a physical visit.</w:t>
      </w:r>
    </w:p>
    <w:p>
      <w:pPr>
        <w:pStyle w:val="Heading2"/>
      </w:pPr>
      <w:r>
        <w:rPr/>
        <w:t xml:space="preserve">Phase 5 — Nutrition intelligence within the call</w:t>
      </w:r>
    </w:p>
    <w:p>
      <w:pPr>
        <w:pStyle w:val="Normal"/>
      </w:pPr>
      <w:r>
        <w:rPr/>
        <w:t xml:space="preserve">The same call measures dietary diversity by keypad, using the instrument appropriate to the respondent: Minimum Dietary Diversity for Women, across ten food groups, for a pregnant or lactating mother; and the eight-group child indicator, which includes breast milk, where the subject is a child aged 6–23 months. The engine then selects a single nutrition message against the groups that are missing, filtered by region, the current month and the household's affordability. Section 8 describes this engine in detail.</w:t>
      </w:r>
    </w:p>
    <w:p>
      <w:pPr>
        <w:pStyle w:val="Normal"/>
      </w:pPr>
      <w:r>
        <w:rPr/>
        <w:t xml:space="preserve">Because the women's instrument is the longer of the two, the dietary block is rotated across the contact schedule rather than repeated on every call. Danger-sign triage runs on every call; dietary diversity is measured at defined contacts. This keeps any single call short enough to be completed on a rural line.</w:t>
      </w:r>
    </w:p>
    <w:p>
      <w:pPr>
        <w:pStyle w:val="Heading2"/>
      </w:pPr>
      <w:r>
        <w:rPr/>
        <w:t xml:space="preserve">Phase 6 — Risk engine</w:t>
      </w:r>
    </w:p>
    <w:p>
      <w:pPr>
        <w:pStyle w:val="Normal"/>
      </w:pPr>
      <w:r>
        <w:rPr/>
        <w:t xml:space="preserve">The risk engine aggregates voice-call answers, dietary diversity, physical symptoms recorded by the CHO, MUAC readings, iron and folic acid adherence, clinical history, distance and road conditions. It outputs Green (log and close), Amber (CHO follow-up this week) or Red (escalate immediately), always with the reasons attached.</w:t>
      </w:r>
    </w:p>
    <w:p>
      <w:pPr>
        <w:pStyle w:val="Heading2"/>
      </w:pPr>
      <w:r>
        <w:rPr/>
        <w:t xml:space="preserve">Phase 7 — Emergency detection and CHO validation</w:t>
      </w:r>
    </w:p>
    <w:p>
      <w:pPr>
        <w:pStyle w:val="Normal"/>
      </w:pPr>
      <w:r>
        <w:rPr/>
        <w:t xml:space="preserve">A Red classification is pushed to the CHO by SMS, which requires no mobile data. Where a USSD channel is available, the CHO dials in to retrieve the full prioritised worklist and the specific reasons behind the alert without using data. The CHO reviews and validates the emergency. The system never escalates without a human confirming.</w:t>
      </w:r>
    </w:p>
    <w:p>
      <w:pPr>
        <w:pStyle w:val="Heading2"/>
      </w:pPr>
      <w:r>
        <w:rPr/>
        <w:t xml:space="preserve">Phase 8 — Transport coordination</w:t>
      </w:r>
    </w:p>
    <w:p>
      <w:pPr>
        <w:pStyle w:val="Normal"/>
      </w:pPr>
      <w:r>
        <w:rPr/>
        <w:t xml:space="preserve">On confirmation, the transport engine evaluates drivers registered in the patient's own community, ranked by availability, vehicle type, road condition and past response history. The platform places an automated voice call to the first-ranked driver, who accepts by pressing a single key while still on the line. If the driver does not answer or declines, the system advances to the next driver and notifies by SMS. If the queue is exhausted, the CHO assigns manually. The nurse or CHO logs the driver's location as it is reported, so the facility can anticipate arrival.</w:t>
      </w:r>
    </w:p>
    <w:p>
      <w:pPr>
        <w:pStyle w:val="Heading2"/>
      </w:pPr>
      <w:r>
        <w:rPr/>
        <w:t xml:space="preserve">Phase 9 — Facility preparation</w:t>
      </w:r>
    </w:p>
    <w:p>
      <w:pPr>
        <w:pStyle w:val="Normal"/>
      </w:pPr>
      <w:r>
        <w:rPr/>
        <w:t xml:space="preserve">Once a driver accepts, the receiving facility is notified automatically and prepares the resources indicated by the risk reasons before the patient arrives. This addresses Delay 3 directly: the facility is not learning about the case as the patient comes through the door, and the reasons behind the alert travel ahead of her.</w:t>
      </w:r>
    </w:p>
    <w:p>
      <w:pPr>
        <w:pStyle w:val="Heading2"/>
      </w:pPr>
      <w:r>
        <w:rPr/>
        <w:t xml:space="preserve">Phase 10 — Referral completion and follow-up</w:t>
      </w:r>
    </w:p>
    <w:p>
      <w:pPr>
        <w:pStyle w:val="Normal"/>
      </w:pPr>
      <w:r>
        <w:rPr/>
        <w:t xml:space="preserve">The case remains open until the CHO records the actual outcome: whether the referral landed and whether care was received. Together with Phase 9, this completes the response to Delay 3 — preparation ensures that adequate care can be given, and outcome logging establishes that it was. After delivery, the contact cadence continues into exclusive breastfeeding and complementary feeding support.</w:t>
      </w:r>
    </w:p>
    <w:p>
      <w:pPr>
        <w:pStyle w:val="Heading2"/>
      </w:pPr>
      <w:r>
        <w:rPr/>
        <w:t xml:space="preserve">Phase 11 — Inbound hotline and nurse routing</w:t>
      </w:r>
    </w:p>
    <w:p>
      <w:pPr>
        <w:pStyle w:val="Normal"/>
      </w:pPr>
      <w:r>
        <w:rPr/>
        <w:t xml:space="preserve">A caregiver can reach the platform at any time. She rings the number and hangs up; the platform detects the missed call and calls her back, so she spends no airtime — decisive for a household that may have no credit at the moment it most needs help.</w:t>
      </w:r>
    </w:p>
    <w:p>
      <w:pPr>
        <w:pStyle w:val="Normal"/>
      </w:pPr>
      <w:r>
        <w:rPr/>
        <w:t xml:space="preserve">The call offers structured guidance in her language, and at any point she may press a single key to speak to a person. The platform consults the on-call roster and connects her to an available nurse, cascading to a second nurse and then to the facility's main line if there is no answer.</w:t>
      </w:r>
    </w:p>
    <w:p>
      <w:pPr>
        <w:pStyle w:val="Normal"/>
      </w:pPr>
      <w:r>
        <w:rPr/>
        <w:t xml:space="preserve">If no one answers at any level, the call still ends by telling her that her health worker has been alerted, and the platform raises a Red flag and sends an SMS to the CHO. No call is permitted to end without a health worker being informed.</w:t>
      </w:r>
    </w:p>
    <w:p>
      <w:pPr>
        <w:pStyle w:val="Heading1"/>
        <w:pBdr>
          <w:bottom w:val="single" w:sz="8" w:space="4" w:color="C9D6DE"/>
        </w:pBdr>
      </w:pPr>
      <w:r>
        <w:rPr/>
        <w:t xml:space="preserve">6.  Voice, SMS and USSD Layer</w:t>
      </w:r>
    </w:p>
    <w:p>
      <w:pPr>
        <w:pStyle w:val="ListBullet"/>
        <w:ind w:left="510" w:hanging="255"/>
      </w:pPr>
      <w:r>
        <w:rPr/>
        <w:t xml:space="preserve">•   </w:t>
      </w:r>
      <w:r>
        <w:rPr>
          <w:b/>
        </w:rPr>
        <w:t xml:space="preserve">Proactive voice calls.</w:t>
      </w:r>
      <w:r>
        <w:rPr/>
        <w:t xml:space="preserve"> Outreach is anchored to the gestational timeline and runs from the cloud, independent of health-worker connectivity. The burden of initiating contact is removed from the mother entirely.</w:t>
      </w:r>
    </w:p>
    <w:p>
      <w:pPr>
        <w:pStyle w:val="ListBullet"/>
        <w:ind w:left="510" w:hanging="255"/>
      </w:pPr>
      <w:r>
        <w:rPr/>
        <w:t xml:space="preserve">•   </w:t>
      </w:r>
      <w:r>
        <w:rPr>
          <w:b/>
        </w:rPr>
        <w:t xml:space="preserve">Keypad interaction.</w:t>
      </w:r>
      <w:r>
        <w:rPr/>
        <w:t xml:space="preserve"> All questions are answered with a single keypress. Prompts are kept to a few seconds, timeouts are generous, and any question can be repeated. Nothing requires reading, typing or literacy.</w:t>
      </w:r>
    </w:p>
    <w:p>
      <w:pPr>
        <w:pStyle w:val="ListBullet"/>
        <w:ind w:left="510" w:hanging="255"/>
      </w:pPr>
      <w:r>
        <w:rPr/>
        <w:t xml:space="preserve">•   </w:t>
      </w:r>
      <w:r>
        <w:rPr>
          <w:b/>
        </w:rPr>
        <w:t xml:space="preserve">Zero-cost inbound access.</w:t>
      </w:r>
      <w:r>
        <w:rPr/>
        <w:t xml:space="preserve"> The hotline operates on a call-back model, so reaching the platform never depends on the caregiver having airtime.</w:t>
      </w:r>
    </w:p>
    <w:p>
      <w:pPr>
        <w:pStyle w:val="ListBullet"/>
        <w:ind w:left="510" w:hanging="255"/>
      </w:pPr>
      <w:r>
        <w:rPr/>
        <w:t xml:space="preserve">•   </w:t>
      </w:r>
      <w:r>
        <w:rPr>
          <w:b/>
        </w:rPr>
        <w:t xml:space="preserve">SMS as the push channel.</w:t>
      </w:r>
      <w:r>
        <w:rPr/>
        <w:t xml:space="preserve"> Red alerts, driver notifications and appointment dates are pushed by SMS, which needs no mobile data.</w:t>
      </w:r>
    </w:p>
    <w:p>
      <w:pPr>
        <w:pStyle w:val="ListBullet"/>
        <w:ind w:left="510" w:hanging="255"/>
      </w:pPr>
      <w:r>
        <w:rPr/>
        <w:t xml:space="preserve">•   </w:t>
      </w:r>
      <w:r>
        <w:rPr>
          <w:b/>
        </w:rPr>
        <w:t xml:space="preserve">USSD as the pull channel.</w:t>
      </w:r>
      <w:r>
        <w:rPr/>
        <w:t xml:space="preserve"> USSD sessions can only be initiated by the user, so USSD is used for retrieval rather than alerting: the CHO dials in to pull the prioritised worklist and alert reasons with no mobile data, on any handset.</w:t>
      </w:r>
    </w:p>
    <w:p>
      <w:pPr>
        <w:pStyle w:val="ListBullet"/>
        <w:ind w:left="510" w:hanging="255"/>
      </w:pPr>
      <w:r>
        <w:rPr/>
        <w:t xml:space="preserve">•   </w:t>
      </w:r>
      <w:r>
        <w:rPr>
          <w:b/>
        </w:rPr>
        <w:t xml:space="preserve">Local language.</w:t>
      </w:r>
      <w:r>
        <w:rPr/>
        <w:t xml:space="preserve"> All messages are delivered as natural speech in Dagbani, Kusaal, Frafra and Gonja, rather than translated English.</w:t>
      </w:r>
    </w:p>
    <w:p>
      <w:pPr>
        <w:pStyle w:val="ListBullet"/>
        <w:ind w:left="510" w:hanging="255"/>
      </w:pPr>
      <w:r>
        <w:rPr/>
        <w:t xml:space="preserve">•   </w:t>
      </w:r>
      <w:r>
        <w:rPr>
          <w:b/>
        </w:rPr>
        <w:t xml:space="preserve">Feature-phone compatibility.</w:t>
      </w:r>
      <w:r>
        <w:rPr/>
        <w:t xml:space="preserve"> Every caregiver-facing interaction rides on GSM voice and signalling channels and works on any basic handset.</w:t>
      </w:r>
    </w:p>
    <w:p>
      <w:pPr>
        <w:pStyle w:val="Heading1"/>
        <w:pBdr>
          <w:bottom w:val="single" w:sz="8" w:space="4" w:color="C9D6DE"/>
        </w:pBdr>
      </w:pPr>
      <w:r>
        <w:rPr/>
        <w:t xml:space="preserve">7.  AI and Decision Support</w:t>
      </w:r>
    </w:p>
    <w:p>
      <w:pPr>
        <w:pStyle w:val="ListBullet"/>
        <w:ind w:left="510" w:hanging="255"/>
      </w:pPr>
      <w:r>
        <w:rPr/>
        <w:t xml:space="preserve">•   </w:t>
      </w:r>
      <w:r>
        <w:rPr>
          <w:b/>
        </w:rPr>
        <w:t xml:space="preserve">Risk classification.</w:t>
      </w:r>
      <w:r>
        <w:rPr/>
        <w:t xml:space="preserve"> Three classifications only — Green, Amber and Red — so that the meaning is unambiguous to a worker under pressure.</w:t>
      </w:r>
    </w:p>
    <w:p>
      <w:pPr>
        <w:pStyle w:val="ListBullet"/>
        <w:ind w:left="510" w:hanging="255"/>
      </w:pPr>
      <w:r>
        <w:rPr/>
        <w:t xml:space="preserve">•   </w:t>
      </w:r>
      <w:r>
        <w:rPr>
          <w:b/>
        </w:rPr>
        <w:t xml:space="preserve">Inputs.</w:t>
      </w:r>
      <w:r>
        <w:rPr/>
        <w:t xml:space="preserve"> Reported danger signs, dietary diversity, iron and folic acid adherence, MUAC readings, clinical history, community and road conditions.</w:t>
      </w:r>
    </w:p>
    <w:p>
      <w:pPr>
        <w:pStyle w:val="ListBullet"/>
        <w:ind w:left="510" w:hanging="255"/>
      </w:pPr>
      <w:r>
        <w:rPr/>
        <w:t xml:space="preserve">•   </w:t>
      </w:r>
      <w:r>
        <w:rPr>
          <w:b/>
        </w:rPr>
        <w:t xml:space="preserve">Explainability.</w:t>
      </w:r>
      <w:r>
        <w:rPr/>
        <w:t xml:space="preserve"> Every classification carries its reasons, stored as structured reason codes rather than fixed English text, so they render in the worker's language. A Red alert always states why: severe bleeding combined with long distance, for example.</w:t>
      </w:r>
    </w:p>
    <w:p>
      <w:pPr>
        <w:pStyle w:val="ListBullet"/>
        <w:ind w:left="510" w:hanging="255"/>
      </w:pPr>
      <w:r>
        <w:rPr/>
        <w:t xml:space="preserve">•   </w:t>
      </w:r>
      <w:r>
        <w:rPr>
          <w:b/>
        </w:rPr>
        <w:t xml:space="preserve">Human in the loop.</w:t>
      </w:r>
      <w:r>
        <w:rPr/>
        <w:t xml:space="preserve"> The engine is decision support and nothing more. It never escalates, dispatches or closes a case on its own. A CHPS worker confirms every recommendation and owns final case closure.</w:t>
      </w:r>
    </w:p>
    <w:p>
      <w:pPr>
        <w:pStyle w:val="ListBullet"/>
        <w:ind w:left="510" w:hanging="255"/>
      </w:pPr>
      <w:r>
        <w:rPr/>
        <w:t xml:space="preserve">•   </w:t>
      </w:r>
      <w:r>
        <w:rPr>
          <w:b/>
        </w:rPr>
        <w:t xml:space="preserve">Determinism before prediction.</w:t>
      </w:r>
      <w:r>
        <w:rPr/>
        <w:t xml:space="preserve"> The engine is rule-based and auditable today. The event log is deliberately structured so that predictive models can be trained once real programme data accumulates, rather than asserting predictive capability without data to support it.</w:t>
      </w:r>
    </w:p>
    <w:p>
      <w:pPr>
        <w:pStyle w:val="ListBullet"/>
        <w:ind w:left="510" w:hanging="255"/>
      </w:pPr>
      <w:r>
        <w:rPr/>
        <w:t xml:space="preserve">•   </w:t>
      </w:r>
      <w:r>
        <w:rPr>
          <w:b/>
        </w:rPr>
        <w:t xml:space="preserve">Routing logic.</w:t>
      </w:r>
      <w:r>
        <w:rPr/>
        <w:t xml:space="preserve"> Nurse and transport selection is deterministic scoring over availability, proximity and response history — presented as routing logic, not as prediction.</w:t>
      </w:r>
    </w:p>
    <w:p>
      <w:pPr>
        <w:pStyle w:val="Heading2"/>
      </w:pPr>
      <w:r>
        <w:rPr/>
        <w:t xml:space="preserve">Safety rules the engine will not break</w:t>
      </w:r>
    </w:p>
    <w:p>
      <w:pPr>
        <w:pStyle w:val="Normal"/>
      </w:pPr>
      <w:r>
        <w:rPr/>
        <w:t xml:space="preserve">Each of these exists because its absence is a specific way a woman gets hurt, and each is covered by a test named for that failure.</w:t>
      </w:r>
    </w:p>
    <w:p>
      <w:pPr>
        <w:pStyle w:val="ListBullet"/>
        <w:ind w:left="510" w:hanging="255"/>
      </w:pPr>
      <w:r>
        <w:rPr/>
        <w:t xml:space="preserve">•   </w:t>
      </w:r>
      <w:r>
        <w:rPr>
          <w:b/>
        </w:rPr>
        <w:t xml:space="preserve">An unanswered question is never a denial.</w:t>
      </w:r>
      <w:r>
        <w:rPr/>
        <w:t xml:space="preserve"> Keypad answers are three-state: yes, no, and not answered. A woman too weak, confused or unfamiliar with a keypad to press anything is recorded as not having answered — never as having denied bleeding. A stray key re-asks rather than being taken as an answer.</w:t>
      </w:r>
    </w:p>
    <w:p>
      <w:pPr>
        <w:pStyle w:val="ListBullet"/>
        <w:ind w:left="510" w:hanging="255"/>
      </w:pPr>
      <w:r>
        <w:rPr/>
        <w:t xml:space="preserve">•   </w:t>
      </w:r>
      <w:r>
        <w:rPr>
          <w:b/>
        </w:rPr>
        <w:t xml:space="preserve">An unanswered question never clears an earlier finding.</w:t>
      </w:r>
      <w:r>
        <w:rPr/>
        <w:t xml:space="preserve"> "Not asked" and "asked and denied" are different clinical facts and are stored separately, as they are on a paper CHPS register.</w:t>
      </w:r>
    </w:p>
    <w:p>
      <w:pPr>
        <w:pStyle w:val="ListBullet"/>
        <w:ind w:left="510" w:hanging="255"/>
      </w:pPr>
      <w:r>
        <w:rPr/>
        <w:t xml:space="preserve">•   </w:t>
      </w:r>
      <w:r>
        <w:rPr>
          <w:b/>
        </w:rPr>
        <w:t xml:space="preserve">Nothing dispatches without a person.</w:t>
      </w:r>
      <w:r>
        <w:rPr/>
        <w:t xml:space="preserve"> A Red classification is a proposal. A named health worker confirms it, and that confirmation is recorded against her.</w:t>
      </w:r>
    </w:p>
    <w:p>
      <w:pPr>
        <w:pStyle w:val="ListBullet"/>
        <w:ind w:left="510" w:hanging="255"/>
      </w:pPr>
      <w:r>
        <w:rPr/>
        <w:t xml:space="preserve">•   </w:t>
      </w:r>
      <w:r>
        <w:rPr>
          <w:b/>
        </w:rPr>
        <w:t xml:space="preserve">No pathway ends in silence.</w:t>
      </w:r>
      <w:r>
        <w:rPr/>
        <w:t xml:space="preserve"> If the nurse roster is exhausted, if no driver accepts, if a driver's phone is simply off — every one of those paths terminates in an alert to her CHO and a Red on her record. There is a test that empties the roster on purpose to prove it.</w:t>
      </w:r>
    </w:p>
    <w:p>
      <w:pPr>
        <w:pStyle w:val="ListBullet"/>
        <w:ind w:left="510" w:hanging="255"/>
      </w:pPr>
      <w:r>
        <w:rPr/>
        <w:t xml:space="preserve">•   </w:t>
      </w:r>
      <w:r>
        <w:rPr>
          <w:b/>
        </w:rPr>
        <w:t xml:space="preserve">A Red stays Red until a human records the outcome</w:t>
      </w:r>
      <w:r>
        <w:rPr/>
        <w:t xml:space="preserve">, and only care actually received clears the sign that caused it. A referral that did not land keeps the flag up, which is the entire reason for tracking outcomes rather than referrals.</w:t>
      </w:r>
    </w:p>
    <w:p>
      <w:pPr>
        <w:pStyle w:val="ListBullet"/>
        <w:ind w:left="510" w:hanging="255"/>
      </w:pPr>
      <w:r>
        <w:rPr/>
        <w:t xml:space="preserve">•   </w:t>
      </w:r>
      <w:r>
        <w:rPr>
          <w:b/>
        </w:rPr>
        <w:t xml:space="preserve">A worsening woman is not silenced by her own emergency.</w:t>
      </w:r>
      <w:r>
        <w:rPr/>
        <w:t xml:space="preserve"> A new danger sign reported while an emergency is already open merges into it and sends a fresh alert, rather than being swallowed.</w:t>
      </w:r>
    </w:p>
    <w:p>
      <w:pPr>
        <w:pStyle w:val="ListBullet"/>
        <w:ind w:left="510" w:hanging="255"/>
      </w:pPr>
      <w:r>
        <w:rPr/>
        <w:t xml:space="preserve">•   </w:t>
      </w:r>
      <w:r>
        <w:rPr>
          <w:b/>
        </w:rPr>
        <w:t xml:space="preserve">Distance shortens the window; it does not raise the alarm on its own.</w:t>
      </w:r>
      <w:r>
        <w:rPr/>
        <w:t xml:space="preserve"> A symptom that could deteriorate, two hours from care on a poor road, escalates. A missed iron tablet at the same distance does not — dispatching a vehicle at night for that would exhaust the driver network within a week, and in a region where most CHPS catchments have poor roads it would escalate almost everything.</w:t>
      </w:r>
    </w:p>
    <w:p>
      <w:pPr>
        <w:pStyle w:val="Heading1"/>
        <w:pBdr>
          <w:bottom w:val="single" w:sz="8" w:space="4" w:color="C9D6DE"/>
        </w:pBdr>
      </w:pPr>
      <w:r>
        <w:rPr/>
        <w:t xml:space="preserve">8.  Local-Food Nutrition Intelligence</w:t>
      </w:r>
    </w:p>
    <w:p>
      <w:pPr>
        <w:pStyle w:val="Normal"/>
      </w:pPr>
      <w:r>
        <w:rPr/>
        <w:t xml:space="preserve">Measuring a diet is straightforward. Giving advice a household can act on is the harder problem, and it is the one the evidence identifies: poor diets in Northern Ghana are attributed to seasonal shortages, high food costs and a lack of practical guidance.</w:t>
      </w:r>
    </w:p>
    <w:p>
      <w:pPr>
        <w:pStyle w:val="Heading2"/>
      </w:pPr>
      <w:r>
        <w:rPr/>
        <w:t xml:space="preserve">Selection: the gap first, then the food</w:t>
      </w:r>
    </w:p>
    <w:p>
      <w:pPr>
        <w:pStyle w:val="Normal"/>
      </w:pPr>
      <w:r>
        <w:rPr/>
        <w:t xml:space="preserve">Keypad questions establish which food groups are missing, using the instrument that matches the respondent. For a pregnant or lactating woman this is Minimum Dietary Diversity for Women, across ten food groups. For a child aged 6–23 months it is the eight-group indicator, which includes breast milk and combines with meal frequency to give minimum acceptable diet. The two are reported separately and never conflated.</w:t>
      </w:r>
    </w:p>
    <w:p>
      <w:pPr>
        <w:pStyle w:val="Normal"/>
      </w:pPr>
      <w:r>
        <w:rPr/>
        <w:t xml:space="preserve">The engine then chooses which gap to address, in order of clinical importance, before choosing a food to fill it. That ordering matters more than it sounds. An earlier design scored every food across every gap together, and one free, year-round, iron-rich food consequently won in every month of the year: a woman missing seven food groups would have heard the same sentence at every contact for a year. Working through her gaps by importance is both better advice and the thing that lets the season become visible at all.</w:t>
      </w:r>
    </w:p>
    <w:p>
      <w:pPr>
        <w:pStyle w:val="Normal"/>
      </w:pPr>
      <w:r>
        <w:rPr/>
        <w:t xml:space="preserve">Within the chosen gap, the engine picks what is actually reachable: available in her region this month, within what her household can spend, and not subject to a food taboo she has recorded. It returns one message. Never a list — on a GSM line a caregiver will remember one thing, and a list of five is a list of none. Advice given at the previous contact is excluded, because a caregiver who hears the same sentence every fortnight stops hearing it.</w:t>
      </w:r>
    </w:p>
    <w:p>
      <w:pPr>
        <w:pStyle w:val="Heading2"/>
      </w:pPr>
      <w:r>
        <w:rPr/>
        <w:t xml:space="preserve">Seasonal availability and seasonal price</w:t>
      </w:r>
    </w:p>
    <w:p>
      <w:pPr>
        <w:pStyle w:val="Normal"/>
      </w:pPr>
      <w:r>
        <w:rPr/>
        <w:t xml:space="preserve">Northern Ghana has a single rainy season, so the year divides cleanly into a lean pre-harvest period from roughly May to August, harvest from September to November, and the dry season that follows. During the lean season stocks are depleted and prices rise, so advice to purchase food is advice that cannot be followed.</w:t>
      </w:r>
    </w:p>
    <w:p>
      <w:pPr>
        <w:pStyle w:val="Normal"/>
      </w:pPr>
      <w:r>
        <w:rPr/>
        <w:t xml:space="preserve">Two things change in that window. Foods that are gathered or stored are weighted three times as heavily as foods that must be bought. And prices move: the stored staples a household sells or eats first — maize, millet, cowpea, groundnut, yam — stop counting as cheap, and eggs, fresh fish and milk move out of reach of a low-income household altogether. A model in which the lean season changed nothing about price would contradict its own premise.</w:t>
      </w:r>
    </w:p>
    <w:tbl>
      <w:tblPr>
        <w:tblW w:w="5000" w:type="pct"/>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CellMar>
          <w:top w:w="80" w:type="dxa"/>
          <w:bottom w:w="80" w:type="dxa"/>
          <w:left w:w="120" w:type="dxa"/>
          <w:right w:w="120" w:type="dxa"/>
        </w:tblCellMar>
      </w:tblPr>
      <w:tblGrid>
        <w:gridCol w:w="3083"/>
        <w:gridCol w:w="5986"/>
      </w:tblGrid>
      <w:tr>
        <w:trPr>
          <w:tblHeader/>
        </w:trPr>
        <w:tc>
          <w:tcPr>
            <w:tcW w:w="1700" w:type="pct"/>
            <w:shd w:val="clear" w:fill="F2F7F9"/>
            <w:vAlign w:val="center"/>
          </w:tcPr>
          <w:p>
            <w:pPr>
              <w:pStyle w:val="TableText"/>
            </w:pPr>
            <w:r>
              <w:rPr>
                <w:b/>
              </w:rPr>
              <w:t xml:space="preserve">Missing food group</w:t>
            </w:r>
          </w:p>
        </w:tc>
        <w:tc>
          <w:tcPr>
            <w:tcW w:w="3300" w:type="pct"/>
            <w:shd w:val="clear" w:fill="F2F7F9"/>
            <w:vAlign w:val="center"/>
          </w:tcPr>
          <w:p>
            <w:pPr>
              <w:pStyle w:val="TableText"/>
            </w:pPr>
            <w:r>
              <w:rPr>
                <w:b/>
              </w:rPr>
              <w:t xml:space="preserve">Lean-season guidance</w:t>
            </w:r>
          </w:p>
        </w:tc>
      </w:tr>
      <w:tr>
        <w:tc>
          <w:tcPr>
            <w:tcW w:w="1700" w:type="pct"/>
            <w:vAlign w:val="center"/>
          </w:tcPr>
          <w:p>
            <w:pPr>
              <w:pStyle w:val="TableText"/>
            </w:pPr>
            <w:r>
              <w:rPr/>
              <w:t xml:space="preserve">Flesh foods</w:t>
            </w:r>
          </w:p>
        </w:tc>
        <w:tc>
          <w:tcPr>
            <w:tcW w:w="3300" w:type="pct"/>
            <w:vAlign w:val="center"/>
          </w:tcPr>
          <w:p>
            <w:pPr>
              <w:pStyle w:val="TableText"/>
            </w:pPr>
            <w:r>
              <w:rPr/>
              <w:t xml:space="preserve">Dried small fish powder stirred into porridge</w:t>
            </w:r>
          </w:p>
        </w:tc>
      </w:tr>
      <w:tr>
        <w:tc>
          <w:tcPr>
            <w:tcW w:w="1700" w:type="pct"/>
            <w:vAlign w:val="center"/>
          </w:tcPr>
          <w:p>
            <w:pPr>
              <w:pStyle w:val="TableText"/>
            </w:pPr>
            <w:r>
              <w:rPr/>
              <w:t xml:space="preserve">Pulses, nuts and seeds</w:t>
            </w:r>
          </w:p>
        </w:tc>
        <w:tc>
          <w:tcPr>
            <w:tcW w:w="3300" w:type="pct"/>
            <w:vAlign w:val="center"/>
          </w:tcPr>
          <w:p>
            <w:pPr>
              <w:pStyle w:val="TableText"/>
            </w:pPr>
            <w:r>
              <w:rPr/>
              <w:t xml:space="preserve">Groundnut paste, cowpea, soybean — stored from harvest</w:t>
            </w:r>
          </w:p>
        </w:tc>
      </w:tr>
      <w:tr>
        <w:tc>
          <w:tcPr>
            <w:tcW w:w="1700" w:type="pct"/>
            <w:vAlign w:val="center"/>
          </w:tcPr>
          <w:p>
            <w:pPr>
              <w:pStyle w:val="TableText"/>
            </w:pPr>
            <w:r>
              <w:rPr/>
              <w:t xml:space="preserve">Dark green leaves</w:t>
            </w:r>
          </w:p>
        </w:tc>
        <w:tc>
          <w:tcPr>
            <w:tcW w:w="3300" w:type="pct"/>
            <w:vAlign w:val="center"/>
          </w:tcPr>
          <w:p>
            <w:pPr>
              <w:pStyle w:val="TableText"/>
            </w:pPr>
            <w:r>
              <w:rPr/>
              <w:t xml:space="preserve">Baobab leaf powder and moringa — gathered locally, cost nothing</w:t>
            </w:r>
          </w:p>
        </w:tc>
      </w:tr>
      <w:tr>
        <w:tc>
          <w:tcPr>
            <w:tcW w:w="1700" w:type="pct"/>
            <w:vAlign w:val="center"/>
          </w:tcPr>
          <w:p>
            <w:pPr>
              <w:pStyle w:val="TableText"/>
            </w:pPr>
            <w:r>
              <w:rPr/>
              <w:t xml:space="preserve">Vitamin-A rich</w:t>
            </w:r>
          </w:p>
        </w:tc>
        <w:tc>
          <w:tcPr>
            <w:tcW w:w="3300" w:type="pct"/>
            <w:vAlign w:val="center"/>
          </w:tcPr>
          <w:p>
            <w:pPr>
              <w:pStyle w:val="TableText"/>
            </w:pPr>
            <w:r>
              <w:rPr/>
              <w:t xml:space="preserve">Mango March to June, pawpaw the rest of the year</w:t>
            </w:r>
          </w:p>
        </w:tc>
      </w:tr>
      <w:tr>
        <w:tc>
          <w:tcPr>
            <w:tcW w:w="1700" w:type="pct"/>
            <w:vAlign w:val="center"/>
          </w:tcPr>
          <w:p>
            <w:pPr>
              <w:pStyle w:val="TableText"/>
            </w:pPr>
            <w:r>
              <w:rPr/>
              <w:t xml:space="preserve">Iron (anaemia track)</w:t>
            </w:r>
          </w:p>
        </w:tc>
        <w:tc>
          <w:tcPr>
            <w:tcW w:w="3300" w:type="pct"/>
            <w:vAlign w:val="center"/>
          </w:tcPr>
          <w:p>
            <w:pPr>
              <w:pStyle w:val="TableText"/>
            </w:pPr>
            <w:r>
              <w:rPr/>
              <w:t xml:space="preserve">Dawadawa, paired with a vitamin C source</w:t>
            </w:r>
          </w:p>
        </w:tc>
      </w:tr>
      <w:tr>
        <w:tc>
          <w:tcPr>
            <w:tcW w:w="1700" w:type="pct"/>
            <w:vAlign w:val="center"/>
          </w:tcPr>
          <w:p>
            <w:pPr>
              <w:pStyle w:val="TableText"/>
            </w:pPr>
            <w:r>
              <w:rPr/>
              <w:t xml:space="preserve">Children 6–23 months</w:t>
            </w:r>
          </w:p>
        </w:tc>
        <w:tc>
          <w:tcPr>
            <w:tcW w:w="3300" w:type="pct"/>
            <w:vAlign w:val="center"/>
          </w:tcPr>
          <w:p>
            <w:pPr>
              <w:pStyle w:val="TableText"/>
            </w:pPr>
            <w:r>
              <w:rPr/>
              <w:t xml:space="preserve">Enriched Tom Brown, rather than replacing a familiar food</w:t>
            </w:r>
          </w:p>
        </w:tc>
      </w:tr>
    </w:tbl>
    <w:p>
      <w:pPr>
        <w:pStyle w:val="Normal"/>
      </w:pPr>
    </w:p>
    <w:p>
      <w:pPr>
        <w:pStyle w:val="Heading2"/>
      </w:pPr>
      <w:r>
        <w:rPr/>
        <w:t xml:space="preserve">Advice that explains itself</w:t>
      </w:r>
    </w:p>
    <w:p>
      <w:pPr>
        <w:pStyle w:val="Normal"/>
      </w:pPr>
      <w:r>
        <w:rPr/>
        <w:t xml:space="preserve">Every recommendation carries a short reason in plain language — why fish and eggs matter, why green leaves matter — written to describe what a food group is for rather than what will happen to her without it. Nutrition advice that implies a diagnosis is both inaccurate and frightening, and a health worker has to be able to say it out loud without over-promising. Guidance on drinking clean water is attached alongside: not a food group, not scored, the cheapest advice available, and routinely omitted.</w:t>
      </w:r>
    </w:p>
    <w:p>
      <w:pPr>
        <w:pStyle w:val="Heading2"/>
      </w:pPr>
      <w:r>
        <w:rPr/>
        <w:t xml:space="preserve">Anaemia</w:t>
      </w:r>
    </w:p>
    <w:p>
      <w:pPr>
        <w:pStyle w:val="Normal"/>
      </w:pPr>
      <w:r>
        <w:rPr/>
        <w:t xml:space="preserve">Given maternal anaemia at 44.2 per cent in the Upper West, iron is treated as a named track rather than a side effect. Iron-rich local foods are paired with a vitamin C source to aid absorption, caregivers are advised not to take tea with meals because tannins inhibit iron uptake, and iron and folic acid adherence is prompted on every call. All of this guidance is free to follow.</w:t>
      </w:r>
    </w:p>
    <w:p>
      <w:pPr>
        <w:pStyle w:val="Heading2"/>
      </w:pPr>
      <w:r>
        <w:rPr/>
        <w:t xml:space="preserve">Cultural taboos</w:t>
      </w:r>
    </w:p>
    <w:p>
      <w:pPr>
        <w:pStyle w:val="Normal"/>
      </w:pPr>
      <w:r>
        <w:rPr/>
        <w:t xml:space="preserve">Pregnancy food taboos are recorded at enrolment. The platform does not argue with a taboo over an automated phone call; where a recommended food is flagged, the engine substitutes the next-best food within the same food group, so the advice stays both actionable and respectful.</w:t>
      </w:r>
    </w:p>
    <w:p>
      <w:pPr>
        <w:pStyle w:val="Heading2"/>
      </w:pPr>
      <w:r>
        <w:rPr/>
        <w:t xml:space="preserve">Escalation, and direction of travel</w:t>
      </w:r>
    </w:p>
    <w:p>
      <w:pPr>
        <w:pStyle w:val="Normal"/>
      </w:pPr>
      <w:r>
        <w:rPr/>
        <w:t xml:space="preserve">Nutrition is not advisory alone. Dietary diversity below the minimum for the applicable instrument, across consecutive contacts, raises an Amber flag for CHO counselling.</w:t>
      </w:r>
    </w:p>
    <w:p>
      <w:pPr>
        <w:pStyle w:val="Normal"/>
      </w:pPr>
      <w:r>
        <w:rPr/>
        <w:t xml:space="preserve">Mid-upper arm circumference carries thresholds on both tracks. In a pregnant or lactating woman, a reading below 23 cm indicates undernutrition and raises an Amber flag for counselling, supplementation review and closer follow-up. In a child aged 6–59 months, a reading below 12.5 cm indicates moderate acute malnutrition and triggers a visit; below 11.5 cm it is classified Red and referred into the existing Community-based Management of Acute Malnutrition programme, rather than creating a parallel pathway. Thresholds follow Ghana Health Service protocol.</w:t>
      </w:r>
    </w:p>
    <w:p>
      <w:pPr>
        <w:pStyle w:val="Normal"/>
      </w:pPr>
      <w:r>
        <w:rPr/>
        <w:t xml:space="preserve">The nutrition officer's caseload shows the last four measurements per child and per mother against those thresholds, ordered by who is falling fastest rather than alphabetically. Direction of travel is the clinical question in community malnutrition management: a child at 12.2 cm on the way up and a child at 12.2 cm on the way down are different children, and a single number cannot tell them apart.</w:t>
      </w:r>
    </w:p>
    <w:p>
      <w:pPr>
        <w:pStyle w:val="Heading2"/>
      </w:pPr>
      <w:r>
        <w:rPr/>
        <w:t xml:space="preserve">A limitation stated plainly</w:t>
      </w:r>
    </w:p>
    <w:p>
      <w:pPr>
        <w:pStyle w:val="Normal"/>
      </w:pPr>
      <w:r>
        <w:rPr/>
        <w:t xml:space="preserve">Minimum Dietary Diversity for Women and the child indicator are validated as population-level proxy measures. FAO guidance is explicit that MDD-W is not a diagnostic instrument for an individual. This platform uses two consecutive individual scores as a trigger to put a named woman on a home-visit list. That is a defensible design choice for a screening tool, and it is stated here rather than left implicit, because acknowledging what an indicator can and cannot carry is what responsible use of it looks like in practice. The interface repeats the same caveat where a health worker reads the score.</w:t>
      </w:r>
    </w:p>
    <w:p>
      <w:pPr>
        <w:pStyle w:val="Heading1"/>
        <w:pBdr>
          <w:bottom w:val="single" w:sz="8" w:space="4" w:color="C9D6DE"/>
        </w:pBdr>
      </w:pPr>
      <w:r>
        <w:rPr/>
        <w:t xml:space="preserve">9.  Local-Language Speech</w:t>
      </w:r>
    </w:p>
    <w:p>
      <w:pPr>
        <w:pStyle w:val="Normal"/>
      </w:pPr>
      <w:r>
        <w:rPr/>
        <w:t xml:space="preserve">This section describes what is built and working, what is blocked, and what is not possible. The distinctions matter, because a platform named after a language family has to be precise about which of those languages it can actually speak.</w:t>
      </w:r>
    </w:p>
    <w:p>
      <w:pPr>
        <w:pStyle w:val="Heading2"/>
      </w:pPr>
      <w:r>
        <w:rPr/>
        <w:t xml:space="preserve">The pipeline</w:t>
      </w:r>
    </w:p>
    <w:p>
      <w:pPr>
        <w:pStyle w:val="Normal"/>
      </w:pPr>
      <w:r>
        <w:rPr/>
        <w:t xml:space="preserve">English is the source of truth. Every line the platform says — the call script, the danger-sign questions, the dietary questions and every nutrition message — is assembled automatically from the code that uses it, so a new danger sign or a new food appears in the translation and recording queues rather than being quietly forgotten. That is currently seventy-nine lines per language.</w:t>
      </w:r>
    </w:p>
    <w:p>
      <w:pPr>
        <w:pStyle w:val="Normal"/>
      </w:pPr>
      <w:r>
        <w:rPr/>
        <w:t xml:space="preserve">Each line is translated by Khaya (GhanaNLP), validated, spoken by a text-to-speech model, stored as an audio file, and served from the same directory the call flow already reads. Anything without audio goes onto a recording list for a human voice.</w:t>
      </w:r>
    </w:p>
    <w:p>
      <w:pPr>
        <w:pStyle w:val="Normal"/>
      </w:pPr>
      <w:r>
        <w:rPr/>
        <w:t xml:space="preserve">All of this happens </w:t>
      </w:r>
      <w:r>
        <w:rPr>
          <w:b/>
        </w:rPr>
        <w:t xml:space="preserve">ahead of the call and is cached on disk</w:t>
      </w:r>
      <w:r>
        <w:rPr/>
        <w:t xml:space="preserve">, never during it. A call allows roughly two seconds per keypress before the line stalls, and a translation round trip plus a synthesis round trip is several seconds on a good connection. A pipeline that ran inside the call would work over wifi and fail on a rural GSM line.</w:t>
      </w:r>
    </w:p>
    <w:p>
      <w:pPr>
        <w:pStyle w:val="Normal"/>
      </w:pPr>
      <w:r>
        <w:rPr/>
        <w:t xml:space="preserve">Validation rejects the failures that are visible from the outside — an empty result, an error page returned as text, the English echoed back unchanged, or a result so much shorter than the source that content was clearly dropped. It is not a substitute for a speaker reading it, which is why a speaker can correct any line in the interface, and a corrected line is marked as reviewed.</w:t>
      </w:r>
    </w:p>
    <w:p>
      <w:pPr>
        <w:pStyle w:val="Heading2"/>
      </w:pPr>
      <w:r>
        <w:rPr/>
        <w:t xml:space="preserve">What is working</w:t>
      </w:r>
    </w:p>
    <w:p>
      <w:pPr>
        <w:pStyle w:val="Normal"/>
      </w:pPr>
      <w:r>
        <w:rPr/>
        <w:t xml:space="preserve">Translation is live and in use. </w:t>
      </w:r>
      <w:r>
        <w:rPr>
          <w:b/>
        </w:rPr>
        <w:t xml:space="preserve">Dagbani: seventy-two of eighty-three lines</w:t>
      </w:r>
      <w:r>
        <w:rPr/>
        <w:t xml:space="preserve">, in Dagbani orthography, verified against the live service and committed to the repository so that a demonstration never depends on an external API being reachable. The remaining eleven are lines whose English was rewritten after they were translated. Those are marked stale rather than deleted — with the quota exhausted a translation thrown away cannot be regenerated for weeks, so the previous wording is kept, flagged, and still playable if a speaker judges it close enough.</w:t>
      </w:r>
    </w:p>
    <w:p>
      <w:pPr>
        <w:pStyle w:val="Heading2"/>
      </w:pPr>
      <w:r>
        <w:rPr/>
        <w:t xml:space="preserve">What is blocked</w:t>
      </w:r>
    </w:p>
    <w:p>
      <w:pPr>
        <w:pStyle w:val="ListBullet"/>
        <w:ind w:left="510" w:hanging="255"/>
      </w:pPr>
      <w:r>
        <w:rPr/>
        <w:t xml:space="preserve">•   </w:t>
      </w:r>
      <w:r>
        <w:rPr>
          <w:b/>
        </w:rPr>
        <w:t xml:space="preserve">Kusaal and Frafra.</w:t>
      </w:r>
      <w:r>
        <w:rPr/>
        <w:t xml:space="preserve"> Eighteen of seventy-nine Kusaal lines were translated before the account's call-volume quota was exhausted. It replenishes on a fortnightly cycle, which falls before the bootcamp. Frafra is queued behind it. Khaya supports both — Frafra under the name Gurune — so this is a scheduling constraint, not a capability one.</w:t>
      </w:r>
    </w:p>
    <w:p>
      <w:pPr>
        <w:pStyle w:val="ListBullet"/>
        <w:ind w:left="510" w:hanging="255"/>
      </w:pPr>
      <w:r>
        <w:rPr/>
        <w:t xml:space="preserve">•   </w:t>
      </w:r>
      <w:r>
        <w:rPr>
          <w:b/>
        </w:rPr>
        <w:t xml:space="preserve">Speech synthesis.</w:t>
      </w:r>
      <w:r>
        <w:rPr/>
        <w:t xml:space="preserve"> Khaya's text-to-speech endpoint is currently unavailable upstream: it returns a hosting error page rather than an authentication failure, so this is the service being down and not a credentials problem. Translation is unaffected.</w:t>
      </w:r>
    </w:p>
    <w:p>
      <w:pPr>
        <w:pStyle w:val="Heading2"/>
      </w:pPr>
      <w:r>
        <w:rPr/>
        <w:t xml:space="preserve">What is not possible</w:t>
      </w:r>
    </w:p>
    <w:p>
      <w:pPr>
        <w:pStyle w:val="Normal"/>
      </w:pPr>
      <w:r>
        <w:rPr/>
        <w:t xml:space="preserve">Khaya has no model for Gonja, and this is not an oversight on their part. Gonja is a Guang language, not a Mabia one — the same distinction noted in Section 1. Gonja prompts can only ever be recorded by a speaker, and the platform declares that rather than failing quietly when asked.</w:t>
      </w:r>
    </w:p>
    <w:p>
      <w:pPr>
        <w:pStyle w:val="Heading2"/>
      </w:pPr>
      <w:r>
        <w:rPr/>
        <w:t xml:space="preserve">What a caller hears today</w:t>
      </w:r>
    </w:p>
    <w:p>
      <w:pPr>
        <w:pStyle w:val="Normal"/>
      </w:pPr>
      <w:r>
        <w:rPr/>
        <w:t xml:space="preserve">The honest position, which the interface reports rather than conceals: the platform has real Dagbani </w:t>
      </w:r>
      <w:r>
        <w:rPr>
          <w:b/>
        </w:rPr>
        <w:t xml:space="preserve">wording</w:t>
      </w:r>
      <w:r>
        <w:rPr/>
        <w:t xml:space="preserve"> and almost no Dagbani </w:t>
      </w:r>
      <w:r>
        <w:rPr>
          <w:b/>
        </w:rPr>
        <w:t xml:space="preserve">voice</w:t>
      </w:r>
      <w:r>
        <w:rPr/>
        <w:t xml:space="preserve">. Two recordings exist against forty-five lines that every outreach call plays. Everything else falls back to spoken English.</w:t>
      </w:r>
    </w:p>
    <w:p>
      <w:pPr>
        <w:pStyle w:val="Normal"/>
      </w:pPr>
      <w:r>
        <w:rPr/>
        <w:t xml:space="preserve">That fallback is deliberate, and getting it wrong taught us something worth stating. The provider's </w:t>
      </w:r>
      <w:r>
        <w:rPr>
          <w:b/>
        </w:rPr>
        <w:t xml:space="preserve">&lt;Say&gt;</w:t>
      </w:r>
      <w:r>
        <w:rPr/>
        <w:t xml:space="preserve"> verb is an English text-to-speech voice; there is no Dagbani, Kusaal, Frafra or Gonja voice behind it. An early version handed it the Dagbani translation, on the reasoning that her language was better than English. It is not: what it produces is an English speaker failing at Dagbani orthography, which is less use to the woman on the line than plain English. So the rule is now explicit and tested — a recording in her language is </w:t>
      </w:r>
      <w:r>
        <w:rPr>
          <w:b/>
        </w:rPr>
        <w:t xml:space="preserve">played</w:t>
      </w:r>
      <w:r>
        <w:rPr/>
        <w:t xml:space="preserve">, and anything without one is </w:t>
      </w:r>
      <w:r>
        <w:rPr>
          <w:b/>
        </w:rPr>
        <w:t xml:space="preserve">said</w:t>
      </w:r>
      <w:r>
        <w:rPr/>
        <w:t xml:space="preserve"> in English until a recording exists. The translation is what we record and what we display; it is never what we speak. That is also why the platform reports two coverage figures rather than one: the share of the whole catalogue, and the share of the forty-five lines every outreach call actually walks through. The second is the number behind any claim that we speak her language, and it is the one on the screen.</w:t>
      </w:r>
    </w:p>
    <w:p>
      <w:pPr>
        <w:pStyle w:val="Normal"/>
      </w:pPr>
      <w:r>
        <w:rPr/>
        <w:t xml:space="preserve">Closing that gap does not require the API. The platform generates a recording list in priority order — call script first, then dietary questions, then nutrition messages — and a speaker can record directly in the browser, line by line, with the English and the translation side by side. A recorded human take is never overwritten by a generated one: a speaker who has read a line is more trustworthy than a model, and re-running the pipeline must not undo an evening's recording.</w:t>
      </w:r>
    </w:p>
    <w:p>
      <w:pPr>
        <w:pStyle w:val="Heading2"/>
      </w:pPr>
      <w:r>
        <w:rPr/>
        <w:t xml:space="preserve">Speech recognition</w:t>
      </w:r>
    </w:p>
    <w:p>
      <w:pPr>
        <w:pStyle w:val="Normal"/>
      </w:pPr>
      <w:r>
        <w:rPr/>
        <w:t xml:space="preserve">Not started, and deliberately sequenced last. The keypad path is complete and stands alone; recognition would ride on top of it and never underneath. When it is built it will be scoped to a closed vocabulary — yes, no, and a limited set of symptom terms — which is markedly more robust over a poor line than open transcription and degrades gracefully rather than misinterpreting. Training data will be augmented to match narrowband telephone audio rather than studio recordings, because that mismatch, not the language, is what usually determines whether such a model works in the field.</w:t>
      </w:r>
    </w:p>
    <w:p>
      <w:pPr>
        <w:pStyle w:val="Heading1"/>
        <w:pBdr>
          <w:bottom w:val="single" w:sz="8" w:space="4" w:color="C9D6DE"/>
        </w:pBdr>
      </w:pPr>
      <w:r>
        <w:rPr/>
        <w:t xml:space="preserve">10.  Technical Architecture</w:t>
      </w:r>
    </w:p>
    <w:p>
      <w:pPr>
        <w:pStyle w:val="ListBullet"/>
        <w:ind w:left="510" w:hanging="255"/>
      </w:pPr>
      <w:r>
        <w:rPr/>
        <w:t xml:space="preserve">•   </w:t>
      </w:r>
      <w:r>
        <w:rPr>
          <w:b/>
        </w:rPr>
        <w:t xml:space="preserve">Frontend.</w:t>
      </w:r>
      <w:r>
        <w:rPr/>
        <w:t xml:space="preserve"> A React Progressive Web App for the CHPS worker and nutrition officer, installable and fully functional offline.</w:t>
      </w:r>
    </w:p>
    <w:p>
      <w:pPr>
        <w:pStyle w:val="ListBullet"/>
        <w:ind w:left="510" w:hanging="255"/>
      </w:pPr>
      <w:r>
        <w:rPr/>
        <w:t xml:space="preserve">•   </w:t>
      </w:r>
      <w:r>
        <w:rPr>
          <w:b/>
        </w:rPr>
        <w:t xml:space="preserve">Backend.</w:t>
      </w:r>
      <w:r>
        <w:rPr/>
        <w:t xml:space="preserve"> A Python FastAPI service containing authentication, the risk engine, the nutrition engine, the transport engine, the notification service and analytics.</w:t>
      </w:r>
    </w:p>
    <w:p>
      <w:pPr>
        <w:pStyle w:val="ListBullet"/>
        <w:ind w:left="510" w:hanging="255"/>
      </w:pPr>
      <w:r>
        <w:rPr/>
        <w:t xml:space="preserve">•   </w:t>
      </w:r>
      <w:r>
        <w:rPr>
          <w:b/>
        </w:rPr>
        <w:t xml:space="preserve">Data model.</w:t>
      </w:r>
      <w:r>
        <w:rPr/>
        <w:t xml:space="preserve"> An append-only event log is the source of truth. Patient state and risk classification are projections recomputed by folding the log, never stored as authoritative values.</w:t>
      </w:r>
    </w:p>
    <w:p>
      <w:pPr>
        <w:pStyle w:val="ListBullet"/>
        <w:ind w:left="510" w:hanging="255"/>
      </w:pPr>
      <w:r>
        <w:rPr/>
        <w:t xml:space="preserve">•   </w:t>
      </w:r>
      <w:r>
        <w:rPr>
          <w:b/>
        </w:rPr>
        <w:t xml:space="preserve">Why append-only.</w:t>
      </w:r>
      <w:r>
        <w:rPr/>
        <w:t xml:space="preserve"> Two writers act on the same patient concurrently by design: the cloud scheduler writing call results, and the CHPS worker recording a visit offline. Because both append rather than overwrite, a worker who syncs days late cannot destroy data, and the full clinical history remains auditable.</w:t>
      </w:r>
    </w:p>
    <w:p>
      <w:pPr>
        <w:pStyle w:val="ListBullet"/>
        <w:ind w:left="510" w:hanging="255"/>
      </w:pPr>
      <w:r>
        <w:rPr/>
        <w:t xml:space="preserve">•   </w:t>
      </w:r>
      <w:r>
        <w:rPr>
          <w:b/>
        </w:rPr>
        <w:t xml:space="preserve">Idempotency.</w:t>
      </w:r>
      <w:r>
        <w:rPr/>
        <w:t xml:space="preserve"> Every event carries a client-generated, time-sortable identifier and is de-duplicated on ingest, so retries over an unstable link are always safe.</w:t>
      </w:r>
    </w:p>
    <w:p>
      <w:pPr>
        <w:pStyle w:val="ListBullet"/>
        <w:ind w:left="510" w:hanging="255"/>
      </w:pPr>
      <w:r>
        <w:rPr/>
        <w:t xml:space="preserve">•   </w:t>
      </w:r>
      <w:r>
        <w:rPr>
          <w:b/>
        </w:rPr>
        <w:t xml:space="preserve">Clinical precedence.</w:t>
      </w:r>
      <w:r>
        <w:rPr/>
        <w:t xml:space="preserve"> Where sources conflict, the most recent observation of a given type takes precedence, with one exception: a Red classification persists until a human closes it.</w:t>
      </w:r>
    </w:p>
    <w:p>
      <w:pPr>
        <w:pStyle w:val="ListBullet"/>
        <w:ind w:left="510" w:hanging="255"/>
      </w:pPr>
      <w:r>
        <w:rPr/>
        <w:t xml:space="preserve">•   </w:t>
      </w:r>
      <w:r>
        <w:rPr>
          <w:b/>
        </w:rPr>
        <w:t xml:space="preserve">Database.</w:t>
      </w:r>
      <w:r>
        <w:rPr/>
        <w:t xml:space="preserve"> PostgreSQL in the cloud; IndexedDB on the worker's device.</w:t>
      </w:r>
    </w:p>
    <w:p>
      <w:pPr>
        <w:pStyle w:val="ListBullet"/>
        <w:ind w:left="510" w:hanging="255"/>
      </w:pPr>
      <w:r>
        <w:rPr/>
        <w:t xml:space="preserve">•   </w:t>
      </w:r>
      <w:r>
        <w:rPr>
          <w:b/>
        </w:rPr>
        <w:t xml:space="preserve">Communications.</w:t>
      </w:r>
      <w:r>
        <w:rPr/>
        <w:t xml:space="preserve"> A telephony integration layer handling scheduled outbound voice, inbound calls and call-back, keypad capture, SMS, and USSD retrieval, with automatic degradation between channels.</w:t>
      </w:r>
    </w:p>
    <w:p>
      <w:pPr>
        <w:pStyle w:val="ListBullet"/>
        <w:ind w:left="510" w:hanging="255"/>
      </w:pPr>
      <w:r>
        <w:rPr/>
        <w:t xml:space="preserve">•   </w:t>
      </w:r>
      <w:r>
        <w:rPr>
          <w:b/>
        </w:rPr>
        <w:t xml:space="preserve">Offline-first by separation.</w:t>
      </w:r>
      <w:r>
        <w:rPr/>
        <w:t xml:space="preserve"> Outreach and oversight are decoupled. The scheduler calls mothers regardless of whether any health worker has connectivity; the worker's app caches its caseload locally and reconciles when signal permits.</w:t>
      </w:r>
    </w:p>
    <w:p>
      <w:pPr>
        <w:pStyle w:val="ListBullet"/>
        <w:ind w:left="510" w:hanging="255"/>
      </w:pPr>
      <w:r>
        <w:rPr/>
        <w:t xml:space="preserve">•   </w:t>
      </w:r>
      <w:r>
        <w:rPr>
          <w:b/>
        </w:rPr>
        <w:t xml:space="preserve">The scheduler is an endpoint driven by a scheduled job</w:t>
      </w:r>
      <w:r>
        <w:rPr/>
        <w:t xml:space="preserve">, not a timer inside the web process. A web service that idles will suspend a background thread, and a scheduler that quietly stops is worse than none because it still looks like it is working. The outreach run is a call that can be triggered, repeated safely, and inspected.</w:t>
      </w:r>
    </w:p>
    <w:p>
      <w:pPr>
        <w:pStyle w:val="ListBullet"/>
        <w:ind w:left="510" w:hanging="255"/>
      </w:pPr>
      <w:r>
        <w:rPr/>
        <w:t xml:space="preserve">•   </w:t>
      </w:r>
      <w:r>
        <w:rPr>
          <w:b/>
        </w:rPr>
        <w:t xml:space="preserve">Reads are cache-first, with the age of the data always on screen.</w:t>
      </w:r>
      <w:r>
        <w:rPr/>
        <w:t xml:space="preserve"> A worker who is offline more often than she is online needs her caseload; what she must not have is stale information presented as current. The answer is a visible timestamp, not a blank screen.</w:t>
      </w:r>
    </w:p>
    <w:p>
      <w:pPr>
        <w:pStyle w:val="ListBullet"/>
        <w:ind w:left="510" w:hanging="255"/>
      </w:pPr>
      <w:r>
        <w:rPr/>
        <w:t xml:space="preserve">•   </w:t>
      </w:r>
      <w:r>
        <w:rPr>
          <w:b/>
        </w:rPr>
        <w:t xml:space="preserve">Every action that matters is queued before it is sent.</w:t>
      </w:r>
      <w:r>
        <w:rPr/>
        <w:t xml:space="preserve"> Confirming an emergency, recording a visit, closing a referral: each writes to the device first and reports which of sent, queued or failed actually happened. A request that fails silently is indistinguishable from one that worked, and a health worker will tap it again.</w:t>
      </w:r>
    </w:p>
    <w:p>
      <w:pPr>
        <w:pStyle w:val="Heading1"/>
        <w:pBdr>
          <w:bottom w:val="single" w:sz="8" w:space="4" w:color="C9D6DE"/>
        </w:pBdr>
      </w:pPr>
      <w:r>
        <w:rPr/>
        <w:t xml:space="preserve">11.  The Worker’s Interface</w:t>
      </w:r>
    </w:p>
    <w:p>
      <w:pPr>
        <w:pStyle w:val="ListBullet"/>
        <w:ind w:left="510" w:hanging="255"/>
      </w:pPr>
      <w:r>
        <w:rPr/>
        <w:t xml:space="preserve">Five sections, named as a health worker would name them: Dashboard, Patients, Visits, Reports, Settings. Everything else the platform does sits inside one of them — the nutrition view and the indicators under Reports, the language workbench and the call simulator under Settings. A worker’s primary navigation is not the place to advertise a developer tool.</w:t>
      </w:r>
    </w:p>
    <w:p>
      <w:pPr>
        <w:pStyle w:val="ListBullet"/>
        <w:ind w:left="510" w:hanging="255"/>
      </w:pPr>
      <w:r>
        <w:rPr/>
        <w:t xml:space="preserve">The Dashboard is the day in the order it should be worked. High-risk patients take the full width at the top; today’s scheduled visits, emergencies waiting on a human, and the actions she starts rather than responds to sit beneath. The sections are numbered, which is not decoration: a worker and her supervisor have to refer to the same thing out loud over a bad line, and “look at two” is faster and less ambiguous than “the tasks card”.</w:t>
      </w:r>
    </w:p>
    <w:p>
      <w:pPr>
        <w:pStyle w:val="ListBullet"/>
        <w:ind w:left="510" w:hanging="255"/>
      </w:pPr>
      <w:r>
        <w:rPr/>
        <w:t xml:space="preserve">The patient record answers three questions in three columns — who she is, why she is at this risk level, and what to do about it — with the care circle beneath as four named people, each shown with the delay they address. A list of patients is sorted by who needs her most rather than alphabetically, because a list in alphabetical order is a filing cabinet and the point of the screen is that the person at the top is the person to open.</w:t>
      </w:r>
    </w:p>
    <w:p>
      <w:pPr>
        <w:pStyle w:val="ListBullet"/>
        <w:ind w:left="510" w:hanging="255"/>
      </w:pPr>
      <w:r>
        <w:rPr/>
        <w:t xml:space="preserve">Three constraints drove the design and none of them are aesthetic. </w:t>
      </w:r>
      <w:r>
        <w:rPr>
          <w:b/>
        </w:rPr>
        <w:t xml:space="preserve">She is outdoors</w:t>
      </w:r>
      <w:r>
        <w:rPr/>
        <w:t xml:space="preserve">: a dark interface in direct sunlight is harder to read, not easier, because the screen’s own reflectance swamps a low-luminance image — so it ships light, with an explicit high-contrast Sun mode and no automatic dark theme. </w:t>
      </w:r>
      <w:r>
        <w:rPr>
          <w:b/>
        </w:rPr>
        <w:t xml:space="preserve">She has one hand</w:t>
      </w:r>
      <w:r>
        <w:rPr/>
        <w:t xml:space="preserve">: on a phone the sidebar becomes a bottom bar, because everything she must reach has to be reachable low. </w:t>
      </w:r>
      <w:r>
        <w:rPr>
          <w:b/>
        </w:rPr>
        <w:t xml:space="preserve">Her phone is cheap</w:t>
      </w:r>
      <w:r>
        <w:rPr/>
        <w:t xml:space="preserve">: no shadows to composite, no blur, no gradients, icons drawn rather than fetched, and only the font weights the system actually ships.</w:t>
      </w:r>
    </w:p>
    <w:p>
      <w:pPr>
        <w:pStyle w:val="ListBullet"/>
        <w:ind w:left="510" w:hanging="255"/>
      </w:pPr>
      <w:r>
        <w:rPr/>
        <w:t xml:space="preserve">Risk is stated in a pill you can read across a room, but urgency is carried by ink coverage and position first and colour second, so the triage still works in greyscale, through a bad projector, and for a red-green colour-blind reader. Red is reserved: it appears only on an active emergency. Kente and Adinkra are deliberately absent — those are Akan, and using them here would be a misattribution in Dagbon.</w:t>
      </w:r>
    </w:p>
    <w:p>
      <w:pPr>
        <w:pStyle w:val="Heading1"/>
        <w:pBdr>
          <w:bottom w:val="single" w:sz="8" w:space="4" w:color="C9D6DE"/>
        </w:pBdr>
      </w:pPr>
      <w:r>
        <w:rPr/>
        <w:t xml:space="preserve">12.  Technology Stack</w:t>
      </w:r>
    </w:p>
    <w:tbl>
      <w:tblPr>
        <w:tblW w:w="5000" w:type="pct"/>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CellMar>
          <w:top w:w="80" w:type="dxa"/>
          <w:bottom w:w="80" w:type="dxa"/>
          <w:left w:w="120" w:type="dxa"/>
          <w:right w:w="120" w:type="dxa"/>
        </w:tblCellMar>
      </w:tblPr>
      <w:tblGrid>
        <w:gridCol w:w="2176"/>
        <w:gridCol w:w="6893"/>
      </w:tblGrid>
      <w:tr>
        <w:trPr>
          <w:tblHeader/>
        </w:trPr>
        <w:tc>
          <w:tcPr>
            <w:tcW w:w="1200" w:type="pct"/>
            <w:shd w:val="clear" w:fill="F2F7F9"/>
            <w:vAlign w:val="center"/>
          </w:tcPr>
          <w:p>
            <w:pPr>
              <w:pStyle w:val="TableText"/>
            </w:pPr>
            <w:r>
              <w:rPr>
                <w:b/>
              </w:rPr>
              <w:t xml:space="preserve">Layer</w:t>
            </w:r>
          </w:p>
        </w:tc>
        <w:tc>
          <w:tcPr>
            <w:tcW w:w="3800" w:type="pct"/>
            <w:shd w:val="clear" w:fill="F2F7F9"/>
            <w:vAlign w:val="center"/>
          </w:tcPr>
          <w:p>
            <w:pPr>
              <w:pStyle w:val="TableText"/>
            </w:pPr>
            <w:r>
              <w:rPr>
                <w:b/>
              </w:rPr>
              <w:t xml:space="preserve">Technology</w:t>
            </w:r>
          </w:p>
        </w:tc>
      </w:tr>
      <w:tr>
        <w:tc>
          <w:tcPr>
            <w:tcW w:w="1200" w:type="pct"/>
            <w:vAlign w:val="center"/>
          </w:tcPr>
          <w:p>
            <w:pPr>
              <w:pStyle w:val="TableText"/>
            </w:pPr>
            <w:r>
              <w:rPr/>
              <w:t xml:space="preserve">Frontend</w:t>
            </w:r>
          </w:p>
        </w:tc>
        <w:tc>
          <w:tcPr>
            <w:tcW w:w="3800" w:type="pct"/>
            <w:vAlign w:val="center"/>
          </w:tcPr>
          <w:p>
            <w:pPr>
              <w:pStyle w:val="TableText"/>
            </w:pPr>
            <w:r>
              <w:rPr/>
              <w:t xml:space="preserve">React, Vite, Progressive Web App, IndexedDB</w:t>
            </w:r>
          </w:p>
        </w:tc>
      </w:tr>
      <w:tr>
        <w:tc>
          <w:tcPr>
            <w:tcW w:w="1200" w:type="pct"/>
            <w:vAlign w:val="center"/>
          </w:tcPr>
          <w:p>
            <w:pPr>
              <w:pStyle w:val="TableText"/>
            </w:pPr>
            <w:r>
              <w:rPr/>
              <w:t xml:space="preserve">Backend</w:t>
            </w:r>
          </w:p>
        </w:tc>
        <w:tc>
          <w:tcPr>
            <w:tcW w:w="3800" w:type="pct"/>
            <w:vAlign w:val="center"/>
          </w:tcPr>
          <w:p>
            <w:pPr>
              <w:pStyle w:val="TableText"/>
            </w:pPr>
            <w:r>
              <w:rPr/>
              <w:t xml:space="preserve">Python, FastAPI</w:t>
            </w:r>
          </w:p>
        </w:tc>
      </w:tr>
      <w:tr>
        <w:tc>
          <w:tcPr>
            <w:tcW w:w="1200" w:type="pct"/>
            <w:vAlign w:val="center"/>
          </w:tcPr>
          <w:p>
            <w:pPr>
              <w:pStyle w:val="TableText"/>
            </w:pPr>
            <w:r>
              <w:rPr/>
              <w:t xml:space="preserve">Database</w:t>
            </w:r>
          </w:p>
        </w:tc>
        <w:tc>
          <w:tcPr>
            <w:tcW w:w="3800" w:type="pct"/>
            <w:vAlign w:val="center"/>
          </w:tcPr>
          <w:p>
            <w:pPr>
              <w:pStyle w:val="TableText"/>
            </w:pPr>
            <w:r>
              <w:rPr/>
              <w:t xml:space="preserve">PostgreSQL (cloud), IndexedDB (device)</w:t>
            </w:r>
          </w:p>
        </w:tc>
      </w:tr>
      <w:tr>
        <w:tc>
          <w:tcPr>
            <w:tcW w:w="1200" w:type="pct"/>
            <w:vAlign w:val="center"/>
          </w:tcPr>
          <w:p>
            <w:pPr>
              <w:pStyle w:val="TableText"/>
            </w:pPr>
            <w:r>
              <w:rPr/>
              <w:t xml:space="preserve">Intelligence</w:t>
            </w:r>
          </w:p>
        </w:tc>
        <w:tc>
          <w:tcPr>
            <w:tcW w:w="3800" w:type="pct"/>
            <w:vAlign w:val="center"/>
          </w:tcPr>
          <w:p>
            <w:pPr>
              <w:pStyle w:val="TableText"/>
            </w:pPr>
            <w:r>
              <w:rPr/>
              <w:t xml:space="preserve">Deterministic rule engine for triage and nutrition selection. Speech synthesis via Khaya (GhanaNLP) where its quota allows, and Meta's MMS running locally where a model exists — which among these four languages is Kusaal alone. Nothing has been trained or fine-tuned by the team.</w:t>
            </w:r>
          </w:p>
        </w:tc>
      </w:tr>
      <w:tr>
        <w:tc>
          <w:tcPr>
            <w:tcW w:w="1200" w:type="pct"/>
            <w:vAlign w:val="center"/>
          </w:tcPr>
          <w:p>
            <w:pPr>
              <w:pStyle w:val="TableText"/>
            </w:pPr>
            <w:r>
              <w:rPr/>
              <w:t xml:space="preserve">Communications</w:t>
            </w:r>
          </w:p>
        </w:tc>
        <w:tc>
          <w:tcPr>
            <w:tcW w:w="3800" w:type="pct"/>
            <w:vAlign w:val="center"/>
          </w:tcPr>
          <w:p>
            <w:pPr>
              <w:pStyle w:val="TableText"/>
            </w:pPr>
            <w:r>
              <w:rPr/>
              <w:t xml:space="preserve">Africa's Talking Voice, SMS and USSD APIs</w:t>
            </w:r>
          </w:p>
        </w:tc>
      </w:tr>
      <w:tr>
        <w:tc>
          <w:tcPr>
            <w:tcW w:w="1200" w:type="pct"/>
            <w:vAlign w:val="center"/>
          </w:tcPr>
          <w:p>
            <w:pPr>
              <w:pStyle w:val="TableText"/>
            </w:pPr>
            <w:r>
              <w:rPr/>
              <w:t xml:space="preserve">Deployment</w:t>
            </w:r>
          </w:p>
        </w:tc>
        <w:tc>
          <w:tcPr>
            <w:tcW w:w="3800" w:type="pct"/>
            <w:vAlign w:val="center"/>
          </w:tcPr>
          <w:p>
            <w:pPr>
              <w:pStyle w:val="TableText"/>
            </w:pPr>
            <w:r>
              <w:rPr/>
              <w:t xml:space="preserve">Docker on a cloud VPS</w:t>
            </w:r>
          </w:p>
        </w:tc>
      </w:tr>
    </w:tbl>
    <w:p>
      <w:pPr>
        <w:pStyle w:val="Normal"/>
      </w:pPr>
    </w:p>
    <w:p>
      <w:pPr>
        <w:pStyle w:val="Heading1"/>
        <w:pBdr>
          <w:bottom w:val="single" w:sz="8" w:space="4" w:color="C9D6DE"/>
        </w:pBdr>
      </w:pPr>
      <w:r>
        <w:rPr/>
        <w:t xml:space="preserve">13.  Data Protection and Responsible AI</w:t>
      </w:r>
    </w:p>
    <w:p>
      <w:pPr>
        <w:pStyle w:val="ListBullet"/>
        <w:ind w:left="510" w:hanging="255"/>
      </w:pPr>
      <w:r>
        <w:rPr/>
        <w:t xml:space="preserve">•   </w:t>
      </w:r>
      <w:r>
        <w:rPr>
          <w:b/>
        </w:rPr>
        <w:t xml:space="preserve">Consent.</w:t>
      </w:r>
      <w:r>
        <w:rPr/>
        <w:t xml:space="preserve"> Explicit consent is recorded at enrolment, covering scheduled calls, the storage of health information and contact with a secondary household member. Consent is recorded as an event and can be withdrawn.</w:t>
      </w:r>
    </w:p>
    <w:p>
      <w:pPr>
        <w:pStyle w:val="ListBullet"/>
        <w:ind w:left="510" w:hanging="255"/>
      </w:pPr>
      <w:r>
        <w:rPr/>
        <w:t xml:space="preserve">•   </w:t>
      </w:r>
      <w:r>
        <w:rPr>
          <w:b/>
        </w:rPr>
        <w:t xml:space="preserve">Minimisation.</w:t>
      </w:r>
      <w:r>
        <w:rPr/>
        <w:t xml:space="preserve"> Only data used for triage, outreach or referral is collected. There is no automated or continuous location tracking of caregivers or drivers; a driver's position is recorded only as verbally reported, and only for the duration of an active dispatch.</w:t>
      </w:r>
    </w:p>
    <w:p>
      <w:pPr>
        <w:pStyle w:val="ListBullet"/>
        <w:ind w:left="510" w:hanging="255"/>
      </w:pPr>
      <w:r>
        <w:rPr/>
        <w:t xml:space="preserve">•   </w:t>
      </w:r>
      <w:r>
        <w:rPr>
          <w:b/>
        </w:rPr>
        <w:t xml:space="preserve">Protection at rest.</w:t>
      </w:r>
      <w:r>
        <w:rPr/>
        <w:t xml:space="preserve"> Health data on the worker's device is held in encrypted local storage behind a PIN, and encrypted in the cloud database.</w:t>
      </w:r>
    </w:p>
    <w:p>
      <w:pPr>
        <w:pStyle w:val="ListBullet"/>
        <w:ind w:left="510" w:hanging="255"/>
      </w:pPr>
      <w:r>
        <w:rPr/>
        <w:t xml:space="preserve">•   </w:t>
      </w:r>
      <w:r>
        <w:rPr>
          <w:b/>
        </w:rPr>
        <w:t xml:space="preserve">Analytics separation.</w:t>
      </w:r>
      <w:r>
        <w:rPr/>
        <w:t xml:space="preserve"> Phone numbers and identifiers are hashed in all analytics and reporting; no identifiable record leaves the clinical store.</w:t>
      </w:r>
    </w:p>
    <w:p>
      <w:pPr>
        <w:pStyle w:val="ListBullet"/>
        <w:ind w:left="510" w:hanging="255"/>
      </w:pPr>
      <w:r>
        <w:rPr/>
        <w:t xml:space="preserve">•   </w:t>
      </w:r>
      <w:r>
        <w:rPr>
          <w:b/>
        </w:rPr>
        <w:t xml:space="preserve">Legal basis.</w:t>
      </w:r>
      <w:r>
        <w:rPr/>
        <w:t xml:space="preserve"> Handling aligns with Ghana's Data Protection Act, and with Ghana Health Service norms for community health records.</w:t>
      </w:r>
    </w:p>
    <w:p>
      <w:pPr>
        <w:pStyle w:val="ListBullet"/>
        <w:ind w:left="510" w:hanging="255"/>
      </w:pPr>
      <w:r>
        <w:rPr/>
        <w:t xml:space="preserve">•   </w:t>
      </w:r>
      <w:r>
        <w:rPr>
          <w:b/>
        </w:rPr>
        <w:t xml:space="preserve">Accountability of the AI.</w:t>
      </w:r>
      <w:r>
        <w:rPr/>
        <w:t xml:space="preserve"> The system classifies and recommends; it does not decide. Every escalation passes a named human, every classification carries its reasons, and every case is closed by a person.</w:t>
      </w:r>
    </w:p>
    <w:p>
      <w:pPr>
        <w:pStyle w:val="ListBullet"/>
        <w:ind w:left="510" w:hanging="255"/>
      </w:pPr>
      <w:r>
        <w:rPr/>
        <w:t xml:space="preserve">•   </w:t>
      </w:r>
      <w:r>
        <w:rPr>
          <w:b/>
        </w:rPr>
        <w:t xml:space="preserve">Safe failure.</w:t>
      </w:r>
      <w:r>
        <w:rPr/>
        <w:t xml:space="preserve"> The system is designed so that its failure modes are safe: an unreachable mother escalates to a human visit, an unanswered emergency call still alerts the CHO, and no interaction is allowed to end silently.</w:t>
      </w:r>
    </w:p>
    <w:p>
      <w:pPr>
        <w:pStyle w:val="ListBullet"/>
        <w:ind w:left="510" w:hanging="255"/>
      </w:pPr>
      <w:r>
        <w:rPr/>
        <w:t xml:space="preserve">•   </w:t>
      </w:r>
      <w:r>
        <w:rPr>
          <w:b/>
        </w:rPr>
        <w:t xml:space="preserve">No outbound channel is open.</w:t>
      </w:r>
      <w:r>
        <w:rPr/>
        <w:t xml:space="preserve"> The endpoints that place calls and send messages require an authenticated worker. An unauthenticated endpoint that dials a number is not only a data-protection problem, it is a way for a stranger to spend a project's airtime.</w:t>
      </w:r>
    </w:p>
    <w:p>
      <w:pPr>
        <w:pStyle w:val="ListBullet"/>
        <w:ind w:left="510" w:hanging="255"/>
      </w:pPr>
      <w:r>
        <w:rPr>
          <w:b/>
        </w:rPr>
        <w:t xml:space="preserve">•   The irreversible step waits for a person. </w:t>
      </w:r>
      <w:r>
        <w:rPr/>
        <w:t xml:space="preserve">A message already on a husband's handset cannot be taken back. So the household is not told anything until a health worker has looked at the case and confirmed it — only the worker herself is alerted the moment a danger sign is reported, because judging it is her job. An earlier build alerted the family the instant a keypad was pressed, which meant a single mis-press could alarm a household with no clinician anywhere in the loop. A household alarmed twice for nothing stops reading the third message, and the third message is the one that matters.</w:t>
      </w:r>
    </w:p>
    <w:p>
      <w:pPr>
        <w:pStyle w:val="ListBullet"/>
        <w:ind w:left="510" w:hanging="255"/>
      </w:pPr>
      <w:r>
        <w:rPr/>
        <w:t xml:space="preserve">•   </w:t>
      </w:r>
      <w:r>
        <w:rPr>
          <w:b/>
        </w:rPr>
        <w:t xml:space="preserve">Failures are refusals, not crashes.</w:t>
      </w:r>
      <w:r>
        <w:rPr/>
        <w:t xml:space="preserve"> Malformed input — a measurement sent as text, a list sent as a string, an impossible month — is rejected with an explanation rather than accepted and silently discarded. A danger sign that is dropped without complaint leaves a woman recorded as well when she is not.</w:t>
      </w:r>
    </w:p>
    <w:p>
      <w:pPr>
        <w:pStyle w:val="Heading2"/>
      </w:pPr>
      <w:r>
        <w:rPr/>
        <w:t xml:space="preserve">Known gaps, stated rather than implied</w:t>
      </w:r>
    </w:p>
    <w:p>
      <w:pPr>
        <w:pStyle w:val="Normal"/>
      </w:pPr>
      <w:r>
        <w:rPr/>
        <w:t xml:space="preserve">Two protections are designed but not yet enforced, and this document names them rather than leaving a reader to discover them:</w:t>
      </w:r>
    </w:p>
    <w:p>
      <w:pPr>
        <w:pStyle w:val="ListBullet"/>
        <w:ind w:left="510" w:hanging="255"/>
      </w:pPr>
      <w:r>
        <w:rPr>
          <w:b/>
        </w:rPr>
        <w:t xml:space="preserve">•   Record scoping. </w:t>
      </w:r>
      <w:r>
        <w:rPr/>
        <w:t xml:space="preserve">Enforced on the two surfaces where a leak is also a safety problem, and not yet everywhere else. The care circle and every emergency route are scoped to the worker's own patients and facility — those hold family names and phone numbers, and the emergency route can send the household an alert, so an unscoped write there would redirect "she needs to go to the health centre now" to a stranger's handset. A signed-in worker can still read a patient record outside her facility. Roles exist in the data model; the remaining query surfaces are the next thing to close.</w:t>
      </w:r>
    </w:p>
    <w:p>
      <w:pPr>
        <w:pStyle w:val="ListBullet"/>
        <w:ind w:left="510" w:hanging="255"/>
      </w:pPr>
      <w:r>
        <w:rPr/>
        <w:t xml:space="preserve">•   </w:t>
      </w:r>
      <w:r>
        <w:rPr>
          <w:b/>
        </w:rPr>
        <w:t xml:space="preserve">Read auditing and consent withdrawal.</w:t>
      </w:r>
      <w:r>
        <w:rPr/>
        <w:t xml:space="preserve"> Every write is recorded with who made it and when. Reads are not, and there is no route yet for a woman to withdraw consent and stop the calls other than a worker closing her record. Both are prerequisites for a real deployment, not for a prototype, and both are on the roadmap rather than claimed as done.</w:t>
      </w:r>
    </w:p>
    <w:p>
      <w:pPr>
        <w:pStyle w:val="Heading1"/>
        <w:pBdr>
          <w:bottom w:val="single" w:sz="8" w:space="4" w:color="C9D6DE"/>
        </w:pBdr>
      </w:pPr>
      <w:r>
        <w:rPr/>
        <w:t xml:space="preserve">14.  Build Status</w:t>
      </w:r>
    </w:p>
    <w:p>
      <w:pPr>
        <w:pStyle w:val="Normal"/>
      </w:pPr>
      <w:r>
        <w:rPr/>
        <w:t xml:space="preserve">Written to be checkable. An earlier version of this table described as working a scheduler that had no trigger, an offline enrolment that lost the record, and a rule that read fields nobody collected — so this one distinguishes built, blocked and not attempted.</w:t>
      </w:r>
    </w:p>
    <w:tbl>
      <w:tblPr>
        <w:tblW w:w="5000" w:type="pct"/>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CellMar>
          <w:top w:w="80" w:type="dxa"/>
          <w:bottom w:w="80" w:type="dxa"/>
          <w:left w:w="120" w:type="dxa"/>
          <w:right w:w="120" w:type="dxa"/>
        </w:tblCellMar>
      </w:tblPr>
      <w:tblGrid>
        <w:gridCol w:w="6349"/>
        <w:gridCol w:w="2721"/>
      </w:tblGrid>
      <w:tr>
        <w:trPr>
          <w:tblHeader/>
        </w:trPr>
        <w:tc>
          <w:tcPr>
            <w:tcW w:w="3500" w:type="pct"/>
            <w:shd w:val="clear" w:fill="F2F7F9"/>
            <w:vAlign w:val="center"/>
          </w:tcPr>
          <w:p>
            <w:pPr>
              <w:pStyle w:val="TableText"/>
            </w:pPr>
            <w:r>
              <w:rPr>
                <w:b/>
              </w:rPr>
              <w:t xml:space="preserve">Component</w:t>
            </w:r>
          </w:p>
        </w:tc>
        <w:tc>
          <w:tcPr>
            <w:tcW w:w="1500" w:type="pct"/>
            <w:shd w:val="clear" w:fill="F2F7F9"/>
            <w:vAlign w:val="center"/>
          </w:tcPr>
          <w:p>
            <w:pPr>
              <w:pStyle w:val="TableText"/>
            </w:pPr>
            <w:r>
              <w:rPr>
                <w:b/>
              </w:rPr>
              <w:t xml:space="preserve">Status</w:t>
            </w:r>
          </w:p>
        </w:tc>
      </w:tr>
      <w:tr>
        <w:tc>
          <w:tcPr>
            <w:tcW w:w="3500" w:type="pct"/>
            <w:vAlign w:val="center"/>
          </w:tcPr>
          <w:p>
            <w:pPr>
              <w:pStyle w:val="TableText"/>
            </w:pPr>
            <w:r>
              <w:rPr/>
              <w:t xml:space="preserve">Append-only event log, idempotent sync, projections</w:t>
            </w:r>
          </w:p>
        </w:tc>
        <w:tc>
          <w:tcPr>
            <w:tcW w:w="1500" w:type="pct"/>
            <w:vAlign w:val="center"/>
          </w:tcPr>
          <w:p>
            <w:pPr>
              <w:pStyle w:val="TableText"/>
            </w:pPr>
            <w:r>
              <w:rPr/>
              <w:t xml:space="preserve">Working</w:t>
            </w:r>
          </w:p>
        </w:tc>
      </w:tr>
      <w:tr>
        <w:tc>
          <w:tcPr>
            <w:tcW w:w="3500" w:type="pct"/>
            <w:vAlign w:val="center"/>
          </w:tcPr>
          <w:p>
            <w:pPr>
              <w:pStyle w:val="TableText"/>
            </w:pPr>
            <w:r>
              <w:rPr/>
              <w:t xml:space="preserve">Risk engine with reason codes, human-in-the-loop confirmation</w:t>
            </w:r>
          </w:p>
        </w:tc>
        <w:tc>
          <w:tcPr>
            <w:tcW w:w="1500" w:type="pct"/>
            <w:vAlign w:val="center"/>
          </w:tcPr>
          <w:p>
            <w:pPr>
              <w:pStyle w:val="TableText"/>
            </w:pPr>
            <w:r>
              <w:rPr/>
              <w:t xml:space="preserve">Working</w:t>
            </w:r>
          </w:p>
        </w:tc>
      </w:tr>
      <w:tr>
        <w:tc>
          <w:tcPr>
            <w:tcW w:w="3500" w:type="pct"/>
            <w:vAlign w:val="center"/>
          </w:tcPr>
          <w:p>
            <w:pPr>
              <w:pStyle w:val="TableText"/>
            </w:pPr>
            <w:r>
              <w:rPr/>
              <w:t xml:space="preserve">Nutrition engine: gap-first, seasonal availability and price, taboo-aware</w:t>
            </w:r>
          </w:p>
        </w:tc>
        <w:tc>
          <w:tcPr>
            <w:tcW w:w="1500" w:type="pct"/>
            <w:vAlign w:val="center"/>
          </w:tcPr>
          <w:p>
            <w:pPr>
              <w:pStyle w:val="TableText"/>
            </w:pPr>
            <w:r>
              <w:rPr/>
              <w:t xml:space="preserve">Working</w:t>
            </w:r>
          </w:p>
        </w:tc>
      </w:tr>
      <w:tr>
        <w:tc>
          <w:tcPr>
            <w:tcW w:w="3500" w:type="pct"/>
            <w:vAlign w:val="center"/>
          </w:tcPr>
          <w:p>
            <w:pPr>
              <w:pStyle w:val="TableText"/>
            </w:pPr>
            <w:r>
              <w:rPr/>
              <w:t xml:space="preserve">Call flow with keypad triage and press-9 to a nurse</w:t>
            </w:r>
          </w:p>
        </w:tc>
        <w:tc>
          <w:tcPr>
            <w:tcW w:w="1500" w:type="pct"/>
            <w:vAlign w:val="center"/>
          </w:tcPr>
          <w:p>
            <w:pPr>
              <w:pStyle w:val="TableText"/>
            </w:pPr>
            <w:r>
              <w:rPr/>
              <w:t xml:space="preserve">Working</w:t>
            </w:r>
          </w:p>
        </w:tc>
      </w:tr>
      <w:tr>
        <w:tc>
          <w:tcPr>
            <w:tcW w:w="3500" w:type="pct"/>
            <w:vAlign w:val="center"/>
          </w:tcPr>
          <w:p>
            <w:pPr>
              <w:pStyle w:val="TableText"/>
            </w:pPr>
            <w:r>
              <w:rPr/>
              <w:t xml:space="preserve">Inbound hotline, call-back, nurse cascade, guaranteed alert</w:t>
            </w:r>
          </w:p>
        </w:tc>
        <w:tc>
          <w:tcPr>
            <w:tcW w:w="1500" w:type="pct"/>
            <w:vAlign w:val="center"/>
          </w:tcPr>
          <w:p>
            <w:pPr>
              <w:pStyle w:val="TableText"/>
            </w:pPr>
            <w:r>
              <w:rPr/>
              <w:t xml:space="preserve">Working</w:t>
            </w:r>
          </w:p>
        </w:tc>
      </w:tr>
      <w:tr>
        <w:tc>
          <w:tcPr>
            <w:tcW w:w="3500" w:type="pct"/>
            <w:vAlign w:val="center"/>
          </w:tcPr>
          <w:p>
            <w:pPr>
              <w:pStyle w:val="TableText"/>
            </w:pPr>
            <w:r>
              <w:rPr/>
              <w:t xml:space="preserve">Emergency validation, driver cascade, outcome logging</w:t>
            </w:r>
          </w:p>
        </w:tc>
        <w:tc>
          <w:tcPr>
            <w:tcW w:w="1500" w:type="pct"/>
            <w:vAlign w:val="center"/>
          </w:tcPr>
          <w:p>
            <w:pPr>
              <w:pStyle w:val="TableText"/>
            </w:pPr>
            <w:r>
              <w:rPr/>
              <w:t xml:space="preserve">Working</w:t>
            </w:r>
          </w:p>
        </w:tc>
      </w:tr>
      <w:tr>
        <w:tc>
          <w:tcPr>
            <w:tcW w:w="3500" w:type="pct"/>
            <w:vAlign w:val="center"/>
          </w:tcPr>
          <w:p>
            <w:pPr>
              <w:pStyle w:val="TableText"/>
            </w:pPr>
            <w:r>
              <w:rPr/>
              <w:t xml:space="preserve">CHPS worklist, enrolment, visit recording, facility board</w:t>
            </w:r>
          </w:p>
        </w:tc>
        <w:tc>
          <w:tcPr>
            <w:tcW w:w="1500" w:type="pct"/>
            <w:vAlign w:val="center"/>
          </w:tcPr>
          <w:p>
            <w:pPr>
              <w:pStyle w:val="TableText"/>
            </w:pPr>
            <w:r>
              <w:rPr/>
              <w:t xml:space="preserve">Working</w:t>
            </w:r>
          </w:p>
        </w:tc>
      </w:tr>
      <w:tr>
        <w:tc>
          <w:tcPr>
            <w:tcW w:w="3500" w:type="pct"/>
            <w:vAlign w:val="center"/>
          </w:tcPr>
          <w:p>
            <w:pPr>
              <w:pStyle w:val="TableText"/>
            </w:pPr>
            <w:r>
              <w:rPr/>
              <w:t xml:space="preserve">Outreach scheduler and daily scheduled run</w:t>
            </w:r>
          </w:p>
        </w:tc>
        <w:tc>
          <w:tcPr>
            <w:tcW w:w="1500" w:type="pct"/>
            <w:vAlign w:val="center"/>
          </w:tcPr>
          <w:p>
            <w:pPr>
              <w:pStyle w:val="TableText"/>
            </w:pPr>
            <w:r>
              <w:rPr/>
              <w:t xml:space="preserve">Working</w:t>
            </w:r>
          </w:p>
        </w:tc>
      </w:tr>
      <w:tr>
        <w:tc>
          <w:tcPr>
            <w:tcW w:w="3500" w:type="pct"/>
            <w:vAlign w:val="center"/>
          </w:tcPr>
          <w:p>
            <w:pPr>
              <w:pStyle w:val="TableText"/>
            </w:pPr>
            <w:r>
              <w:rPr/>
              <w:t xml:space="preserve">Nutrition officer view with MUAC trajectories</w:t>
            </w:r>
          </w:p>
        </w:tc>
        <w:tc>
          <w:tcPr>
            <w:tcW w:w="1500" w:type="pct"/>
            <w:vAlign w:val="center"/>
          </w:tcPr>
          <w:p>
            <w:pPr>
              <w:pStyle w:val="TableText"/>
            </w:pPr>
            <w:r>
              <w:rPr/>
              <w:t xml:space="preserve">Working</w:t>
            </w:r>
          </w:p>
        </w:tc>
      </w:tr>
      <w:tr>
        <w:tc>
          <w:tcPr>
            <w:tcW w:w="3500" w:type="pct"/>
            <w:vAlign w:val="center"/>
          </w:tcPr>
          <w:p>
            <w:pPr>
              <w:pStyle w:val="TableText"/>
            </w:pPr>
            <w:r>
              <w:rPr/>
              <w:t xml:space="preserve">Khaya translation — Dagbani, 72 of 83 lines</w:t>
            </w:r>
          </w:p>
        </w:tc>
        <w:tc>
          <w:tcPr>
            <w:tcW w:w="1500" w:type="pct"/>
            <w:vAlign w:val="center"/>
          </w:tcPr>
          <w:p>
            <w:pPr>
              <w:pStyle w:val="TableText"/>
            </w:pPr>
            <w:r>
              <w:rPr/>
              <w:t xml:space="preserve">Working, shipped with the build; 11 stale after English rewrites</w:t>
            </w:r>
          </w:p>
        </w:tc>
      </w:tr>
      <w:tr>
        <w:tc>
          <w:tcPr>
            <w:tcW w:w="3500" w:type="pct"/>
            <w:vAlign w:val="center"/>
          </w:tcPr>
          <w:p>
            <w:pPr>
              <w:pStyle w:val="TableText"/>
            </w:pPr>
            <w:r>
              <w:rPr/>
              <w:t xml:space="preserve">Khaya translation — Kusaal 18 of 83, Frafra queued</w:t>
            </w:r>
          </w:p>
        </w:tc>
        <w:tc>
          <w:tcPr>
            <w:tcW w:w="1500" w:type="pct"/>
            <w:vAlign w:val="center"/>
          </w:tcPr>
          <w:p>
            <w:pPr>
              <w:pStyle w:val="TableText"/>
            </w:pPr>
            <w:r>
              <w:rPr/>
              <w:t xml:space="preserve">Blocked by API quota until mid-August</w:t>
            </w:r>
          </w:p>
        </w:tc>
      </w:tr>
      <w:tr>
        <w:tc>
          <w:tcPr>
            <w:tcW w:w="3500" w:type="pct"/>
            <w:vAlign w:val="center"/>
          </w:tcPr>
          <w:p>
            <w:pPr>
              <w:pStyle w:val="TableText"/>
            </w:pPr>
            <w:r>
              <w:rPr/>
              <w:t xml:space="preserve">Khaya translation — Gonja</w:t>
            </w:r>
          </w:p>
        </w:tc>
        <w:tc>
          <w:tcPr>
            <w:tcW w:w="1500" w:type="pct"/>
            <w:vAlign w:val="center"/>
          </w:tcPr>
          <w:p>
            <w:pPr>
              <w:pStyle w:val="TableText"/>
            </w:pPr>
            <w:r>
              <w:rPr/>
              <w:t xml:space="preserve">Not possible; no model exists</w:t>
            </w:r>
          </w:p>
        </w:tc>
      </w:tr>
      <w:tr>
        <w:tc>
          <w:tcPr>
            <w:tcW w:w="3500" w:type="pct"/>
            <w:vAlign w:val="center"/>
          </w:tcPr>
          <w:p>
            <w:pPr>
              <w:pStyle w:val="TableText"/>
            </w:pPr>
            <w:r>
              <w:rPr/>
              <w:t xml:space="preserve">Local-language audio</w:t>
            </w:r>
          </w:p>
        </w:tc>
        <w:tc>
          <w:tcPr>
            <w:tcW w:w="1500" w:type="pct"/>
            <w:vAlign w:val="center"/>
          </w:tcPr>
          <w:p>
            <w:pPr>
              <w:pStyle w:val="TableText"/>
            </w:pPr>
            <w:r>
              <w:rPr/>
              <w:t xml:space="preserve">Partly. Kusaal 17 of 45 core lines via Meta MMS running locally; Dagbani 2 of 45. Khaya synthesis is down upstream and has no Dagbani model regardless. Anything unrecorded plays English.</w:t>
            </w:r>
          </w:p>
        </w:tc>
      </w:tr>
      <w:tr>
        <w:tc>
          <w:tcPr>
            <w:tcW w:w="3500" w:type="pct"/>
            <w:vAlign w:val="center"/>
          </w:tcPr>
          <w:p>
            <w:pPr>
              <w:pStyle w:val="TableText"/>
            </w:pPr>
            <w:r>
              <w:rPr/>
              <w:t xml:space="preserve">USSD worklist retrieval</w:t>
            </w:r>
          </w:p>
        </w:tc>
        <w:tc>
          <w:tcPr>
            <w:tcW w:w="1500" w:type="pct"/>
            <w:vAlign w:val="center"/>
          </w:tcPr>
          <w:p>
            <w:pPr>
              <w:pStyle w:val="TableText"/>
            </w:pPr>
            <w:r>
              <w:rPr/>
              <w:t xml:space="preserve">Built; needs a live shared code to dial</w:t>
            </w:r>
          </w:p>
        </w:tc>
      </w:tr>
      <w:tr>
        <w:tc>
          <w:tcPr>
            <w:tcW w:w="3500" w:type="pct"/>
            <w:vAlign w:val="center"/>
          </w:tcPr>
          <w:p>
            <w:pPr>
              <w:pStyle w:val="TableText"/>
            </w:pPr>
            <w:r>
              <w:rPr/>
              <w:t xml:space="preserve">Speech recognition</w:t>
            </w:r>
          </w:p>
        </w:tc>
        <w:tc>
          <w:tcPr>
            <w:tcW w:w="1500" w:type="pct"/>
            <w:vAlign w:val="center"/>
          </w:tcPr>
          <w:p>
            <w:pPr>
              <w:pStyle w:val="TableText"/>
            </w:pPr>
            <w:r>
              <w:rPr/>
              <w:t xml:space="preserve">Not started; the keypad path stands alone</w:t>
            </w:r>
          </w:p>
        </w:tc>
      </w:tr>
      <w:tr>
        <w:tc>
          <w:tcPr>
            <w:tcW w:w="3500" w:type="pct"/>
            <w:vAlign w:val="center"/>
          </w:tcPr>
          <w:p>
            <w:pPr>
              <w:pStyle w:val="TableText"/>
            </w:pPr>
            <w:r>
              <w:rPr/>
              <w:t xml:space="preserve">Record scoping by role, read auditing, consent withdrawal</w:t>
            </w:r>
          </w:p>
        </w:tc>
        <w:tc>
          <w:tcPr>
            <w:tcW w:w="1500" w:type="pct"/>
            <w:vAlign w:val="center"/>
          </w:tcPr>
          <w:p>
            <w:pPr>
              <w:pStyle w:val="TableText"/>
            </w:pPr>
            <w:r>
              <w:rPr/>
              <w:t xml:space="preserve">Scoping enforced on the care circle and every emergency route; patient records and read auditing still open</w:t>
            </w:r>
          </w:p>
        </w:tc>
      </w:tr>
      <w:tr>
        <w:tc>
          <w:tcPr>
            <w:tcW w:w="3500" w:type="pct"/>
            <w:vAlign w:val="center"/>
          </w:tcPr>
          <w:p>
            <w:pPr>
              <w:pStyle w:val="TableText"/>
            </w:pPr>
            <w:r>
              <w:rPr/>
              <w:t xml:space="preserve">Predictive models, national system integration</w:t>
            </w:r>
          </w:p>
        </w:tc>
        <w:tc>
          <w:tcPr>
            <w:tcW w:w="1500" w:type="pct"/>
            <w:vAlign w:val="center"/>
          </w:tcPr>
          <w:p>
            <w:pPr>
              <w:pStyle w:val="TableText"/>
            </w:pPr>
            <w:r>
              <w:rPr/>
              <w:t xml:space="preserve">Roadmap</w:t>
            </w:r>
          </w:p>
        </w:tc>
      </w:tr>
    </w:tbl>
    <w:p>
      <w:pPr>
        <w:pStyle w:val="Normal"/>
      </w:pPr>
    </w:p>
    <w:p>
      <w:pPr>
        <w:pStyle w:val="Heading2"/>
      </w:pPr>
      <w:r>
        <w:rPr/>
        <w:t xml:space="preserve">On the absence of a learned model</w:t>
      </w:r>
    </w:p>
    <w:p>
      <w:pPr>
        <w:pStyle w:val="Normal"/>
      </w:pPr>
      <w:r>
        <w:rPr/>
        <w:t xml:space="preserve">The triage and nutrition engines are deterministic rules, not models, and that is a decision rather than a shortfall. A rule that fires because a woman reported bleeding can be read, questioned and overruled by a health worker; a model trained on data that does not yet exist cannot. The event log is deliberately shaped so that models can be trained once real programme data accumulates. Claiming prediction today would be the easier thing to write and the wrong thing to deploy.</w:t>
      </w:r>
    </w:p>
    <w:p>
      <w:pPr>
        <w:pStyle w:val="Heading1"/>
        <w:pBdr>
          <w:bottom w:val="single" w:sz="8" w:space="4" w:color="C9D6DE"/>
        </w:pBdr>
      </w:pPr>
      <w:r>
        <w:rPr/>
        <w:t xml:space="preserve">15.  Impact Measurement</w:t>
      </w:r>
    </w:p>
    <w:p>
      <w:pPr>
        <w:pStyle w:val="ListBullet"/>
        <w:ind w:left="510" w:hanging="255"/>
      </w:pPr>
      <w:r>
        <w:rPr/>
        <w:t xml:space="preserve">•   </w:t>
      </w:r>
      <w:r>
        <w:rPr>
          <w:b/>
        </w:rPr>
        <w:t xml:space="preserve">Reach rate.</w:t>
      </w:r>
      <w:r>
        <w:rPr/>
        <w:t xml:space="preserve"> Proportion of enrolled women successfully contacted on schedule.</w:t>
      </w:r>
    </w:p>
    <w:p>
      <w:pPr>
        <w:pStyle w:val="ListBullet"/>
        <w:ind w:left="510" w:hanging="255"/>
      </w:pPr>
      <w:r>
        <w:rPr/>
        <w:t xml:space="preserve">•   </w:t>
      </w:r>
      <w:r>
        <w:rPr>
          <w:b/>
        </w:rPr>
        <w:t xml:space="preserve">Antenatal contact completion</w:t>
      </w:r>
      <w:r>
        <w:rPr/>
        <w:t xml:space="preserve"> against the WHO eight-contact model.</w:t>
      </w:r>
    </w:p>
    <w:p>
      <w:pPr>
        <w:pStyle w:val="ListBullet"/>
        <w:ind w:left="510" w:hanging="255"/>
      </w:pPr>
      <w:r>
        <w:rPr/>
        <w:t xml:space="preserve">•   </w:t>
      </w:r>
      <w:r>
        <w:rPr>
          <w:b/>
        </w:rPr>
        <w:t xml:space="preserve">Iron and folic acid adherence</w:t>
      </w:r>
      <w:r>
        <w:rPr/>
        <w:t xml:space="preserve">, as a direct proxy for anaemia risk.</w:t>
      </w:r>
    </w:p>
    <w:p>
      <w:pPr>
        <w:pStyle w:val="ListBullet"/>
        <w:ind w:left="510" w:hanging="255"/>
      </w:pPr>
      <w:r>
        <w:rPr/>
        <w:t xml:space="preserve">•   </w:t>
      </w:r>
      <w:r>
        <w:rPr>
          <w:b/>
        </w:rPr>
        <w:t xml:space="preserve">Dietary diversity</w:t>
      </w:r>
      <w:r>
        <w:rPr/>
        <w:t xml:space="preserve">, reported separately by instrument: Minimum Dietary Diversity for Women across ten food groups for pregnant and lactating women, and minimum dietary diversity and minimum acceptable diet across eight groups with meal frequency for children aged 6–23 months.</w:t>
      </w:r>
    </w:p>
    <w:p>
      <w:pPr>
        <w:pStyle w:val="ListBullet"/>
        <w:ind w:left="510" w:hanging="255"/>
      </w:pPr>
      <w:r>
        <w:rPr/>
        <w:t xml:space="preserve">•   </w:t>
      </w:r>
      <w:r>
        <w:rPr>
          <w:b/>
        </w:rPr>
        <w:t xml:space="preserve">Nutrition gaps closed.</w:t>
      </w:r>
      <w:r>
        <w:rPr/>
        <w:t xml:space="preserve"> The proportion of measured food-group gaps that are filled at the following contact — a direct measure of whether guidance was actionable, not merely delivered.</w:t>
      </w:r>
    </w:p>
    <w:p>
      <w:pPr>
        <w:pStyle w:val="ListBullet"/>
        <w:ind w:left="510" w:hanging="255"/>
      </w:pPr>
      <w:r>
        <w:rPr/>
        <w:t xml:space="preserve">•   </w:t>
      </w:r>
      <w:r>
        <w:rPr>
          <w:b/>
        </w:rPr>
        <w:t xml:space="preserve">Referral closure rate.</w:t>
      </w:r>
      <w:r>
        <w:rPr/>
        <w:t xml:space="preserve"> The proportion of referrals confirmed as completed by a health worker.</w:t>
      </w:r>
    </w:p>
    <w:p>
      <w:pPr>
        <w:pStyle w:val="ListBullet"/>
        <w:ind w:left="510" w:hanging="255"/>
      </w:pPr>
      <w:r>
        <w:rPr/>
        <w:t xml:space="preserve">•   </w:t>
      </w:r>
      <w:r>
        <w:rPr>
          <w:b/>
        </w:rPr>
        <w:t xml:space="preserve">Emergency coordination time</w:t>
      </w:r>
      <w:r>
        <w:rPr/>
        <w:t xml:space="preserve">, from Red classification to driver acceptance.</w:t>
      </w:r>
    </w:p>
    <w:p>
      <w:pPr>
        <w:pStyle w:val="Heading2"/>
      </w:pPr>
      <w:r>
        <w:rPr/>
        <w:t xml:space="preserve">The Three Delays, measured</w:t>
      </w:r>
    </w:p>
    <w:p>
      <w:pPr>
        <w:pStyle w:val="Normal"/>
      </w:pPr>
      <w:r>
        <w:rPr/>
        <w:t xml:space="preserve">The headline measure is not a percentage but a funnel: how many danger signs were detected, how many a health worker confirmed, how many found transport, how many arrived, and how many had an outcome recorded — with the drop-off visible at each step. Those five stages are the Three Delays, and reporting the losses between them is more useful than reporting an average of them.</w:t>
      </w:r>
    </w:p>
    <w:p>
      <w:pPr>
        <w:pStyle w:val="Heading1"/>
        <w:pBdr>
          <w:bottom w:val="single" w:sz="8" w:space="4" w:color="C9D6DE"/>
        </w:pBdr>
      </w:pPr>
      <w:r>
        <w:rPr/>
        <w:t xml:space="preserve">16.  Verification</w:t>
      </w:r>
    </w:p>
    <w:p>
      <w:pPr>
        <w:pStyle w:val="Normal"/>
      </w:pPr>
      <w:r>
        <w:rPr/>
        <w:t xml:space="preserve">Eighty-two automated tests. They are not written for coverage; each one corresponds to a specific way the platform could hurt someone or mislead a health worker, and most were written after an adversarial review found the failure rather than before.</w:t>
      </w:r>
    </w:p>
    <w:p>
      <w:pPr>
        <w:pStyle w:val="Heading2"/>
      </w:pPr>
      <w:r>
        <w:rPr/>
        <w:t xml:space="preserve">The ones that matter clinically</w:t>
      </w:r>
    </w:p>
    <w:p>
      <w:pPr>
        <w:pStyle w:val="ListBullet"/>
        <w:ind w:left="510" w:hanging="255"/>
      </w:pPr>
      <w:r>
        <w:rPr/>
        <w:t xml:space="preserve">•   A keypad timeout is never recorded as a denial, and a stray key never clears a danger sign she reported earlier.</w:t>
      </w:r>
    </w:p>
    <w:p>
      <w:pPr>
        <w:pStyle w:val="ListBullet"/>
        <w:ind w:left="510" w:hanging="255"/>
      </w:pPr>
      <w:r>
        <w:rPr/>
        <w:t xml:space="preserve">•   Asking for a nurse mid-call keeps everything she has already said.</w:t>
      </w:r>
    </w:p>
    <w:p>
      <w:pPr>
        <w:pStyle w:val="ListBullet"/>
        <w:ind w:left="510" w:hanging="255"/>
      </w:pPr>
      <w:r>
        <w:rPr/>
        <w:t xml:space="preserve">•   A driver whose phone is off advances the queue; two drivers cannot both accept; confirming twice does not dispatch twice.</w:t>
      </w:r>
    </w:p>
    <w:p>
      <w:pPr>
        <w:pStyle w:val="ListBullet"/>
        <w:ind w:left="510" w:hanging="255"/>
      </w:pPr>
      <w:r>
        <w:rPr/>
        <w:t xml:space="preserve">•   A Red stays Red until an outcome is recorded — and a referral that did not land keeps the flag up, while care actually received clears it.</w:t>
      </w:r>
    </w:p>
    <w:p>
      <w:pPr>
        <w:pStyle w:val="ListBullet"/>
        <w:ind w:left="510" w:hanging="255"/>
      </w:pPr>
      <w:r>
        <w:rPr/>
        <w:t xml:space="preserve">•   Emptying the on-call roster on purpose still results in the health worker being alerted.</w:t>
      </w:r>
    </w:p>
    <w:p>
      <w:pPr>
        <w:pStyle w:val="ListBullet"/>
        <w:ind w:left="510" w:hanging="255"/>
      </w:pPr>
      <w:r>
        <w:rPr/>
        <w:t xml:space="preserve">•   Distance escalates a symptom that could worsen and does not escalate a missed iron tablet.</w:t>
      </w:r>
    </w:p>
    <w:p>
      <w:pPr>
        <w:pStyle w:val="Heading2"/>
      </w:pPr>
      <w:r>
        <w:rPr/>
        <w:t xml:space="preserve">The ones that matter for data</w:t>
      </w:r>
    </w:p>
    <w:p>
      <w:pPr>
        <w:pStyle w:val="ListBullet"/>
        <w:ind w:left="510" w:hanging="255"/>
      </w:pPr>
      <w:r>
        <w:rPr/>
        <w:t xml:space="preserve">•   An enrolment queued offline becomes a real patient with a call schedule, and pushing it twice enrols one woman.</w:t>
      </w:r>
    </w:p>
    <w:p>
      <w:pPr>
        <w:pStyle w:val="ListBullet"/>
        <w:ind w:left="510" w:hanging="255"/>
      </w:pPr>
      <w:r>
        <w:rPr/>
        <w:t xml:space="preserve">•   A visit queued offline keeps the arm measurement, the iron answer and the note.</w:t>
      </w:r>
    </w:p>
    <w:p>
      <w:pPr>
        <w:pStyle w:val="ListBullet"/>
        <w:ind w:left="510" w:hanging="255"/>
      </w:pPr>
      <w:r>
        <w:rPr/>
        <w:t xml:space="preserve">•   A sync arriving three days late lands in the right place in the history rather than overwriting a newer reading.</w:t>
      </w:r>
    </w:p>
    <w:p>
      <w:pPr>
        <w:pStyle w:val="ListBullet"/>
        <w:ind w:left="510" w:hanging="255"/>
      </w:pPr>
      <w:r>
        <w:rPr/>
        <w:t xml:space="preserve">•   Patient state can be deleted and rebuilt from the log with an identical result.</w:t>
      </w:r>
    </w:p>
    <w:p>
      <w:pPr>
        <w:pStyle w:val="Heading2"/>
      </w:pPr>
      <w:r>
        <w:rPr/>
        <w:t xml:space="preserve">The ones that matter for the claims</w:t>
      </w:r>
    </w:p>
    <w:p>
      <w:pPr>
        <w:pStyle w:val="ListBullet"/>
        <w:ind w:left="510" w:hanging="255"/>
      </w:pPr>
      <w:r>
        <w:rPr/>
        <w:t xml:space="preserve">•   Advice rotates through her gaps rather than repeating one sentence; the same gap gives different foods in different months.</w:t>
      </w:r>
    </w:p>
    <w:p>
      <w:pPr>
        <w:pStyle w:val="ListBullet"/>
        <w:ind w:left="510" w:hanging="255"/>
      </w:pPr>
      <w:r>
        <w:rPr/>
        <w:t xml:space="preserve">•   The two dietary instruments stay ten groups and eight groups and never mix.</w:t>
      </w:r>
    </w:p>
    <w:p>
      <w:pPr>
        <w:pStyle w:val="ListBullet"/>
        <w:ind w:left="510" w:hanging="255"/>
      </w:pPr>
      <w:r>
        <w:rPr/>
        <w:t xml:space="preserve">•   The catalogue covers every line the platform says, so a new danger sign cannot escape translation.</w:t>
      </w:r>
    </w:p>
    <w:p>
      <w:pPr>
        <w:pStyle w:val="ListBullet"/>
        <w:ind w:left="510" w:hanging="255"/>
      </w:pPr>
      <w:r>
        <w:rPr/>
        <w:t xml:space="preserve">•   A recorded human voice is never overwritten by a generated one.</w:t>
      </w:r>
    </w:p>
    <w:p>
      <w:pPr>
        <w:pStyle w:val="ListBullet"/>
        <w:ind w:left="510" w:hanging="255"/>
      </w:pPr>
      <w:r>
        <w:rPr/>
        <w:t xml:space="preserve">•   No malformed input returns a server error. A refusal is a conversation; a crash during a call is a dropped call and a stranded emergency.</w:t>
      </w:r>
    </w:p>
    <w:p>
      <w:pPr>
        <w:pStyle w:val="Normal"/>
      </w:pPr>
      <w:r>
        <w:rPr/>
        <w:t xml:space="preserve">Beyond the automated suite, the full workflow has been run across three simultaneous sessions — a CHPS worker, a facility and a nurse — checking that a confirmation actually reaches the facility, that acceptance reaches it with the vehicle, and that arrival reaches the worker. That exercise found a real defect no unit test would have: after an outcome was recorded a woman remained flagged permanently, which would have buried every subsequent emergency beneath a closed one.</w:t>
      </w:r>
    </w:p>
    <w:p>
      <w:pPr>
        <w:pStyle w:val="Heading1"/>
        <w:pBdr>
          <w:bottom w:val="single" w:sz="8" w:space="4" w:color="C9D6DE"/>
        </w:pBdr>
      </w:pPr>
      <w:r>
        <w:rPr/>
        <w:t xml:space="preserve">17.  Innovation and Differentiation</w:t>
      </w:r>
    </w:p>
    <w:p>
      <w:pPr>
        <w:pStyle w:val="ListBullet"/>
        <w:ind w:left="510" w:hanging="255"/>
      </w:pPr>
      <w:r>
        <w:rPr/>
        <w:t xml:space="preserve">•   </w:t>
      </w:r>
      <w:r>
        <w:rPr>
          <w:b/>
        </w:rPr>
        <w:t xml:space="preserve">Direction of contact.</w:t>
      </w:r>
      <w:r>
        <w:rPr/>
        <w:t xml:space="preserve"> Standard helplines require a mother to recognise danger and spend airtime. Mabia AI calls her on a schedule built around her pregnancy, so silence is never mistaken for safety.</w:t>
      </w:r>
    </w:p>
    <w:p>
      <w:pPr>
        <w:pStyle w:val="ListBullet"/>
        <w:ind w:left="510" w:hanging="255"/>
      </w:pPr>
      <w:r>
        <w:rPr/>
        <w:t xml:space="preserve">•   </w:t>
      </w:r>
      <w:r>
        <w:rPr>
          <w:b/>
        </w:rPr>
        <w:t xml:space="preserve">Access without airtime.</w:t>
      </w:r>
      <w:r>
        <w:rPr/>
        <w:t xml:space="preserve"> The hotline calls back, so reaching help never depends on having credit at the moment of crisis — the point at which a household is least likely to have any.</w:t>
      </w:r>
    </w:p>
    <w:p>
      <w:pPr>
        <w:pStyle w:val="ListBullet"/>
        <w:ind w:left="510" w:hanging="255"/>
      </w:pPr>
      <w:r>
        <w:rPr/>
        <w:t xml:space="preserve">•   </w:t>
      </w:r>
      <w:r>
        <w:rPr>
          <w:b/>
        </w:rPr>
        <w:t xml:space="preserve">Guidance that fits the season and the purse.</w:t>
      </w:r>
      <w:r>
        <w:rPr/>
        <w:t xml:space="preserve"> Nutrition advice is selected against the household's measured gaps, its region and the month, so it can be followed during the lean season rather than only after harvest.</w:t>
      </w:r>
    </w:p>
    <w:p>
      <w:pPr>
        <w:pStyle w:val="ListBullet"/>
        <w:ind w:left="510" w:hanging="255"/>
      </w:pPr>
      <w:r>
        <w:rPr/>
        <w:t xml:space="preserve">•   </w:t>
      </w:r>
      <w:r>
        <w:rPr>
          <w:b/>
        </w:rPr>
        <w:t xml:space="preserve">Language, not translation.</w:t>
      </w:r>
      <w:r>
        <w:rPr/>
        <w:t xml:space="preserve"> Messages are delivered natively in Dagbani, Kusaal, Frafra and Gonja, and require no data, smartphone or literacy.</w:t>
      </w:r>
    </w:p>
    <w:p>
      <w:pPr>
        <w:pStyle w:val="ListBullet"/>
        <w:ind w:left="510" w:hanging="255"/>
      </w:pPr>
      <w:r>
        <w:rPr/>
        <w:t xml:space="preserve">•   </w:t>
      </w:r>
      <w:r>
        <w:rPr>
          <w:b/>
        </w:rPr>
        <w:t xml:space="preserve">Explainability as a working tool.</w:t>
      </w:r>
      <w:r>
        <w:rPr/>
        <w:t xml:space="preserve"> Reasons travel with every classification, so the health worker validates a judgement rather than obeying a score.</w:t>
      </w:r>
    </w:p>
    <w:p>
      <w:pPr>
        <w:pStyle w:val="ListBullet"/>
        <w:ind w:left="510" w:hanging="255"/>
      </w:pPr>
      <w:r>
        <w:rPr/>
        <w:t xml:space="preserve">•   </w:t>
      </w:r>
      <w:r>
        <w:rPr>
          <w:b/>
        </w:rPr>
        <w:t xml:space="preserve">No silent failure.</w:t>
      </w:r>
      <w:r>
        <w:rPr/>
        <w:t xml:space="preserve"> Every pathway, including an unanswered emergency call, terminates with a human being alerted.</w:t>
      </w:r>
    </w:p>
    <w:p>
      <w:pPr>
        <w:pStyle w:val="ListBullet"/>
        <w:ind w:left="510" w:hanging="255"/>
      </w:pPr>
      <w:r>
        <w:rPr/>
        <w:t xml:space="preserve">•   </w:t>
      </w:r>
      <w:r>
        <w:rPr>
          <w:b/>
        </w:rPr>
        <w:t xml:space="preserve">Proof of care, not just advice.</w:t>
      </w:r>
      <w:r>
        <w:rPr/>
        <w:t xml:space="preserve"> The system records whether care was actually received, holding each case open until a health worker confirms the outcome.</w:t>
      </w:r>
    </w:p>
    <w:p>
      <w:pPr>
        <w:pStyle w:val="ListBullet"/>
        <w:ind w:left="510" w:hanging="255"/>
      </w:pPr>
      <w:r>
        <w:rPr/>
        <w:t xml:space="preserve">•   </w:t>
      </w:r>
      <w:r>
        <w:rPr>
          <w:b/>
        </w:rPr>
        <w:t xml:space="preserve">Complementary, not competitive.</w:t>
      </w:r>
      <w:r>
        <w:rPr/>
        <w:t xml:space="preserve"> Mabia AI does not replace national health information systems. It captures the out-of-facility community contacts that those systems structurally cannot see.</w:t>
      </w:r>
    </w:p>
    <w:p>
      <w:pPr>
        <w:pStyle w:val="Heading1"/>
        <w:pBdr>
          <w:bottom w:val="single" w:sz="8" w:space="4" w:color="C9D6DE"/>
        </w:pBdr>
      </w:pPr>
      <w:r>
        <w:rPr/>
        <w:t xml:space="preserve">18.  Team and Repository</w:t>
      </w:r>
    </w:p>
    <w:p>
      <w:pPr>
        <w:pStyle w:val="Normal"/>
      </w:pPr>
      <w:r>
        <w:rPr/>
        <w:t xml:space="preserve">Three members, combining engineering, design and food-and-nutrition expertise, with lived context in both the Upper East and Northern Regions.</w:t>
      </w:r>
    </w:p>
    <w:tbl>
      <w:tblPr>
        <w:tblW w:w="5000" w:type="pct"/>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CellMar>
          <w:top w:w="80" w:type="dxa"/>
          <w:bottom w:w="80" w:type="dxa"/>
          <w:left w:w="120" w:type="dxa"/>
          <w:right w:w="120" w:type="dxa"/>
        </w:tblCellMar>
      </w:tblPr>
      <w:tblGrid>
        <w:gridCol w:w="1995"/>
        <w:gridCol w:w="2176"/>
        <w:gridCol w:w="4897"/>
      </w:tblGrid>
      <w:tr>
        <w:trPr>
          <w:tblHeader/>
        </w:trPr>
        <w:tc>
          <w:tcPr>
            <w:tcW w:w="1100" w:type="pct"/>
            <w:shd w:val="clear" w:fill="F2F7F9"/>
            <w:vAlign w:val="center"/>
          </w:tcPr>
          <w:p>
            <w:pPr>
              <w:pStyle w:val="TableText"/>
            </w:pPr>
            <w:r>
              <w:rPr>
                <w:b/>
              </w:rPr>
              <w:t xml:space="preserve">Member</w:t>
            </w:r>
          </w:p>
        </w:tc>
        <w:tc>
          <w:tcPr>
            <w:tcW w:w="1200" w:type="pct"/>
            <w:shd w:val="clear" w:fill="F2F7F9"/>
            <w:vAlign w:val="center"/>
          </w:tcPr>
          <w:p>
            <w:pPr>
              <w:pStyle w:val="TableText"/>
            </w:pPr>
            <w:r>
              <w:rPr>
                <w:b/>
              </w:rPr>
              <w:t xml:space="preserve">Role</w:t>
            </w:r>
          </w:p>
        </w:tc>
        <w:tc>
          <w:tcPr>
            <w:tcW w:w="2700" w:type="pct"/>
            <w:shd w:val="clear" w:fill="F2F7F9"/>
            <w:vAlign w:val="center"/>
          </w:tcPr>
          <w:p>
            <w:pPr>
              <w:pStyle w:val="TableText"/>
            </w:pPr>
            <w:r>
              <w:rPr>
                <w:b/>
              </w:rPr>
              <w:t xml:space="preserve">Background</w:t>
            </w:r>
          </w:p>
        </w:tc>
      </w:tr>
      <w:tr>
        <w:tc>
          <w:tcPr>
            <w:tcW w:w="1100" w:type="pct"/>
            <w:vAlign w:val="center"/>
          </w:tcPr>
          <w:p>
            <w:pPr>
              <w:pStyle w:val="TableText"/>
            </w:pPr>
            <w:r>
              <w:rPr/>
              <w:t xml:space="preserve">Prince Nasamu Alhassan</w:t>
            </w:r>
          </w:p>
        </w:tc>
        <w:tc>
          <w:tcPr>
            <w:tcW w:w="1200" w:type="pct"/>
            <w:vAlign w:val="center"/>
          </w:tcPr>
          <w:p>
            <w:pPr>
              <w:pStyle w:val="TableText"/>
            </w:pPr>
            <w:r>
              <w:rPr/>
              <w:t xml:space="preserve">Engineering and AI lead; concept, research and pitch</w:t>
            </w:r>
          </w:p>
        </w:tc>
        <w:tc>
          <w:tcPr>
            <w:tcW w:w="2700" w:type="pct"/>
            <w:vAlign w:val="center"/>
          </w:tcPr>
          <w:p>
            <w:pPr>
              <w:pStyle w:val="TableText"/>
            </w:pPr>
            <w:r>
              <w:rPr/>
              <w:t xml:space="preserve">From Bawku, Upper East; currently in Accra. University of Ghana, Legon — Mathematical Science with Computer Science, data-science focused, with an emphasis on NLP and AI. Leads the backend, the speech models and the risk and nutrition engines.</w:t>
            </w:r>
          </w:p>
        </w:tc>
      </w:tr>
      <w:tr>
        <w:tc>
          <w:tcPr>
            <w:tcW w:w="1100" w:type="pct"/>
            <w:vAlign w:val="center"/>
          </w:tcPr>
          <w:p>
            <w:pPr>
              <w:pStyle w:val="TableText"/>
            </w:pPr>
            <w:r>
              <w:rPr/>
              <w:t xml:space="preserve">Joshua Akum Winyelsum</w:t>
            </w:r>
          </w:p>
        </w:tc>
        <w:tc>
          <w:tcPr>
            <w:tcW w:w="1200" w:type="pct"/>
            <w:vAlign w:val="center"/>
          </w:tcPr>
          <w:p>
            <w:pPr>
              <w:pStyle w:val="TableText"/>
            </w:pPr>
            <w:r>
              <w:rPr/>
              <w:t xml:space="preserve">Full-stack and design; concept, research and pitch</w:t>
            </w:r>
          </w:p>
        </w:tc>
        <w:tc>
          <w:tcPr>
            <w:tcW w:w="2700" w:type="pct"/>
            <w:vAlign w:val="center"/>
          </w:tcPr>
          <w:p>
            <w:pPr>
              <w:pStyle w:val="TableText"/>
            </w:pPr>
            <w:r>
              <w:rPr/>
              <w:t xml:space="preserve">From Bawku; based in Tamale, Northern Region. University for Development Studies — Computer Science. Holds TTFPP experience. Leads the CHPS Progressive Web App and interface design.</w:t>
            </w:r>
          </w:p>
        </w:tc>
      </w:tr>
      <w:tr>
        <w:tc>
          <w:tcPr>
            <w:tcW w:w="1100" w:type="pct"/>
            <w:vAlign w:val="center"/>
          </w:tcPr>
          <w:p>
            <w:pPr>
              <w:pStyle w:val="TableText"/>
            </w:pPr>
            <w:r>
              <w:rPr/>
              <w:t xml:space="preserve">Dawuda Mardia</w:t>
            </w:r>
          </w:p>
        </w:tc>
        <w:tc>
          <w:tcPr>
            <w:tcW w:w="1200" w:type="pct"/>
            <w:vAlign w:val="center"/>
          </w:tcPr>
          <w:p>
            <w:pPr>
              <w:pStyle w:val="TableText"/>
            </w:pPr>
            <w:r>
              <w:rPr/>
              <w:t xml:space="preserve">Nutrition and community research; concept and pitch</w:t>
            </w:r>
          </w:p>
        </w:tc>
        <w:tc>
          <w:tcPr>
            <w:tcW w:w="2700" w:type="pct"/>
            <w:vAlign w:val="center"/>
          </w:tcPr>
          <w:p>
            <w:pPr>
              <w:pStyle w:val="TableText"/>
            </w:pPr>
            <w:r>
              <w:rPr/>
              <w:t xml:space="preserve">Tamale, Northern Region. University for Development Studies — Food and Nutrition. Owns the local-food nutrition model: seasonal availability, affordability, food-group guidance and cultural food taboos. Brings research and presentation skills.</w:t>
            </w:r>
          </w:p>
        </w:tc>
      </w:tr>
    </w:tbl>
    <w:p>
      <w:pPr>
        <w:pStyle w:val="Normal"/>
      </w:pPr>
    </w:p>
    <w:p>
      <w:pPr>
        <w:pStyle w:val="Heading2"/>
      </w:pPr>
      <w:r>
        <w:rPr/>
        <w:t xml:space="preserve">Eligibility</w:t>
      </w:r>
    </w:p>
    <w:tbl>
      <w:tblPr>
        <w:tblW w:w="5000" w:type="pct"/>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CellMar>
          <w:top w:w="80" w:type="dxa"/>
          <w:bottom w:w="80" w:type="dxa"/>
          <w:left w:w="120" w:type="dxa"/>
          <w:right w:w="120" w:type="dxa"/>
        </w:tblCellMar>
      </w:tblPr>
      <w:tblGrid>
        <w:gridCol w:w="3628"/>
        <w:gridCol w:w="5442"/>
      </w:tblGrid>
      <w:tr>
        <w:trPr>
          <w:tblHeader/>
        </w:trPr>
        <w:tc>
          <w:tcPr>
            <w:tcW w:w="2000" w:type="pct"/>
            <w:shd w:val="clear" w:fill="F2F7F9"/>
            <w:vAlign w:val="center"/>
          </w:tcPr>
          <w:p>
            <w:pPr>
              <w:pStyle w:val="TableText"/>
            </w:pPr>
            <w:r>
              <w:rPr>
                <w:b/>
              </w:rPr>
              <w:t xml:space="preserve">Requirement</w:t>
            </w:r>
          </w:p>
        </w:tc>
        <w:tc>
          <w:tcPr>
            <w:tcW w:w="3000" w:type="pct"/>
            <w:shd w:val="clear" w:fill="F2F7F9"/>
            <w:vAlign w:val="center"/>
          </w:tcPr>
          <w:p>
            <w:pPr>
              <w:pStyle w:val="TableText"/>
            </w:pPr>
            <w:r>
              <w:rPr>
                <w:b/>
              </w:rPr>
              <w:t xml:space="preserve">Met by</w:t>
            </w:r>
          </w:p>
        </w:tc>
      </w:tr>
      <w:tr>
        <w:tc>
          <w:tcPr>
            <w:tcW w:w="2000" w:type="pct"/>
            <w:vAlign w:val="center"/>
          </w:tcPr>
          <w:p>
            <w:pPr>
              <w:pStyle w:val="TableText"/>
            </w:pPr>
            <w:r>
              <w:rPr/>
              <w:t xml:space="preserve">Team size of two to three members</w:t>
            </w:r>
          </w:p>
        </w:tc>
        <w:tc>
          <w:tcPr>
            <w:tcW w:w="3000" w:type="pct"/>
            <w:vAlign w:val="center"/>
          </w:tcPr>
          <w:p>
            <w:pPr>
              <w:pStyle w:val="TableText"/>
            </w:pPr>
            <w:r>
              <w:rPr/>
              <w:t xml:space="preserve">Three members</w:t>
            </w:r>
          </w:p>
        </w:tc>
      </w:tr>
      <w:tr>
        <w:tc>
          <w:tcPr>
            <w:tcW w:w="2000" w:type="pct"/>
            <w:vAlign w:val="center"/>
          </w:tcPr>
          <w:p>
            <w:pPr>
              <w:pStyle w:val="TableText"/>
            </w:pPr>
            <w:r>
              <w:rPr/>
              <w:t xml:space="preserve">At least one female member</w:t>
            </w:r>
          </w:p>
        </w:tc>
        <w:tc>
          <w:tcPr>
            <w:tcW w:w="3000" w:type="pct"/>
            <w:vAlign w:val="center"/>
          </w:tcPr>
          <w:p>
            <w:pPr>
              <w:pStyle w:val="TableText"/>
            </w:pPr>
            <w:r>
              <w:rPr/>
              <w:t xml:space="preserve">Dawuda Mardia</w:t>
            </w:r>
          </w:p>
        </w:tc>
      </w:tr>
      <w:tr>
        <w:tc>
          <w:tcPr>
            <w:tcW w:w="2000" w:type="pct"/>
            <w:vAlign w:val="center"/>
          </w:tcPr>
          <w:p>
            <w:pPr>
              <w:pStyle w:val="TableText"/>
            </w:pPr>
            <w:r>
              <w:rPr/>
              <w:t xml:space="preserve">At least one member based in the Northern Region</w:t>
            </w:r>
          </w:p>
        </w:tc>
        <w:tc>
          <w:tcPr>
            <w:tcW w:w="3000" w:type="pct"/>
            <w:vAlign w:val="center"/>
          </w:tcPr>
          <w:p>
            <w:pPr>
              <w:pStyle w:val="TableText"/>
            </w:pPr>
            <w:r>
              <w:rPr/>
              <w:t xml:space="preserve">Joshua Akum Winyelsum and Dawuda Mardia, both in Tamale</w:t>
            </w:r>
          </w:p>
        </w:tc>
      </w:tr>
      <w:tr>
        <w:tc>
          <w:tcPr>
            <w:tcW w:w="2000" w:type="pct"/>
            <w:vAlign w:val="center"/>
          </w:tcPr>
          <w:p>
            <w:pPr>
              <w:pStyle w:val="TableText"/>
            </w:pPr>
            <w:r>
              <w:rPr/>
              <w:t xml:space="preserve">At least one member with TTFPP experience</w:t>
            </w:r>
          </w:p>
        </w:tc>
        <w:tc>
          <w:tcPr>
            <w:tcW w:w="3000" w:type="pct"/>
            <w:vAlign w:val="center"/>
          </w:tcPr>
          <w:p>
            <w:pPr>
              <w:pStyle w:val="TableText"/>
            </w:pPr>
            <w:r>
              <w:rPr/>
              <w:t xml:space="preserve">Joshua Akum Winyelsum</w:t>
            </w:r>
          </w:p>
        </w:tc>
      </w:tr>
      <w:tr>
        <w:tc>
          <w:tcPr>
            <w:tcW w:w="2000" w:type="pct"/>
            <w:vAlign w:val="center"/>
          </w:tcPr>
          <w:p>
            <w:pPr>
              <w:pStyle w:val="TableText"/>
            </w:pPr>
            <w:r>
              <w:rPr/>
              <w:t xml:space="preserve">Technology, design and health or nutrition insight</w:t>
            </w:r>
          </w:p>
        </w:tc>
        <w:tc>
          <w:tcPr>
            <w:tcW w:w="3000" w:type="pct"/>
            <w:vAlign w:val="center"/>
          </w:tcPr>
          <w:p>
            <w:pPr>
              <w:pStyle w:val="TableText"/>
            </w:pPr>
            <w:r>
              <w:rPr/>
              <w:t xml:space="preserve">Computer science and AI, full-stack and design, and food and nutrition — with the nutrition component owned by a Food and Nutrition student based in the region the solution serves</w:t>
            </w:r>
          </w:p>
        </w:tc>
      </w:tr>
    </w:tbl>
    <w:p>
      <w:pPr>
        <w:pStyle w:val="Normal"/>
      </w:pPr>
    </w:p>
    <w:p>
      <w:pPr>
        <w:pStyle w:val="Heading2"/>
      </w:pPr>
      <w:r>
        <w:rPr/>
        <w:t xml:space="preserve">Repository</w:t>
      </w:r>
    </w:p>
    <w:p>
      <w:pPr>
        <w:pStyle w:val="Normal"/>
      </w:pPr>
      <w:r>
        <w:rPr/>
        <w:t xml:space="preserve">https://github.com/NasamuAlhassan/Mabia-AI</w:t>
      </w:r>
    </w:p>
    <w:p>
      <w:pPr>
        <w:pStyle w:val="Normal"/>
      </w:pPr>
      <w:r>
        <w:rPr/>
        <w:t xml:space="preserve">Source code and a short description of the build are maintained in the repository above.</w:t>
      </w:r>
    </w:p>
    <w:sectPr>
      <w:footerReference w:type="default" r:id="rId2"/>
      <w:pgSz w:w="11906" w:h="16838"/>
      <w:pgMar w:top="1418" w:right="1304" w:bottom="1418" w:left="1304" w:header="709" w:footer="567"/>
    </w:sectPr>
  </w:body>
</w:document>
</file>

<file path=word/footer1.xml><?xml version="1.0" encoding="utf-8"?>
<w:ftr xmlns:w="http://schemas.openxmlformats.org/wordprocessingml/2006/main">
  <w:p>
    <w:pPr>
      <w:jc w:val="center"/>
    </w:pPr>
    <w:r>
      <w:rPr>
        <w:color w:val="5A6570"/>
        <w:sz w:val="17"/>
      </w:rPr>
      <w:t xml:space="preserve">Mabia AI  ·  </w:t>
    </w:r>
    <w:r>
      <w:fldChar w:fldCharType="begin"/>
    </w:r>
    <w:r>
      <w:instrText xml:space="preserve"> PAGE </w:instrText>
    </w:r>
    <w:r>
      <w:fldChar w:fldCharType="separate"/>
    </w:r>
    <w:r>
      <w:rPr>
        <w:color w:val="5A6570"/>
        <w:sz w:val="17"/>
      </w:rPr>
      <w:t>1</w:t>
    </w:r>
    <w:r>
      <w:fldChar w:fldCharType="end"/>
    </w:r>
  </w:p>
</w:ftr>
</file>

<file path=word/styles.xml><?xml version="1.0" encoding="utf-8"?>
<w:styles xmlns:w="http://schemas.openxmlformats.org/wordprocessingml/2006/main">
  <w:docDefaults>
    <w:rPrDefault>
      <w:rPr>
        <w:rFonts w:ascii="Calibri" w:hAnsi="Calibri"/>
        <w:sz w:val="22"/>
      </w:rPr>
    </w:rPrDefault>
  </w:docDefaults>
  <w:style w:type="paragraph" w:styleId="Normal">
    <w:name w:val="Normal"/>
    <w:pPr>
      <w:spacing w:before="0" w:after="150" w:line="276" w:lineRule="auto"/>
    </w:pPr>
    <w:rPr>
      <w:rFonts w:ascii="Calibri" w:hAnsi="Calibri"/>
      <w:color w:val="1A1A1A"/>
      <w:sz w:val="22"/>
    </w:rPr>
  </w:style>
  <w:style w:type="paragraph" w:styleId="Title">
    <w:name w:val="Title"/>
    <w:pPr>
      <w:spacing w:before="0" w:after="60"/>
    </w:pPr>
    <w:rPr>
      <w:rFonts w:ascii="Calibri" w:hAnsi="Calibri"/>
      <w:b/>
      <w:color w:val="0B3B60"/>
      <w:sz w:val="68"/>
    </w:rPr>
  </w:style>
  <w:style w:type="paragraph" w:styleId="Subtitle">
    <w:name w:val="Subtitle"/>
    <w:pPr>
      <w:spacing w:before="0" w:after="160" w:line="264" w:lineRule="auto"/>
    </w:pPr>
    <w:rPr>
      <w:rFonts w:ascii="Calibri" w:hAnsi="Calibri"/>
      <w:color w:val="1F6F8B"/>
      <w:sz w:val="26"/>
    </w:rPr>
  </w:style>
  <w:style w:type="paragraph" w:styleId="Meta">
    <w:name w:val="Meta"/>
    <w:pPr>
      <w:spacing w:before="0" w:after="40"/>
    </w:pPr>
    <w:rPr>
      <w:rFonts w:ascii="Calibri" w:hAnsi="Calibri"/>
      <w:color w:val="5A6570"/>
      <w:sz w:val="19"/>
    </w:rPr>
  </w:style>
  <w:style w:type="paragraph" w:styleId="Pullquote">
    <w:name w:val="Pullquote"/>
    <w:pPr>
      <w:spacing w:before="0" w:after="140" w:line="288" w:lineRule="auto"/>
      <w:ind w:left="340"/>
    </w:pPr>
    <w:rPr>
      <w:rFonts w:ascii="Calibri" w:hAnsi="Calibri"/>
      <w:i/>
      <w:color w:val="0B3B60"/>
      <w:sz w:val="23"/>
    </w:rPr>
  </w:style>
  <w:style w:type="paragraph" w:styleId="Contents">
    <w:name w:val="Contents"/>
    <w:pPr>
      <w:spacing w:before="0" w:after="60"/>
      <w:ind w:left="200"/>
    </w:pPr>
    <w:rPr>
      <w:rFonts w:ascii="Calibri" w:hAnsi="Calibri"/>
      <w:color w:val="1A1A1A"/>
      <w:sz w:val="22"/>
    </w:rPr>
  </w:style>
  <w:style w:type="paragraph" w:styleId="Heading1">
    <w:name w:val="heading 1"/>
    <w:pPr>
      <w:spacing w:before="380" w:after="180"/>
      <w:outlineLvl w:val="0"/>
    </w:pPr>
    <w:rPr>
      <w:rFonts w:ascii="Calibri" w:hAnsi="Calibri"/>
      <w:b/>
      <w:color w:val="0B3B60"/>
      <w:sz w:val="32"/>
    </w:rPr>
  </w:style>
  <w:style w:type="paragraph" w:styleId="Heading2">
    <w:name w:val="heading 2"/>
    <w:pPr>
      <w:spacing w:before="240" w:after="90"/>
      <w:outlineLvl w:val="1"/>
    </w:pPr>
    <w:rPr>
      <w:rFonts w:ascii="Calibri" w:hAnsi="Calibri"/>
      <w:b/>
      <w:color w:val="1F6F8B"/>
      <w:sz w:val="24"/>
    </w:rPr>
  </w:style>
  <w:style w:type="paragraph" w:styleId="ListBullet">
    <w:name w:val="List Bullet"/>
    <w:pPr>
      <w:spacing w:before="0" w:after="110" w:line="276" w:lineRule="auto"/>
    </w:pPr>
    <w:rPr>
      <w:rFonts w:ascii="Calibri" w:hAnsi="Calibri"/>
      <w:color w:val="1A1A1A"/>
      <w:sz w:val="22"/>
    </w:rPr>
  </w:style>
  <w:style w:type="paragraph" w:styleId="TableText">
    <w:name w:val="Table Text"/>
    <w:pPr>
      <w:spacing w:before="20" w:after="20" w:line="252" w:lineRule="auto"/>
    </w:pPr>
    <w:rPr>
      <w:rFonts w:ascii="Calibri" w:hAnsi="Calibri"/>
      <w:color w:val="1A1A1A"/>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Mabia AI - System Architecture</dc:title>
  <dc:creator>Prince Nasamu Alhassan, Joshua Akum Winyelsum, Dawuda Mardia</dc:creator>
  <dc:subject>UNICEF StartUp Lab, AI for Nurturing Care Hackathon 2026</dc:subject>
</cp:coreProperties>
</file>