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9F2FE3" w14:textId="1F79510C" w:rsidR="00D4605F" w:rsidRDefault="000454AB" w:rsidP="00D4605F">
      <w:pPr>
        <w:spacing w:line="36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TIME SERIES MODELLING AND FORECASTING OF CRUDE OIL PRICES USING ARMA AND LSTM APPROACHES</w:t>
      </w:r>
    </w:p>
    <w:p w14:paraId="5182E3EC" w14:textId="77777777" w:rsidR="00D4605F" w:rsidRDefault="00D4605F" w:rsidP="00D4605F">
      <w:pPr>
        <w:spacing w:line="360" w:lineRule="auto"/>
        <w:jc w:val="center"/>
        <w:rPr>
          <w:rFonts w:ascii="Times New Roman" w:eastAsia="Times New Roman" w:hAnsi="Times New Roman" w:cs="Times New Roman"/>
          <w:b/>
          <w:bCs/>
          <w:sz w:val="32"/>
          <w:szCs w:val="32"/>
        </w:rPr>
      </w:pPr>
    </w:p>
    <w:p w14:paraId="1E60D5F0" w14:textId="34BB44E5" w:rsidR="00D4605F" w:rsidRPr="00D4605F" w:rsidRDefault="00D4605F" w:rsidP="000454AB">
      <w:pPr>
        <w:spacing w:line="360" w:lineRule="auto"/>
        <w:jc w:val="center"/>
        <w:rPr>
          <w:rFonts w:ascii="Times New Roman" w:eastAsia="Times New Roman" w:hAnsi="Times New Roman" w:cs="Times New Roman"/>
          <w:color w:val="000000" w:themeColor="text1"/>
          <w:sz w:val="24"/>
          <w:szCs w:val="24"/>
        </w:rPr>
      </w:pPr>
      <w:r w:rsidRPr="00D4605F">
        <w:rPr>
          <w:rFonts w:ascii="Times New Roman" w:eastAsia="Times New Roman" w:hAnsi="Times New Roman" w:cs="Times New Roman"/>
          <w:color w:val="000000" w:themeColor="text1"/>
          <w:sz w:val="24"/>
          <w:szCs w:val="24"/>
        </w:rPr>
        <w:t>Name: NASAR REDDY NARU</w:t>
      </w:r>
    </w:p>
    <w:p w14:paraId="6011249A" w14:textId="4ABE4D18" w:rsidR="00D4605F" w:rsidRPr="00D4605F" w:rsidRDefault="00D4605F" w:rsidP="000454AB">
      <w:pPr>
        <w:spacing w:line="360" w:lineRule="auto"/>
        <w:jc w:val="center"/>
        <w:rPr>
          <w:rFonts w:ascii="Times New Roman" w:eastAsia="Times New Roman" w:hAnsi="Times New Roman" w:cs="Times New Roman"/>
          <w:color w:val="000000" w:themeColor="text1"/>
          <w:sz w:val="24"/>
          <w:szCs w:val="24"/>
        </w:rPr>
      </w:pPr>
      <w:r w:rsidRPr="00D4605F">
        <w:rPr>
          <w:rFonts w:ascii="Times New Roman" w:eastAsia="Times New Roman" w:hAnsi="Times New Roman" w:cs="Times New Roman"/>
          <w:color w:val="000000" w:themeColor="text1"/>
          <w:sz w:val="24"/>
          <w:szCs w:val="24"/>
        </w:rPr>
        <w:t>Student Id: 23100228</w:t>
      </w:r>
    </w:p>
    <w:p w14:paraId="5F7FE26A" w14:textId="256EC49B" w:rsidR="00E3080E" w:rsidRPr="00D4605F" w:rsidRDefault="00D4605F" w:rsidP="00D4605F">
      <w:pPr>
        <w:spacing w:line="360" w:lineRule="auto"/>
        <w:jc w:val="center"/>
        <w:rPr>
          <w:rFonts w:ascii="Times New Roman" w:eastAsia="Times New Roman" w:hAnsi="Times New Roman" w:cs="Times New Roman"/>
          <w:color w:val="000000" w:themeColor="text1"/>
          <w:sz w:val="24"/>
          <w:szCs w:val="24"/>
        </w:rPr>
      </w:pPr>
      <w:r w:rsidRPr="00D4605F">
        <w:rPr>
          <w:rFonts w:ascii="Times New Roman" w:eastAsia="Times New Roman" w:hAnsi="Times New Roman" w:cs="Times New Roman"/>
          <w:color w:val="000000" w:themeColor="text1"/>
          <w:sz w:val="24"/>
          <w:szCs w:val="24"/>
        </w:rPr>
        <w:t xml:space="preserve">GitHub: </w:t>
      </w:r>
      <w:hyperlink r:id="rId7" w:history="1">
        <w:r w:rsidRPr="00D4605F">
          <w:rPr>
            <w:rStyle w:val="Hyperlink"/>
            <w:rFonts w:ascii="Times New Roman" w:eastAsia="Times New Roman" w:hAnsi="Times New Roman" w:cs="Times New Roman"/>
            <w:color w:val="000000" w:themeColor="text1"/>
            <w:sz w:val="24"/>
            <w:szCs w:val="24"/>
          </w:rPr>
          <w:t>Nasarreddy903@gmail.com</w:t>
        </w:r>
      </w:hyperlink>
    </w:p>
    <w:p w14:paraId="3428C126" w14:textId="77777777" w:rsidR="00D4605F" w:rsidRPr="00D4605F" w:rsidRDefault="00D4605F" w:rsidP="00D4605F">
      <w:pPr>
        <w:spacing w:line="360" w:lineRule="auto"/>
        <w:jc w:val="center"/>
        <w:rPr>
          <w:rFonts w:ascii="Times New Roman" w:eastAsia="Times New Roman" w:hAnsi="Times New Roman" w:cs="Times New Roman"/>
          <w:sz w:val="24"/>
          <w:szCs w:val="24"/>
        </w:rPr>
      </w:pPr>
    </w:p>
    <w:p w14:paraId="481DF49E" w14:textId="77777777" w:rsidR="00E3080E" w:rsidRDefault="00000000">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ABSTRACT</w:t>
      </w:r>
    </w:p>
    <w:p w14:paraId="403E31C2" w14:textId="30C80F66" w:rsidR="00E3080E"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paper </w:t>
      </w:r>
      <w:proofErr w:type="spellStart"/>
      <w:r>
        <w:rPr>
          <w:rFonts w:ascii="Times New Roman" w:eastAsia="Times New Roman" w:hAnsi="Times New Roman" w:cs="Times New Roman"/>
          <w:sz w:val="24"/>
          <w:szCs w:val="24"/>
        </w:rPr>
        <w:t>analyzes</w:t>
      </w:r>
      <w:proofErr w:type="spellEnd"/>
      <w:r>
        <w:rPr>
          <w:rFonts w:ascii="Times New Roman" w:eastAsia="Times New Roman" w:hAnsi="Times New Roman" w:cs="Times New Roman"/>
          <w:sz w:val="24"/>
          <w:szCs w:val="24"/>
        </w:rPr>
        <w:t xml:space="preserve"> crude oil price fluctuations based on time-series forecasting models. The data on oil prices in 20242026 were predicted using Autoregressive Moving Average (ARMA) and Long Short-Term Memory (LSTM) neural networks. ARMA </w:t>
      </w:r>
      <w:r w:rsidR="00D4605F">
        <w:rPr>
          <w:rFonts w:ascii="Times New Roman" w:eastAsia="Times New Roman" w:hAnsi="Times New Roman" w:cs="Times New Roman"/>
          <w:sz w:val="24"/>
          <w:szCs w:val="24"/>
        </w:rPr>
        <w:t>and LSTM modelling were performed using</w:t>
      </w:r>
      <w:r>
        <w:rPr>
          <w:rFonts w:ascii="Times New Roman" w:eastAsia="Times New Roman" w:hAnsi="Times New Roman" w:cs="Times New Roman"/>
          <w:sz w:val="24"/>
          <w:szCs w:val="24"/>
        </w:rPr>
        <w:t xml:space="preserve"> stationarity tests, parameter optimisation, and residual diagnostics, and scaled sequential data, respectively. Findings </w:t>
      </w:r>
      <w:r w:rsidR="00D4605F">
        <w:rPr>
          <w:rFonts w:ascii="Times New Roman" w:eastAsia="Times New Roman" w:hAnsi="Times New Roman" w:cs="Times New Roman"/>
          <w:sz w:val="24"/>
          <w:szCs w:val="24"/>
        </w:rPr>
        <w:t>indicate that LSTM models are more effective at describing nonlinear behaviour and short-term price fluctuations</w:t>
      </w:r>
      <w:r>
        <w:rPr>
          <w:rFonts w:ascii="Times New Roman" w:eastAsia="Times New Roman" w:hAnsi="Times New Roman" w:cs="Times New Roman"/>
          <w:sz w:val="24"/>
          <w:szCs w:val="24"/>
        </w:rPr>
        <w:t>.</w:t>
      </w:r>
    </w:p>
    <w:p w14:paraId="2D07A995" w14:textId="77777777" w:rsidR="00E3080E" w:rsidRDefault="00E3080E" w:rsidP="000454AB">
      <w:bookmarkStart w:id="0" w:name="_3midpnqvrt7p" w:colFirst="0" w:colLast="0"/>
      <w:bookmarkEnd w:id="0"/>
    </w:p>
    <w:p w14:paraId="1A018542" w14:textId="2338846B" w:rsidR="00E3080E" w:rsidRDefault="0043194A">
      <w:pPr>
        <w:pStyle w:val="Heading1"/>
        <w:rPr>
          <w:color w:val="000000"/>
        </w:rPr>
      </w:pPr>
      <w:bookmarkStart w:id="1" w:name="_ghxiiahtpej8" w:colFirst="0" w:colLast="0"/>
      <w:bookmarkEnd w:id="1"/>
      <w:r>
        <w:t>1. INTRODUCTION</w:t>
      </w:r>
    </w:p>
    <w:p w14:paraId="4761FD6F" w14:textId="77777777" w:rsidR="00E3080E" w:rsidRDefault="00E3080E">
      <w:pPr>
        <w:spacing w:line="240" w:lineRule="auto"/>
      </w:pPr>
    </w:p>
    <w:p w14:paraId="1544579B" w14:textId="77777777" w:rsidR="00E3080E" w:rsidRDefault="00000000">
      <w:pPr>
        <w:spacing w:line="360" w:lineRule="auto"/>
        <w:jc w:val="both"/>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Background of Oil Price Forecasting:</w:t>
      </w:r>
    </w:p>
    <w:p w14:paraId="79E18556" w14:textId="77777777" w:rsidR="00E3080E"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Oil-price prediction has become a hot academic topic since crude oil is the key to ensuring economic stability all over the world and to the growth of industry. Cyclic changes of oil prices affect the transportation cost, production cost, and financial markets of the global sphere. This has led to many forecasting models, econometric and machine-learning methods, being developed by researchers to enhance the predictive accuracy (Wang, 2024; Fu, 2023).</w:t>
      </w:r>
    </w:p>
    <w:p w14:paraId="61066CAA" w14:textId="77777777" w:rsidR="000454AB" w:rsidRDefault="000454AB" w:rsidP="000454AB">
      <w:pPr>
        <w:spacing w:line="240" w:lineRule="auto"/>
        <w:jc w:val="both"/>
        <w:rPr>
          <w:rFonts w:ascii="Times New Roman" w:eastAsia="Times New Roman" w:hAnsi="Times New Roman" w:cs="Times New Roman"/>
          <w:sz w:val="24"/>
          <w:szCs w:val="24"/>
        </w:rPr>
      </w:pPr>
    </w:p>
    <w:p w14:paraId="5BC51EA4" w14:textId="77777777" w:rsidR="00E3080E" w:rsidRDefault="00000000">
      <w:pPr>
        <w:spacing w:line="360" w:lineRule="auto"/>
        <w:jc w:val="both"/>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Importance of Time Series Modelling in Energy Markets:</w:t>
      </w:r>
    </w:p>
    <w:p w14:paraId="343550B9" w14:textId="77777777" w:rsidR="00E3080E"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time-series modelling is critical in </w:t>
      </w:r>
      <w:proofErr w:type="spellStart"/>
      <w:r>
        <w:rPr>
          <w:rFonts w:ascii="Times New Roman" w:eastAsia="Times New Roman" w:hAnsi="Times New Roman" w:cs="Times New Roman"/>
          <w:sz w:val="24"/>
          <w:szCs w:val="24"/>
        </w:rPr>
        <w:t>analyzing</w:t>
      </w:r>
      <w:proofErr w:type="spellEnd"/>
      <w:r>
        <w:rPr>
          <w:rFonts w:ascii="Times New Roman" w:eastAsia="Times New Roman" w:hAnsi="Times New Roman" w:cs="Times New Roman"/>
          <w:sz w:val="24"/>
          <w:szCs w:val="24"/>
        </w:rPr>
        <w:t xml:space="preserve"> the past energy-price data and to determine the trends, volatility, and patterns of analysis over time. Proper forecasting would help the governments, investors, and energy companies to control risks, arrange investments, and make sound economic and policy-based decisions in the unstable energy markets (Rao et al., 2025).</w:t>
      </w:r>
    </w:p>
    <w:p w14:paraId="28BB4BA9" w14:textId="77777777" w:rsidR="000454AB" w:rsidRDefault="000454AB" w:rsidP="000454AB">
      <w:pPr>
        <w:spacing w:line="240" w:lineRule="auto"/>
        <w:jc w:val="both"/>
        <w:rPr>
          <w:rFonts w:ascii="Times New Roman" w:eastAsia="Times New Roman" w:hAnsi="Times New Roman" w:cs="Times New Roman"/>
          <w:sz w:val="24"/>
          <w:szCs w:val="24"/>
        </w:rPr>
      </w:pPr>
    </w:p>
    <w:p w14:paraId="7C668632" w14:textId="77777777" w:rsidR="00E3080E" w:rsidRDefault="00000000">
      <w:pPr>
        <w:spacing w:line="360" w:lineRule="auto"/>
        <w:jc w:val="both"/>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Aim and Scope of the Study:</w:t>
      </w:r>
    </w:p>
    <w:p w14:paraId="043726D3" w14:textId="77777777" w:rsidR="00E3080E"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The proposed research will examine the time-variations of crude oil prices employing time-series analysis and test the forecasting accuracy of ARIMA and LSTM models. The study aims at improving the prediction efficiency by using the previous oil-price information.</w:t>
      </w:r>
    </w:p>
    <w:p w14:paraId="373E0781" w14:textId="7317F7FB" w:rsidR="000454AB" w:rsidRDefault="000454AB">
      <w:pPr>
        <w:rPr>
          <w:rFonts w:ascii="Times New Roman" w:eastAsia="Times New Roman" w:hAnsi="Times New Roman" w:cs="Times New Roman"/>
          <w:b/>
          <w:bCs/>
          <w:color w:val="000000"/>
          <w:sz w:val="26"/>
          <w:szCs w:val="26"/>
        </w:rPr>
      </w:pPr>
      <w:bookmarkStart w:id="2" w:name="_cuphd0fsfn05" w:colFirst="0" w:colLast="0"/>
      <w:bookmarkStart w:id="3" w:name="_gl1em4noiv5f" w:colFirst="0" w:colLast="0"/>
      <w:bookmarkEnd w:id="2"/>
      <w:bookmarkEnd w:id="3"/>
    </w:p>
    <w:p w14:paraId="799BC452" w14:textId="1AC698A3" w:rsidR="00E3080E" w:rsidRDefault="0043194A">
      <w:pPr>
        <w:pStyle w:val="Heading1"/>
        <w:rPr>
          <w:color w:val="000000"/>
        </w:rPr>
      </w:pPr>
      <w:r>
        <w:rPr>
          <w:color w:val="000000"/>
        </w:rPr>
        <w:t>2. DATA DESCRIPTION AND EXPLORATORY ANALYSIS</w:t>
      </w:r>
    </w:p>
    <w:p w14:paraId="67C76869" w14:textId="77777777" w:rsidR="00E3080E" w:rsidRDefault="00E3080E">
      <w:pPr>
        <w:spacing w:line="240" w:lineRule="auto"/>
        <w:jc w:val="both"/>
        <w:rPr>
          <w:rFonts w:ascii="Times New Roman" w:eastAsia="Times New Roman" w:hAnsi="Times New Roman" w:cs="Times New Roman"/>
          <w:sz w:val="24"/>
          <w:szCs w:val="24"/>
        </w:rPr>
      </w:pPr>
    </w:p>
    <w:p w14:paraId="67FD7044" w14:textId="77777777" w:rsidR="00E3080E" w:rsidRDefault="00000000">
      <w:pPr>
        <w:spacing w:line="360" w:lineRule="auto"/>
        <w:jc w:val="both"/>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Dataset Overview:</w:t>
      </w:r>
    </w:p>
    <w:p w14:paraId="00C8BEAB" w14:textId="77777777" w:rsidR="00E3080E"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data set includes historical prices of crude oil data that has been discovered between September 2024 and February 2026 and consists of 500 daily data. The main variable to be analysed is the oil price in the US dollars. </w:t>
      </w:r>
    </w:p>
    <w:p w14:paraId="3047510E" w14:textId="77777777" w:rsidR="00E3080E" w:rsidRDefault="00E3080E">
      <w:pPr>
        <w:spacing w:line="240" w:lineRule="auto"/>
        <w:jc w:val="both"/>
        <w:rPr>
          <w:rFonts w:ascii="Times New Roman" w:eastAsia="Times New Roman" w:hAnsi="Times New Roman" w:cs="Times New Roman"/>
          <w:sz w:val="24"/>
          <w:szCs w:val="24"/>
        </w:rPr>
      </w:pPr>
    </w:p>
    <w:p w14:paraId="3AFD6300" w14:textId="77777777" w:rsidR="00E3080E" w:rsidRDefault="00000000">
      <w:pPr>
        <w:spacing w:line="36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Table 1: Descriptive Statistics (Source: Python)</w:t>
      </w:r>
    </w:p>
    <w:tbl>
      <w:tblPr>
        <w:tblStyle w:val="a"/>
        <w:tblW w:w="6165" w:type="dxa"/>
        <w:tblInd w:w="1425" w:type="dxa"/>
        <w:tblBorders>
          <w:top w:val="single" w:sz="7" w:space="0" w:color="000000"/>
          <w:left w:val="single" w:sz="7" w:space="0" w:color="000000"/>
          <w:bottom w:val="single" w:sz="7" w:space="0" w:color="000000"/>
          <w:right w:val="single" w:sz="7" w:space="0" w:color="000000"/>
          <w:insideH w:val="single" w:sz="7" w:space="0" w:color="000000"/>
          <w:insideV w:val="single" w:sz="7" w:space="0" w:color="000000"/>
        </w:tblBorders>
        <w:tblLayout w:type="fixed"/>
        <w:tblLook w:val="0600" w:firstRow="0" w:lastRow="0" w:firstColumn="0" w:lastColumn="0" w:noHBand="1" w:noVBand="1"/>
      </w:tblPr>
      <w:tblGrid>
        <w:gridCol w:w="3000"/>
        <w:gridCol w:w="3165"/>
      </w:tblGrid>
      <w:tr w:rsidR="00E3080E" w14:paraId="42DB09B2" w14:textId="77777777">
        <w:trPr>
          <w:trHeight w:val="345"/>
        </w:trPr>
        <w:tc>
          <w:tcPr>
            <w:tcW w:w="3000" w:type="dxa"/>
            <w:tcBorders>
              <w:top w:val="single" w:sz="7" w:space="0" w:color="000000"/>
              <w:left w:val="single" w:sz="7" w:space="0" w:color="000000"/>
              <w:bottom w:val="single" w:sz="7" w:space="0" w:color="000000"/>
              <w:right w:val="single" w:sz="7" w:space="0" w:color="000000"/>
            </w:tcBorders>
            <w:tcMar>
              <w:top w:w="20" w:type="dxa"/>
              <w:left w:w="20" w:type="dxa"/>
              <w:bottom w:w="20" w:type="dxa"/>
              <w:right w:w="20" w:type="dxa"/>
            </w:tcMar>
          </w:tcPr>
          <w:p w14:paraId="25CBBEF8" w14:textId="77777777" w:rsidR="00E3080E" w:rsidRDefault="00000000" w:rsidP="000454AB">
            <w:pPr>
              <w:spacing w:before="240" w:after="24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Statistic</w:t>
            </w:r>
          </w:p>
        </w:tc>
        <w:tc>
          <w:tcPr>
            <w:tcW w:w="3165" w:type="dxa"/>
            <w:tcBorders>
              <w:top w:val="single" w:sz="7" w:space="0" w:color="000000"/>
              <w:left w:val="single" w:sz="7" w:space="0" w:color="000000"/>
              <w:bottom w:val="single" w:sz="7" w:space="0" w:color="000000"/>
              <w:right w:val="single" w:sz="7" w:space="0" w:color="000000"/>
            </w:tcBorders>
            <w:tcMar>
              <w:top w:w="20" w:type="dxa"/>
              <w:left w:w="20" w:type="dxa"/>
              <w:bottom w:w="20" w:type="dxa"/>
              <w:right w:w="20" w:type="dxa"/>
            </w:tcMar>
          </w:tcPr>
          <w:p w14:paraId="146A08A9" w14:textId="77777777" w:rsidR="00E3080E" w:rsidRDefault="00000000" w:rsidP="000454AB">
            <w:pPr>
              <w:spacing w:before="240" w:after="24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Price (Dollars)</w:t>
            </w:r>
          </w:p>
        </w:tc>
      </w:tr>
      <w:tr w:rsidR="00E3080E" w14:paraId="2197468C" w14:textId="77777777">
        <w:trPr>
          <w:trHeight w:val="345"/>
        </w:trPr>
        <w:tc>
          <w:tcPr>
            <w:tcW w:w="3000" w:type="dxa"/>
            <w:tcBorders>
              <w:top w:val="single" w:sz="7" w:space="0" w:color="000000"/>
              <w:left w:val="single" w:sz="7" w:space="0" w:color="000000"/>
              <w:bottom w:val="single" w:sz="7" w:space="0" w:color="000000"/>
              <w:right w:val="single" w:sz="7" w:space="0" w:color="000000"/>
            </w:tcBorders>
            <w:tcMar>
              <w:top w:w="20" w:type="dxa"/>
              <w:left w:w="20" w:type="dxa"/>
              <w:bottom w:w="20" w:type="dxa"/>
              <w:right w:w="20" w:type="dxa"/>
            </w:tcMar>
          </w:tcPr>
          <w:p w14:paraId="680FC462" w14:textId="77777777" w:rsidR="00E3080E" w:rsidRDefault="00000000" w:rsidP="000454AB">
            <w:pPr>
              <w:spacing w:before="240" w:after="24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Mean</w:t>
            </w:r>
          </w:p>
        </w:tc>
        <w:tc>
          <w:tcPr>
            <w:tcW w:w="3165" w:type="dxa"/>
            <w:tcBorders>
              <w:top w:val="single" w:sz="7" w:space="0" w:color="000000"/>
              <w:left w:val="single" w:sz="7" w:space="0" w:color="000000"/>
              <w:bottom w:val="single" w:sz="7" w:space="0" w:color="000000"/>
              <w:right w:val="single" w:sz="7" w:space="0" w:color="000000"/>
            </w:tcBorders>
            <w:tcMar>
              <w:top w:w="20" w:type="dxa"/>
              <w:left w:w="20" w:type="dxa"/>
              <w:bottom w:w="20" w:type="dxa"/>
              <w:right w:w="20" w:type="dxa"/>
            </w:tcMar>
          </w:tcPr>
          <w:p w14:paraId="3FEDD1D2" w14:textId="77777777" w:rsidR="00E3080E" w:rsidRDefault="00000000" w:rsidP="000454AB">
            <w:pPr>
              <w:spacing w:before="240" w:after="24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75.873980</w:t>
            </w:r>
          </w:p>
        </w:tc>
      </w:tr>
      <w:tr w:rsidR="00E3080E" w14:paraId="02294353" w14:textId="77777777">
        <w:trPr>
          <w:trHeight w:val="345"/>
        </w:trPr>
        <w:tc>
          <w:tcPr>
            <w:tcW w:w="3000" w:type="dxa"/>
            <w:tcBorders>
              <w:top w:val="single" w:sz="7" w:space="0" w:color="000000"/>
              <w:left w:val="single" w:sz="7" w:space="0" w:color="000000"/>
              <w:bottom w:val="single" w:sz="7" w:space="0" w:color="000000"/>
              <w:right w:val="single" w:sz="7" w:space="0" w:color="000000"/>
            </w:tcBorders>
            <w:tcMar>
              <w:top w:w="20" w:type="dxa"/>
              <w:left w:w="20" w:type="dxa"/>
              <w:bottom w:w="20" w:type="dxa"/>
              <w:right w:w="20" w:type="dxa"/>
            </w:tcMar>
          </w:tcPr>
          <w:p w14:paraId="437A39DB" w14:textId="77777777" w:rsidR="00E3080E" w:rsidRDefault="00000000" w:rsidP="000454AB">
            <w:pPr>
              <w:spacing w:before="240" w:after="24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Standard Deviation</w:t>
            </w:r>
          </w:p>
        </w:tc>
        <w:tc>
          <w:tcPr>
            <w:tcW w:w="3165" w:type="dxa"/>
            <w:tcBorders>
              <w:top w:val="single" w:sz="7" w:space="0" w:color="000000"/>
              <w:left w:val="single" w:sz="7" w:space="0" w:color="000000"/>
              <w:bottom w:val="single" w:sz="7" w:space="0" w:color="000000"/>
              <w:right w:val="single" w:sz="7" w:space="0" w:color="000000"/>
            </w:tcBorders>
            <w:tcMar>
              <w:top w:w="20" w:type="dxa"/>
              <w:left w:w="20" w:type="dxa"/>
              <w:bottom w:w="20" w:type="dxa"/>
              <w:right w:w="20" w:type="dxa"/>
            </w:tcMar>
          </w:tcPr>
          <w:p w14:paraId="430A6DF6" w14:textId="77777777" w:rsidR="00E3080E" w:rsidRDefault="00000000" w:rsidP="000454AB">
            <w:pPr>
              <w:spacing w:before="240" w:after="24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42.912398</w:t>
            </w:r>
          </w:p>
        </w:tc>
      </w:tr>
      <w:tr w:rsidR="00E3080E" w14:paraId="080E68C2" w14:textId="77777777">
        <w:trPr>
          <w:trHeight w:val="345"/>
        </w:trPr>
        <w:tc>
          <w:tcPr>
            <w:tcW w:w="3000" w:type="dxa"/>
            <w:tcBorders>
              <w:top w:val="single" w:sz="7" w:space="0" w:color="000000"/>
              <w:left w:val="single" w:sz="7" w:space="0" w:color="000000"/>
              <w:bottom w:val="single" w:sz="7" w:space="0" w:color="000000"/>
              <w:right w:val="single" w:sz="7" w:space="0" w:color="000000"/>
            </w:tcBorders>
            <w:tcMar>
              <w:top w:w="20" w:type="dxa"/>
              <w:left w:w="20" w:type="dxa"/>
              <w:bottom w:w="20" w:type="dxa"/>
              <w:right w:w="20" w:type="dxa"/>
            </w:tcMar>
          </w:tcPr>
          <w:p w14:paraId="0408692C" w14:textId="77777777" w:rsidR="00E3080E" w:rsidRDefault="00000000" w:rsidP="000454AB">
            <w:pPr>
              <w:spacing w:before="240" w:after="24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Minimum</w:t>
            </w:r>
          </w:p>
        </w:tc>
        <w:tc>
          <w:tcPr>
            <w:tcW w:w="3165" w:type="dxa"/>
            <w:tcBorders>
              <w:top w:val="single" w:sz="7" w:space="0" w:color="000000"/>
              <w:left w:val="single" w:sz="7" w:space="0" w:color="000000"/>
              <w:bottom w:val="single" w:sz="7" w:space="0" w:color="000000"/>
              <w:right w:val="single" w:sz="7" w:space="0" w:color="000000"/>
            </w:tcBorders>
            <w:tcMar>
              <w:top w:w="20" w:type="dxa"/>
              <w:left w:w="20" w:type="dxa"/>
              <w:bottom w:w="20" w:type="dxa"/>
              <w:right w:w="20" w:type="dxa"/>
            </w:tcMar>
          </w:tcPr>
          <w:p w14:paraId="51B7824B" w14:textId="77777777" w:rsidR="00E3080E" w:rsidRDefault="00000000" w:rsidP="000454AB">
            <w:pPr>
              <w:spacing w:before="240" w:after="24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16.480000</w:t>
            </w:r>
          </w:p>
        </w:tc>
      </w:tr>
      <w:tr w:rsidR="00E3080E" w14:paraId="235F0F5F" w14:textId="77777777">
        <w:trPr>
          <w:trHeight w:val="345"/>
        </w:trPr>
        <w:tc>
          <w:tcPr>
            <w:tcW w:w="3000" w:type="dxa"/>
            <w:tcBorders>
              <w:top w:val="single" w:sz="7" w:space="0" w:color="000000"/>
              <w:left w:val="single" w:sz="7" w:space="0" w:color="000000"/>
              <w:bottom w:val="single" w:sz="7" w:space="0" w:color="000000"/>
              <w:right w:val="single" w:sz="7" w:space="0" w:color="000000"/>
            </w:tcBorders>
            <w:tcMar>
              <w:top w:w="20" w:type="dxa"/>
              <w:left w:w="20" w:type="dxa"/>
              <w:bottom w:w="20" w:type="dxa"/>
              <w:right w:w="20" w:type="dxa"/>
            </w:tcMar>
          </w:tcPr>
          <w:p w14:paraId="2BD585C9" w14:textId="77777777" w:rsidR="00E3080E" w:rsidRDefault="00000000" w:rsidP="000454AB">
            <w:pPr>
              <w:spacing w:before="240" w:after="24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Median (50%)</w:t>
            </w:r>
          </w:p>
        </w:tc>
        <w:tc>
          <w:tcPr>
            <w:tcW w:w="3165" w:type="dxa"/>
            <w:tcBorders>
              <w:top w:val="single" w:sz="7" w:space="0" w:color="000000"/>
              <w:left w:val="single" w:sz="7" w:space="0" w:color="000000"/>
              <w:bottom w:val="single" w:sz="7" w:space="0" w:color="000000"/>
              <w:right w:val="single" w:sz="7" w:space="0" w:color="000000"/>
            </w:tcBorders>
            <w:tcMar>
              <w:top w:w="20" w:type="dxa"/>
              <w:left w:w="20" w:type="dxa"/>
              <w:bottom w:w="20" w:type="dxa"/>
              <w:right w:w="20" w:type="dxa"/>
            </w:tcMar>
          </w:tcPr>
          <w:p w14:paraId="397A4969" w14:textId="77777777" w:rsidR="00E3080E" w:rsidRDefault="00000000" w:rsidP="000454AB">
            <w:pPr>
              <w:spacing w:before="240" w:after="24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64.290000</w:t>
            </w:r>
          </w:p>
        </w:tc>
      </w:tr>
      <w:tr w:rsidR="00E3080E" w14:paraId="629D1317" w14:textId="77777777">
        <w:trPr>
          <w:trHeight w:val="345"/>
        </w:trPr>
        <w:tc>
          <w:tcPr>
            <w:tcW w:w="3000" w:type="dxa"/>
            <w:tcBorders>
              <w:top w:val="single" w:sz="7" w:space="0" w:color="000000"/>
              <w:left w:val="single" w:sz="7" w:space="0" w:color="000000"/>
              <w:bottom w:val="single" w:sz="7" w:space="0" w:color="000000"/>
              <w:right w:val="single" w:sz="7" w:space="0" w:color="000000"/>
            </w:tcBorders>
            <w:tcMar>
              <w:top w:w="20" w:type="dxa"/>
              <w:left w:w="20" w:type="dxa"/>
              <w:bottom w:w="20" w:type="dxa"/>
              <w:right w:w="20" w:type="dxa"/>
            </w:tcMar>
          </w:tcPr>
          <w:p w14:paraId="10DD7B44" w14:textId="77777777" w:rsidR="00E3080E" w:rsidRDefault="00000000" w:rsidP="000454AB">
            <w:pPr>
              <w:spacing w:before="240" w:after="24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Maximum</w:t>
            </w:r>
          </w:p>
        </w:tc>
        <w:tc>
          <w:tcPr>
            <w:tcW w:w="3165" w:type="dxa"/>
            <w:tcBorders>
              <w:top w:val="single" w:sz="7" w:space="0" w:color="000000"/>
              <w:left w:val="single" w:sz="7" w:space="0" w:color="000000"/>
              <w:bottom w:val="single" w:sz="7" w:space="0" w:color="000000"/>
              <w:right w:val="single" w:sz="7" w:space="0" w:color="000000"/>
            </w:tcBorders>
            <w:tcMar>
              <w:top w:w="20" w:type="dxa"/>
              <w:left w:w="20" w:type="dxa"/>
              <w:bottom w:w="20" w:type="dxa"/>
              <w:right w:w="20" w:type="dxa"/>
            </w:tcMar>
          </w:tcPr>
          <w:p w14:paraId="1BCEABAF" w14:textId="77777777" w:rsidR="00E3080E" w:rsidRDefault="00000000" w:rsidP="000454AB">
            <w:pPr>
              <w:spacing w:before="240" w:after="24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158.780000</w:t>
            </w:r>
          </w:p>
        </w:tc>
      </w:tr>
    </w:tbl>
    <w:p w14:paraId="3EF2543D" w14:textId="77777777" w:rsidR="00E3080E" w:rsidRDefault="00E3080E">
      <w:pPr>
        <w:spacing w:line="240" w:lineRule="auto"/>
        <w:jc w:val="both"/>
        <w:rPr>
          <w:rFonts w:ascii="Times New Roman" w:eastAsia="Times New Roman" w:hAnsi="Times New Roman" w:cs="Times New Roman"/>
          <w:sz w:val="24"/>
          <w:szCs w:val="24"/>
        </w:rPr>
      </w:pPr>
    </w:p>
    <w:p w14:paraId="71967DCD" w14:textId="77777777" w:rsidR="00E3080E"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u w:val="single"/>
        </w:rPr>
        <w:t>Initial Visualisation of Oil Prices:</w:t>
      </w:r>
    </w:p>
    <w:p w14:paraId="356512EA" w14:textId="77777777" w:rsidR="00E3080E"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374C1DC6" wp14:editId="23727FA3">
            <wp:extent cx="5111750" cy="2359025"/>
            <wp:effectExtent l="19050" t="19050" r="12700" b="22225"/>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5112975" cy="2359590"/>
                    </a:xfrm>
                    <a:prstGeom prst="rect">
                      <a:avLst/>
                    </a:prstGeom>
                    <a:ln w="12700">
                      <a:solidFill>
                        <a:srgbClr val="000000"/>
                      </a:solidFill>
                      <a:prstDash val="solid"/>
                    </a:ln>
                  </pic:spPr>
                </pic:pic>
              </a:graphicData>
            </a:graphic>
          </wp:inline>
        </w:drawing>
      </w:r>
    </w:p>
    <w:p w14:paraId="01937527" w14:textId="77777777" w:rsidR="00E3080E" w:rsidRDefault="00000000">
      <w:pPr>
        <w:spacing w:line="36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Figure 1: Time Series Plot of Oil Price (Python)</w:t>
      </w:r>
    </w:p>
    <w:p w14:paraId="1101F9FD" w14:textId="77777777" w:rsidR="00E3080E"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time-series plot reveals some significant variations and changes of trends. Prices declined during late 2024 and early 2025 before increasing significantly in mid-2025. Long-term volatility implies volatile market behaviour that is characteristic of energy prices.</w:t>
      </w:r>
    </w:p>
    <w:p w14:paraId="13E027D2" w14:textId="77777777" w:rsidR="00E3080E" w:rsidRDefault="00000000">
      <w:pPr>
        <w:spacing w:line="360" w:lineRule="auto"/>
        <w:jc w:val="both"/>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Preliminary Observations:</w:t>
      </w:r>
    </w:p>
    <w:p w14:paraId="19645827" w14:textId="77777777" w:rsidR="00E3080E"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Preliminary examination shows that there are trends and variability and therefore might be non-stationary. All these features warrant the use of time-series forecasting methods that have the ability to model both linear and nonlinear trends.</w:t>
      </w:r>
    </w:p>
    <w:p w14:paraId="39969C7C" w14:textId="77777777" w:rsidR="00E3080E" w:rsidRDefault="00E3080E">
      <w:pPr>
        <w:spacing w:line="240" w:lineRule="auto"/>
        <w:jc w:val="both"/>
        <w:rPr>
          <w:rFonts w:ascii="Times New Roman" w:eastAsia="Times New Roman" w:hAnsi="Times New Roman" w:cs="Times New Roman"/>
          <w:sz w:val="24"/>
          <w:szCs w:val="24"/>
        </w:rPr>
      </w:pPr>
    </w:p>
    <w:p w14:paraId="61FE07BD" w14:textId="088EB8B3" w:rsidR="00E3080E" w:rsidRDefault="0043194A">
      <w:pPr>
        <w:pStyle w:val="Heading1"/>
        <w:rPr>
          <w:color w:val="000000"/>
        </w:rPr>
      </w:pPr>
      <w:bookmarkStart w:id="4" w:name="_84r3hwnf0ob7" w:colFirst="0" w:colLast="0"/>
      <w:bookmarkEnd w:id="4"/>
      <w:r>
        <w:t>3. METHODOLOGY</w:t>
      </w:r>
    </w:p>
    <w:p w14:paraId="697BD924" w14:textId="77777777" w:rsidR="00E3080E" w:rsidRDefault="00E3080E">
      <w:pPr>
        <w:spacing w:line="240" w:lineRule="auto"/>
      </w:pPr>
    </w:p>
    <w:p w14:paraId="4F46211B" w14:textId="77777777" w:rsidR="00E3080E" w:rsidRDefault="00000000">
      <w:pPr>
        <w:pStyle w:val="Heading2"/>
      </w:pPr>
      <w:bookmarkStart w:id="5" w:name="_p5bq8yldovk" w:colFirst="0" w:colLast="0"/>
      <w:bookmarkEnd w:id="5"/>
      <w:r>
        <w:rPr>
          <w:color w:val="000000"/>
        </w:rPr>
        <w:t>3.1 ARMA Time Series Model</w:t>
      </w:r>
    </w:p>
    <w:p w14:paraId="5070D948" w14:textId="77777777" w:rsidR="00E3080E" w:rsidRDefault="00000000">
      <w:pPr>
        <w:spacing w:line="360" w:lineRule="auto"/>
        <w:jc w:val="both"/>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Concept of ARMA Models:</w:t>
      </w:r>
    </w:p>
    <w:p w14:paraId="144C7C25" w14:textId="77777777" w:rsidR="00E3080E"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ARMA models are one of the most common methodology frameworks of </w:t>
      </w:r>
      <w:proofErr w:type="spellStart"/>
      <w:r>
        <w:rPr>
          <w:rFonts w:ascii="Times New Roman" w:eastAsia="Times New Roman" w:hAnsi="Times New Roman" w:cs="Times New Roman"/>
          <w:sz w:val="24"/>
          <w:szCs w:val="24"/>
        </w:rPr>
        <w:t>analyzing</w:t>
      </w:r>
      <w:proofErr w:type="spellEnd"/>
      <w:r>
        <w:rPr>
          <w:rFonts w:ascii="Times New Roman" w:eastAsia="Times New Roman" w:hAnsi="Times New Roman" w:cs="Times New Roman"/>
          <w:sz w:val="24"/>
          <w:szCs w:val="24"/>
        </w:rPr>
        <w:t xml:space="preserve"> and predicting stationary time-series. The models combine autoregressive (AR) terms, which capture terms of dependence on the observed antecedents, and moving-average (MA) terms, which represent the terms of error structure of the past. Using this composition ARMA specifications can be used to model linear temporal interdependencies of time-series data (</w:t>
      </w:r>
      <w:proofErr w:type="spellStart"/>
      <w:r>
        <w:rPr>
          <w:rFonts w:ascii="Times New Roman" w:eastAsia="Times New Roman" w:hAnsi="Times New Roman" w:cs="Times New Roman"/>
          <w:sz w:val="24"/>
          <w:szCs w:val="24"/>
        </w:rPr>
        <w:t>Tsoku</w:t>
      </w:r>
      <w:proofErr w:type="spellEnd"/>
      <w:r>
        <w:rPr>
          <w:rFonts w:ascii="Times New Roman" w:eastAsia="Times New Roman" w:hAnsi="Times New Roman" w:cs="Times New Roman"/>
          <w:sz w:val="24"/>
          <w:szCs w:val="24"/>
        </w:rPr>
        <w:t xml:space="preserve"> et al., 2024).</w:t>
      </w:r>
    </w:p>
    <w:p w14:paraId="55435AE0" w14:textId="77777777" w:rsidR="00E3080E"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ARMA-based procedures continue to maintain significant popularity in energy economics due to their capacity to capture the short-term price variances and embedded cause-and-effect relationships (Hossain et al., 2025).</w:t>
      </w:r>
    </w:p>
    <w:p w14:paraId="14022F80" w14:textId="77777777" w:rsidR="00E3080E" w:rsidRDefault="00000000">
      <w:pPr>
        <w:spacing w:line="360" w:lineRule="auto"/>
        <w:jc w:val="both"/>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Model Identification and Stationarity:</w:t>
      </w:r>
    </w:p>
    <w:p w14:paraId="32E4F919" w14:textId="77777777" w:rsidR="00E3080E"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Identification of suitable lag structure was performed using a visual examination of Autocorrelation Function (ACF) and Partial Autocorrelation Function (PACF) plots where the parameter space was determined as below:</w:t>
      </w:r>
    </w:p>
    <w:p w14:paraId="15350562" w14:textId="77777777" w:rsidR="00E3080E" w:rsidRPr="000454AB" w:rsidRDefault="00000000">
      <w:pPr>
        <w:spacing w:line="360" w:lineRule="auto"/>
        <w:jc w:val="center"/>
        <w:rPr>
          <w:rFonts w:ascii="Times New Roman" w:eastAsia="Times New Roman" w:hAnsi="Times New Roman" w:cs="Times New Roman"/>
          <w:sz w:val="24"/>
          <w:szCs w:val="24"/>
        </w:rPr>
      </w:pPr>
      <w:r w:rsidRPr="000454AB">
        <w:rPr>
          <w:rFonts w:ascii="Times New Roman" w:eastAsia="Gungsuh" w:hAnsi="Times New Roman" w:cs="Times New Roman"/>
          <w:sz w:val="24"/>
          <w:szCs w:val="24"/>
        </w:rPr>
        <w:t xml:space="preserve">p </w:t>
      </w:r>
      <w:r w:rsidRPr="000454AB">
        <w:rPr>
          <w:rFonts w:ascii="Cambria Math" w:eastAsia="Gungsuh" w:hAnsi="Cambria Math" w:cs="Cambria Math"/>
          <w:sz w:val="24"/>
          <w:szCs w:val="24"/>
        </w:rPr>
        <w:t>∈</w:t>
      </w:r>
      <w:r w:rsidRPr="000454AB">
        <w:rPr>
          <w:rFonts w:ascii="Times New Roman" w:eastAsia="Gungsuh" w:hAnsi="Times New Roman" w:cs="Times New Roman"/>
          <w:sz w:val="24"/>
          <w:szCs w:val="24"/>
        </w:rPr>
        <w:t xml:space="preserve"> [0,8], d </w:t>
      </w:r>
      <w:r w:rsidRPr="000454AB">
        <w:rPr>
          <w:rFonts w:ascii="Cambria Math" w:eastAsia="Gungsuh" w:hAnsi="Cambria Math" w:cs="Cambria Math"/>
          <w:sz w:val="24"/>
          <w:szCs w:val="24"/>
        </w:rPr>
        <w:t>∈</w:t>
      </w:r>
      <w:r w:rsidRPr="000454AB">
        <w:rPr>
          <w:rFonts w:ascii="Times New Roman" w:eastAsia="Gungsuh" w:hAnsi="Times New Roman" w:cs="Times New Roman"/>
          <w:sz w:val="24"/>
          <w:szCs w:val="24"/>
        </w:rPr>
        <w:t xml:space="preserve"> [0,2], q </w:t>
      </w:r>
      <w:r w:rsidRPr="000454AB">
        <w:rPr>
          <w:rFonts w:ascii="Cambria Math" w:eastAsia="Gungsuh" w:hAnsi="Cambria Math" w:cs="Cambria Math"/>
          <w:sz w:val="24"/>
          <w:szCs w:val="24"/>
        </w:rPr>
        <w:t>∈</w:t>
      </w:r>
      <w:r w:rsidRPr="000454AB">
        <w:rPr>
          <w:rFonts w:ascii="Times New Roman" w:eastAsia="Gungsuh" w:hAnsi="Times New Roman" w:cs="Times New Roman"/>
          <w:sz w:val="24"/>
          <w:szCs w:val="24"/>
        </w:rPr>
        <w:t xml:space="preserve"> [0,8]</w:t>
      </w:r>
    </w:p>
    <w:p w14:paraId="2E1C3727" w14:textId="77777777" w:rsidR="00E3080E"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Each candidate configuration was tested using Akaike Information Criterion (AIC) and the specification with the least value of the AIC was chosen. The evaluation of stationarity was done through the Augmented Dickey Fuller (ADF) test; where non-stationarity was found, the mean was then stabilized with the use of first-order differencing before being estimated by a model (Hossain et al., 2025).</w:t>
      </w:r>
    </w:p>
    <w:p w14:paraId="0B7C8FA3" w14:textId="77777777" w:rsidR="00E3080E" w:rsidRDefault="00E3080E">
      <w:pPr>
        <w:spacing w:line="240" w:lineRule="auto"/>
        <w:jc w:val="both"/>
        <w:rPr>
          <w:rFonts w:ascii="Times New Roman" w:eastAsia="Times New Roman" w:hAnsi="Times New Roman" w:cs="Times New Roman"/>
          <w:sz w:val="24"/>
          <w:szCs w:val="24"/>
        </w:rPr>
      </w:pPr>
    </w:p>
    <w:p w14:paraId="449F2A18" w14:textId="77777777" w:rsidR="00E3080E" w:rsidRDefault="00000000">
      <w:pPr>
        <w:pStyle w:val="Heading2"/>
      </w:pPr>
      <w:bookmarkStart w:id="6" w:name="_8s1gj7p54m87" w:colFirst="0" w:colLast="0"/>
      <w:bookmarkEnd w:id="6"/>
      <w:r>
        <w:t>3.2 Alternative Forecasting Model – LSTM</w:t>
      </w:r>
    </w:p>
    <w:p w14:paraId="291EB84E" w14:textId="77777777" w:rsidR="00E3080E" w:rsidRDefault="00E3080E">
      <w:pPr>
        <w:spacing w:line="240" w:lineRule="auto"/>
      </w:pPr>
    </w:p>
    <w:p w14:paraId="1A915D28" w14:textId="77777777" w:rsidR="00E3080E"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Long Short-Memory (LSTM) networks This is a type of recurrent neural network that is specifically designed to learn the sequence of data and long-distance connections. The LSTM configurations can absorb the nonlinear temporal dynamics by their memory cell and gating mechanisms which provide appropriateness to the volatile financial and energy market data.</w:t>
      </w:r>
    </w:p>
    <w:p w14:paraId="55AF92AF" w14:textId="77777777" w:rsidR="00E3080E"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Oil-price observations were pre-training normalised through Min-Max scaling. To transform the series into a supervised learning problem, a sliding-window transformation was used to reframe the series generating input-output pairs. The training of the model was repeated in several epochs using the Adam optimiser as its goal and a reduction in the error of predictions (Zhao et al., 2024; Brown et al., 2024).</w:t>
      </w:r>
    </w:p>
    <w:p w14:paraId="4B9B2488" w14:textId="3246A38E" w:rsidR="00E3080E"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Recursive generation of future values was used to make use of the terminal observation window that helped in generating forecasts around a 24</w:t>
      </w:r>
      <w:r w:rsidR="0043194A">
        <w:rPr>
          <w:rFonts w:ascii="Times New Roman" w:eastAsia="Times New Roman" w:hAnsi="Times New Roman" w:cs="Times New Roman"/>
          <w:sz w:val="24"/>
          <w:szCs w:val="24"/>
        </w:rPr>
        <w:t>-</w:t>
      </w:r>
      <w:r>
        <w:rPr>
          <w:rFonts w:ascii="Times New Roman" w:eastAsia="Times New Roman" w:hAnsi="Times New Roman" w:cs="Times New Roman"/>
          <w:sz w:val="24"/>
          <w:szCs w:val="24"/>
        </w:rPr>
        <w:t>month horizon. The model was used to measure forecast uncertainty using confidence bounds based on the residual variability.</w:t>
      </w:r>
    </w:p>
    <w:p w14:paraId="19D550E5" w14:textId="77777777" w:rsidR="00E3080E" w:rsidRDefault="00E3080E">
      <w:pPr>
        <w:spacing w:line="240" w:lineRule="auto"/>
        <w:jc w:val="both"/>
        <w:rPr>
          <w:rFonts w:ascii="Times New Roman" w:eastAsia="Times New Roman" w:hAnsi="Times New Roman" w:cs="Times New Roman"/>
          <w:sz w:val="24"/>
          <w:szCs w:val="24"/>
        </w:rPr>
      </w:pPr>
    </w:p>
    <w:p w14:paraId="278D32B7" w14:textId="44D71807" w:rsidR="00E3080E" w:rsidRDefault="0043194A">
      <w:pPr>
        <w:pStyle w:val="Heading1"/>
        <w:rPr>
          <w:color w:val="000000"/>
        </w:rPr>
      </w:pPr>
      <w:bookmarkStart w:id="7" w:name="_6p0a2w5rsf20" w:colFirst="0" w:colLast="0"/>
      <w:bookmarkEnd w:id="7"/>
      <w:r>
        <w:rPr>
          <w:color w:val="000000"/>
        </w:rPr>
        <w:t>4. RESULTS AND MODEL PERFORMANCE</w:t>
      </w:r>
    </w:p>
    <w:p w14:paraId="6EDF61EE" w14:textId="77777777" w:rsidR="00E3080E" w:rsidRDefault="00E3080E">
      <w:pPr>
        <w:spacing w:line="240" w:lineRule="auto"/>
      </w:pPr>
    </w:p>
    <w:p w14:paraId="0ABCE44C" w14:textId="77777777" w:rsidR="00E3080E" w:rsidRDefault="00000000">
      <w:pPr>
        <w:pStyle w:val="Heading2"/>
        <w:rPr>
          <w:color w:val="000000"/>
        </w:rPr>
      </w:pPr>
      <w:bookmarkStart w:id="8" w:name="_sosoxc4kbwcn" w:colFirst="0" w:colLast="0"/>
      <w:bookmarkEnd w:id="8"/>
      <w:r>
        <w:rPr>
          <w:color w:val="000000"/>
        </w:rPr>
        <w:t>4.1 ARMA Model Results</w:t>
      </w:r>
    </w:p>
    <w:p w14:paraId="0B8EDC67" w14:textId="77777777" w:rsidR="00E3080E" w:rsidRDefault="00E3080E">
      <w:pPr>
        <w:spacing w:line="240" w:lineRule="auto"/>
        <w:jc w:val="both"/>
        <w:rPr>
          <w:rFonts w:ascii="Times New Roman" w:eastAsia="Times New Roman" w:hAnsi="Times New Roman" w:cs="Times New Roman"/>
          <w:sz w:val="24"/>
          <w:szCs w:val="24"/>
        </w:rPr>
      </w:pPr>
    </w:p>
    <w:p w14:paraId="02AA1604" w14:textId="77777777" w:rsidR="00E3080E" w:rsidRDefault="00000000">
      <w:pPr>
        <w:spacing w:line="360" w:lineRule="auto"/>
        <w:jc w:val="both"/>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ADF Test Results:</w:t>
      </w:r>
    </w:p>
    <w:p w14:paraId="521B4C94" w14:textId="77777777" w:rsidR="00E3080E"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statistic of the Augmented Dickey-Fuller was 0.546 with a p-value of 0.882, which implied that the original series of oil-prices was non-stationary.</w:t>
      </w:r>
    </w:p>
    <w:p w14:paraId="7C559B49" w14:textId="77777777" w:rsidR="00E3080E" w:rsidRDefault="00000000">
      <w:pPr>
        <w:spacing w:line="360" w:lineRule="auto"/>
        <w:jc w:val="both"/>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Differencing:</w:t>
      </w:r>
    </w:p>
    <w:p w14:paraId="7B334856" w14:textId="77777777" w:rsidR="00E3080E"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correct non-stationarity, first order differencing was used to stabilize the mean.</w:t>
      </w:r>
    </w:p>
    <w:p w14:paraId="796AFF27" w14:textId="77777777" w:rsidR="00E3080E" w:rsidRDefault="00000000">
      <w:pPr>
        <w:spacing w:line="360" w:lineRule="auto"/>
        <w:jc w:val="cente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094144D6" wp14:editId="000AA394">
            <wp:extent cx="5168900" cy="2463800"/>
            <wp:effectExtent l="19050" t="19050" r="12700" b="12700"/>
            <wp:docPr id="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9"/>
                    <a:srcRect/>
                    <a:stretch>
                      <a:fillRect/>
                    </a:stretch>
                  </pic:blipFill>
                  <pic:spPr>
                    <a:xfrm>
                      <a:off x="0" y="0"/>
                      <a:ext cx="5170106" cy="2464375"/>
                    </a:xfrm>
                    <a:prstGeom prst="rect">
                      <a:avLst/>
                    </a:prstGeom>
                    <a:ln w="12700">
                      <a:solidFill>
                        <a:srgbClr val="000000"/>
                      </a:solidFill>
                      <a:prstDash val="solid"/>
                    </a:ln>
                  </pic:spPr>
                </pic:pic>
              </a:graphicData>
            </a:graphic>
          </wp:inline>
        </w:drawing>
      </w:r>
    </w:p>
    <w:p w14:paraId="18CB7B5F" w14:textId="77777777" w:rsidR="00E3080E" w:rsidRDefault="00000000">
      <w:pPr>
        <w:spacing w:line="36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Figure 2: Differenced Oil Price Time Series Showing Stabilized Mean After Removing Non-Stationarity</w:t>
      </w:r>
    </w:p>
    <w:p w14:paraId="5148BD42" w14:textId="77777777" w:rsidR="00E3080E"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0"/>
          <w:szCs w:val="20"/>
        </w:rPr>
        <w:t xml:space="preserve"> (Source: Python)</w:t>
      </w:r>
    </w:p>
    <w:p w14:paraId="6E916D55" w14:textId="77777777" w:rsidR="00E3080E"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The resultant series oscillates around a more consistent mean, which means that a stationary state has been attained.</w:t>
      </w:r>
    </w:p>
    <w:p w14:paraId="5C1C4658" w14:textId="77777777" w:rsidR="00E3080E" w:rsidRDefault="00000000">
      <w:pPr>
        <w:spacing w:line="360" w:lineRule="auto"/>
        <w:jc w:val="both"/>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ARMA Model Parameter Search:</w:t>
      </w:r>
    </w:p>
    <w:p w14:paraId="43C39089" w14:textId="77777777" w:rsidR="00E3080E"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Plots (ACF and PACF) were investigated to reveal lag relationships.</w:t>
      </w:r>
    </w:p>
    <w:p w14:paraId="408CA732" w14:textId="77777777" w:rsidR="00E3080E"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4F14AA7F" wp14:editId="1E8BA51F">
            <wp:extent cx="5419725" cy="2095500"/>
            <wp:effectExtent l="0" t="0" r="9525" b="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5419888" cy="2095563"/>
                    </a:xfrm>
                    <a:prstGeom prst="rect">
                      <a:avLst/>
                    </a:prstGeom>
                    <a:ln/>
                  </pic:spPr>
                </pic:pic>
              </a:graphicData>
            </a:graphic>
          </wp:inline>
        </w:drawing>
      </w:r>
    </w:p>
    <w:p w14:paraId="6EF6F151" w14:textId="40BDA916" w:rsidR="00E3080E" w:rsidRDefault="00000000">
      <w:pPr>
        <w:spacing w:line="36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Figure 3: Autocorrelation Function (ACF) and Partial Autocorrelation Function (PACF) (Source: Python)</w:t>
      </w:r>
    </w:p>
    <w:p w14:paraId="1294AD8F" w14:textId="0AC19D56" w:rsidR="00E3080E"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AIC-based search algorithm was able to identify the best configuration, which was ARMA</w:t>
      </w:r>
      <w:r w:rsidR="0043194A">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(3,2,5) with the minimum AIC value of 1125.72.</w:t>
      </w:r>
    </w:p>
    <w:p w14:paraId="6CD3079C" w14:textId="77777777" w:rsidR="00E3080E" w:rsidRDefault="00000000">
      <w:pPr>
        <w:spacing w:line="360" w:lineRule="auto"/>
        <w:jc w:val="both"/>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Residual Diagnostics:</w:t>
      </w:r>
    </w:p>
    <w:p w14:paraId="76D7E281" w14:textId="77777777" w:rsidR="00E3080E"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631E9A81" wp14:editId="33A92A29">
            <wp:extent cx="5705475" cy="2124075"/>
            <wp:effectExtent l="0" t="0" r="9525" b="9525"/>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a:stretch>
                      <a:fillRect/>
                    </a:stretch>
                  </pic:blipFill>
                  <pic:spPr>
                    <a:xfrm>
                      <a:off x="0" y="0"/>
                      <a:ext cx="5705801" cy="2124196"/>
                    </a:xfrm>
                    <a:prstGeom prst="rect">
                      <a:avLst/>
                    </a:prstGeom>
                    <a:ln/>
                  </pic:spPr>
                </pic:pic>
              </a:graphicData>
            </a:graphic>
          </wp:inline>
        </w:drawing>
      </w:r>
    </w:p>
    <w:p w14:paraId="5319725D" w14:textId="2D6BA603" w:rsidR="00E3080E" w:rsidRDefault="00000000">
      <w:pPr>
        <w:spacing w:line="36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Figure 4: Residual Diagnostics of the Selected ARMA Model (Source: Python)</w:t>
      </w:r>
    </w:p>
    <w:p w14:paraId="12452B3C" w14:textId="77777777" w:rsidR="00E3080E"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residual diagnostics show random variable dynamics around the zero mark, and the autocorrelations do not exceed the boundaries of the confidence interval.</w:t>
      </w:r>
    </w:p>
    <w:p w14:paraId="02986149" w14:textId="77777777" w:rsidR="00E3080E" w:rsidRDefault="00000000">
      <w:pPr>
        <w:spacing w:line="360" w:lineRule="auto"/>
        <w:jc w:val="both"/>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Forecasting Results:</w:t>
      </w:r>
    </w:p>
    <w:p w14:paraId="2AD8E1BF" w14:textId="77777777" w:rsidR="00E3080E"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0EEC597A" wp14:editId="1C315F56">
            <wp:extent cx="4768688" cy="2394756"/>
            <wp:effectExtent l="12700" t="12700" r="12700" b="12700"/>
            <wp:docPr id="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2"/>
                    <a:srcRect/>
                    <a:stretch>
                      <a:fillRect/>
                    </a:stretch>
                  </pic:blipFill>
                  <pic:spPr>
                    <a:xfrm>
                      <a:off x="0" y="0"/>
                      <a:ext cx="4768688" cy="2394756"/>
                    </a:xfrm>
                    <a:prstGeom prst="rect">
                      <a:avLst/>
                    </a:prstGeom>
                    <a:ln w="12700">
                      <a:solidFill>
                        <a:srgbClr val="000000"/>
                      </a:solidFill>
                      <a:prstDash val="solid"/>
                    </a:ln>
                  </pic:spPr>
                </pic:pic>
              </a:graphicData>
            </a:graphic>
          </wp:inline>
        </w:drawing>
      </w:r>
    </w:p>
    <w:p w14:paraId="5D592704" w14:textId="77777777" w:rsidR="00E3080E" w:rsidRDefault="00000000">
      <w:pPr>
        <w:spacing w:line="36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Figure 5: Forecasted Crude Oil Prices Using the ARMA Model (Source: Python)</w:t>
      </w:r>
    </w:p>
    <w:p w14:paraId="403AB200" w14:textId="77777777" w:rsidR="00E3080E" w:rsidRDefault="00000000">
      <w:pPr>
        <w:spacing w:line="360" w:lineRule="auto"/>
        <w:jc w:val="both"/>
        <w:rPr>
          <w:rFonts w:ascii="Times New Roman" w:eastAsia="Times New Roman" w:hAnsi="Times New Roman" w:cs="Times New Roman"/>
          <w:color w:val="FF0000"/>
          <w:sz w:val="24"/>
          <w:szCs w:val="24"/>
        </w:rPr>
      </w:pPr>
      <w:r>
        <w:rPr>
          <w:rFonts w:ascii="Times New Roman" w:eastAsia="Times New Roman" w:hAnsi="Times New Roman" w:cs="Times New Roman"/>
          <w:sz w:val="24"/>
          <w:szCs w:val="24"/>
        </w:rPr>
        <w:t>The ARMA forecast predicts the further extension of the recent price behaviour and the confidence intervals are gradually growing, demonstrating the growing uncertainty of the prediction with the extension of the prediction horizons.</w:t>
      </w:r>
    </w:p>
    <w:p w14:paraId="26CB72E8" w14:textId="77777777" w:rsidR="00E3080E" w:rsidRDefault="00000000">
      <w:pPr>
        <w:pStyle w:val="Heading2"/>
        <w:rPr>
          <w:color w:val="000000"/>
        </w:rPr>
      </w:pPr>
      <w:bookmarkStart w:id="9" w:name="_s6qw7ethwjs2" w:colFirst="0" w:colLast="0"/>
      <w:bookmarkEnd w:id="9"/>
      <w:r>
        <w:rPr>
          <w:color w:val="000000"/>
        </w:rPr>
        <w:t>4.2 LSTM Model Results</w:t>
      </w:r>
    </w:p>
    <w:p w14:paraId="6603FE01" w14:textId="77777777" w:rsidR="00E3080E"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u w:val="single"/>
        </w:rPr>
        <w:t>Model Training and Prediction Performance:</w:t>
      </w:r>
    </w:p>
    <w:p w14:paraId="42345065" w14:textId="77777777" w:rsidR="00E3080E"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Long Short-Term Memory (LSTM) model was trained with the help of a sliding window of ten consecutive previous observations as the input features. It consisted of an LSTM layer with 50 units followed by a dense layer. </w:t>
      </w:r>
    </w:p>
    <w:p w14:paraId="6BFCF8F9" w14:textId="77777777" w:rsidR="00E3080E"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Through the training, the loss figure dropped as well as an initial figure of 0.1607 down to about 0.00056, and this indicates that the learning dynamics were successful.</w:t>
      </w:r>
    </w:p>
    <w:p w14:paraId="62E850D5" w14:textId="77777777" w:rsidR="00E3080E" w:rsidRDefault="00000000">
      <w:pPr>
        <w:spacing w:line="360" w:lineRule="auto"/>
        <w:jc w:val="both"/>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Forecast Visualisation and Patterns Observed:</w:t>
      </w:r>
    </w:p>
    <w:p w14:paraId="0571D645" w14:textId="77777777" w:rsidR="00E3080E" w:rsidRDefault="00000000">
      <w:pPr>
        <w:spacing w:line="360" w:lineRule="auto"/>
        <w:jc w:val="center"/>
        <w:rPr>
          <w:rFonts w:ascii="Times New Roman" w:eastAsia="Times New Roman" w:hAnsi="Times New Roman" w:cs="Times New Roman"/>
          <w:sz w:val="24"/>
          <w:szCs w:val="24"/>
          <w:u w:val="single"/>
        </w:rPr>
      </w:pPr>
      <w:r>
        <w:rPr>
          <w:rFonts w:ascii="Times New Roman" w:eastAsia="Times New Roman" w:hAnsi="Times New Roman" w:cs="Times New Roman"/>
          <w:noProof/>
          <w:sz w:val="24"/>
          <w:szCs w:val="24"/>
          <w:u w:val="single"/>
        </w:rPr>
        <w:drawing>
          <wp:inline distT="114300" distB="114300" distL="114300" distR="114300" wp14:anchorId="2D231AB2" wp14:editId="502417A7">
            <wp:extent cx="5454650" cy="2530475"/>
            <wp:effectExtent l="19050" t="19050" r="12700" b="22225"/>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3"/>
                    <a:srcRect/>
                    <a:stretch>
                      <a:fillRect/>
                    </a:stretch>
                  </pic:blipFill>
                  <pic:spPr>
                    <a:xfrm>
                      <a:off x="0" y="0"/>
                      <a:ext cx="5454816" cy="2530552"/>
                    </a:xfrm>
                    <a:prstGeom prst="rect">
                      <a:avLst/>
                    </a:prstGeom>
                    <a:ln w="12700">
                      <a:solidFill>
                        <a:srgbClr val="000000"/>
                      </a:solidFill>
                      <a:prstDash val="solid"/>
                    </a:ln>
                  </pic:spPr>
                </pic:pic>
              </a:graphicData>
            </a:graphic>
          </wp:inline>
        </w:drawing>
      </w:r>
    </w:p>
    <w:p w14:paraId="7B35D534" w14:textId="77777777" w:rsidR="00E3080E" w:rsidRDefault="00000000">
      <w:pPr>
        <w:spacing w:line="36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Figure 6: Predicted Crude Oil Prices Using LSTM </w:t>
      </w:r>
    </w:p>
    <w:p w14:paraId="5B41184F" w14:textId="77777777" w:rsidR="00E3080E" w:rsidRDefault="00000000">
      <w:pPr>
        <w:spacing w:line="36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(Source: Python)</w:t>
      </w:r>
    </w:p>
    <w:p w14:paraId="6B4E889B" w14:textId="4EF1CDA9" w:rsidR="00E3080E"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The predictions made are very much similar to actual oil price series and thus short</w:t>
      </w:r>
      <w:r w:rsidR="000454AB">
        <w:rPr>
          <w:rFonts w:ascii="Times New Roman" w:eastAsia="Times New Roman" w:hAnsi="Times New Roman" w:cs="Times New Roman"/>
          <w:sz w:val="24"/>
          <w:szCs w:val="24"/>
        </w:rPr>
        <w:t>-</w:t>
      </w:r>
      <w:r>
        <w:rPr>
          <w:rFonts w:ascii="Times New Roman" w:eastAsia="Times New Roman" w:hAnsi="Times New Roman" w:cs="Times New Roman"/>
          <w:sz w:val="24"/>
          <w:szCs w:val="24"/>
        </w:rPr>
        <w:t>term fluctuations are better represented by the created predictions than by the ARMA model.</w:t>
      </w:r>
    </w:p>
    <w:p w14:paraId="3EDB9074" w14:textId="77777777" w:rsidR="00E3080E" w:rsidRDefault="00000000">
      <w:pPr>
        <w:spacing w:line="360" w:lineRule="auto"/>
        <w:jc w:val="center"/>
        <w:rPr>
          <w:rFonts w:ascii="Times New Roman" w:eastAsia="Times New Roman" w:hAnsi="Times New Roman" w:cs="Times New Roman"/>
          <w:i/>
          <w:iCs/>
          <w:sz w:val="20"/>
          <w:szCs w:val="20"/>
        </w:rPr>
      </w:pPr>
      <w:r>
        <w:rPr>
          <w:rFonts w:ascii="Times New Roman" w:eastAsia="Times New Roman" w:hAnsi="Times New Roman" w:cs="Times New Roman"/>
          <w:i/>
          <w:iCs/>
          <w:noProof/>
          <w:sz w:val="20"/>
          <w:szCs w:val="20"/>
        </w:rPr>
        <w:drawing>
          <wp:inline distT="114300" distB="114300" distL="114300" distR="114300" wp14:anchorId="123BF6ED" wp14:editId="217C8ED5">
            <wp:extent cx="4935375" cy="2162175"/>
            <wp:effectExtent l="12700" t="12700" r="12700" b="1270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
                    <a:srcRect/>
                    <a:stretch>
                      <a:fillRect/>
                    </a:stretch>
                  </pic:blipFill>
                  <pic:spPr>
                    <a:xfrm>
                      <a:off x="0" y="0"/>
                      <a:ext cx="4935375" cy="2162175"/>
                    </a:xfrm>
                    <a:prstGeom prst="rect">
                      <a:avLst/>
                    </a:prstGeom>
                    <a:ln w="12700">
                      <a:solidFill>
                        <a:srgbClr val="000000"/>
                      </a:solidFill>
                      <a:prstDash val="solid"/>
                    </a:ln>
                  </pic:spPr>
                </pic:pic>
              </a:graphicData>
            </a:graphic>
          </wp:inline>
        </w:drawing>
      </w:r>
    </w:p>
    <w:p w14:paraId="08418C95" w14:textId="77777777" w:rsidR="00E3080E" w:rsidRDefault="00000000">
      <w:pPr>
        <w:spacing w:line="36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Figure 7: LSTM 24-Month Forecast</w:t>
      </w:r>
    </w:p>
    <w:p w14:paraId="55BAECD2" w14:textId="77777777" w:rsidR="00E3080E"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0"/>
          <w:szCs w:val="20"/>
        </w:rPr>
        <w:t>(Source: Python)</w:t>
      </w:r>
    </w:p>
    <w:p w14:paraId="7F1C1312" w14:textId="77777777" w:rsidR="00E3080E"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According to the forecast output, the trend of the oil prices is progressive upwards with the confidence intervals attached to indicate the inherent uncertainty of the predictions.</w:t>
      </w:r>
    </w:p>
    <w:p w14:paraId="7314911F" w14:textId="77777777" w:rsidR="00E3080E"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u w:val="single"/>
        </w:rPr>
        <w:t>Evaluation Metrics and Interpretation:</w:t>
      </w:r>
    </w:p>
    <w:p w14:paraId="77104E91" w14:textId="77777777" w:rsidR="00E3080E"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Root Mean Squared Error (RMSE) = 3.37</w:t>
      </w:r>
    </w:p>
    <w:p w14:paraId="47A2F7B4" w14:textId="77777777" w:rsidR="00E3080E"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relatively low RMSE highlights a strong predictive capability of short-term predictions.</w:t>
      </w:r>
    </w:p>
    <w:p w14:paraId="520584F0" w14:textId="77777777" w:rsidR="00E3080E" w:rsidRDefault="00E3080E">
      <w:pPr>
        <w:spacing w:line="240" w:lineRule="auto"/>
        <w:jc w:val="both"/>
        <w:rPr>
          <w:rFonts w:ascii="Times New Roman" w:eastAsia="Times New Roman" w:hAnsi="Times New Roman" w:cs="Times New Roman"/>
          <w:sz w:val="24"/>
          <w:szCs w:val="24"/>
        </w:rPr>
      </w:pPr>
    </w:p>
    <w:p w14:paraId="38C9CF25" w14:textId="444B80AD" w:rsidR="00E3080E" w:rsidRDefault="00000000">
      <w:pPr>
        <w:pStyle w:val="Heading1"/>
        <w:rPr>
          <w:color w:val="000000"/>
        </w:rPr>
      </w:pPr>
      <w:bookmarkStart w:id="10" w:name="_rktccrqonjky" w:colFirst="0" w:colLast="0"/>
      <w:bookmarkEnd w:id="10"/>
      <w:r>
        <w:rPr>
          <w:color w:val="000000"/>
        </w:rPr>
        <w:t>5</w:t>
      </w:r>
      <w:r w:rsidR="0043194A">
        <w:rPr>
          <w:color w:val="000000"/>
        </w:rPr>
        <w:t>. COMPARISON OF FORECASTING MODELS</w:t>
      </w:r>
    </w:p>
    <w:p w14:paraId="311C7DC2" w14:textId="77777777" w:rsidR="00E3080E" w:rsidRDefault="00E3080E"/>
    <w:p w14:paraId="2D11419C" w14:textId="77777777" w:rsidR="00E3080E" w:rsidRDefault="00000000">
      <w:pPr>
        <w:spacing w:line="360" w:lineRule="auto"/>
        <w:jc w:val="both"/>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RMSE Comparison</w:t>
      </w:r>
    </w:p>
    <w:p w14:paraId="0A0ED81D" w14:textId="77777777" w:rsidR="00E3080E"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0"/>
          <w:szCs w:val="20"/>
        </w:rPr>
        <w:t>Table 2: RMSE Comparison of two models (Source: Python)</w:t>
      </w:r>
    </w:p>
    <w:tbl>
      <w:tblPr>
        <w:tblStyle w:val="a0"/>
        <w:tblW w:w="6585" w:type="dxa"/>
        <w:tblInd w:w="12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330"/>
        <w:gridCol w:w="3255"/>
      </w:tblGrid>
      <w:tr w:rsidR="00E3080E" w14:paraId="00314ADC" w14:textId="77777777">
        <w:trPr>
          <w:trHeight w:val="620"/>
        </w:trPr>
        <w:tc>
          <w:tcPr>
            <w:tcW w:w="3330" w:type="dxa"/>
            <w:tcMar>
              <w:top w:w="100" w:type="dxa"/>
              <w:left w:w="100" w:type="dxa"/>
              <w:bottom w:w="100" w:type="dxa"/>
              <w:right w:w="100" w:type="dxa"/>
            </w:tcMar>
          </w:tcPr>
          <w:p w14:paraId="76858D39" w14:textId="77777777" w:rsidR="00E3080E"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Model</w:t>
            </w:r>
          </w:p>
        </w:tc>
        <w:tc>
          <w:tcPr>
            <w:tcW w:w="3255" w:type="dxa"/>
            <w:tcMar>
              <w:top w:w="100" w:type="dxa"/>
              <w:left w:w="100" w:type="dxa"/>
              <w:bottom w:w="100" w:type="dxa"/>
              <w:right w:w="100" w:type="dxa"/>
            </w:tcMar>
          </w:tcPr>
          <w:p w14:paraId="7C87C8DA" w14:textId="77777777" w:rsidR="00E3080E"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RMSE</w:t>
            </w:r>
          </w:p>
        </w:tc>
      </w:tr>
      <w:tr w:rsidR="00E3080E" w14:paraId="5BA84DC1" w14:textId="77777777">
        <w:tc>
          <w:tcPr>
            <w:tcW w:w="3330" w:type="dxa"/>
            <w:tcMar>
              <w:top w:w="100" w:type="dxa"/>
              <w:left w:w="100" w:type="dxa"/>
              <w:bottom w:w="100" w:type="dxa"/>
              <w:right w:w="100" w:type="dxa"/>
            </w:tcMar>
          </w:tcPr>
          <w:p w14:paraId="7E11908B" w14:textId="77777777" w:rsidR="00E3080E"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ARMA</w:t>
            </w:r>
          </w:p>
        </w:tc>
        <w:tc>
          <w:tcPr>
            <w:tcW w:w="3255" w:type="dxa"/>
            <w:tcMar>
              <w:top w:w="100" w:type="dxa"/>
              <w:left w:w="100" w:type="dxa"/>
              <w:bottom w:w="100" w:type="dxa"/>
              <w:right w:w="100" w:type="dxa"/>
            </w:tcMar>
          </w:tcPr>
          <w:p w14:paraId="02E30E4D" w14:textId="77777777" w:rsidR="00E3080E" w:rsidRDefault="00000000">
            <w:pPr>
              <w:widowControl w:val="0"/>
              <w:spacing w:line="240" w:lineRule="auto"/>
              <w:jc w:val="center"/>
              <w:rPr>
                <w:rFonts w:ascii="Times New Roman" w:eastAsia="Times New Roman" w:hAnsi="Times New Roman" w:cs="Times New Roman"/>
                <w:sz w:val="21"/>
                <w:szCs w:val="21"/>
                <w:highlight w:val="white"/>
              </w:rPr>
            </w:pPr>
            <w:r>
              <w:rPr>
                <w:rFonts w:ascii="Times New Roman" w:eastAsia="Times New Roman" w:hAnsi="Times New Roman" w:cs="Times New Roman"/>
                <w:sz w:val="21"/>
                <w:szCs w:val="21"/>
                <w:highlight w:val="white"/>
              </w:rPr>
              <w:t>14.87</w:t>
            </w:r>
          </w:p>
        </w:tc>
      </w:tr>
      <w:tr w:rsidR="00E3080E" w14:paraId="563C5DBB" w14:textId="77777777">
        <w:tc>
          <w:tcPr>
            <w:tcW w:w="3330" w:type="dxa"/>
            <w:tcMar>
              <w:top w:w="100" w:type="dxa"/>
              <w:left w:w="100" w:type="dxa"/>
              <w:bottom w:w="100" w:type="dxa"/>
              <w:right w:w="100" w:type="dxa"/>
            </w:tcMar>
          </w:tcPr>
          <w:p w14:paraId="62BBBE47" w14:textId="77777777" w:rsidR="00E3080E"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LSTM</w:t>
            </w:r>
          </w:p>
        </w:tc>
        <w:tc>
          <w:tcPr>
            <w:tcW w:w="3255" w:type="dxa"/>
            <w:tcMar>
              <w:top w:w="100" w:type="dxa"/>
              <w:left w:w="100" w:type="dxa"/>
              <w:bottom w:w="100" w:type="dxa"/>
              <w:right w:w="100" w:type="dxa"/>
            </w:tcMar>
          </w:tcPr>
          <w:p w14:paraId="577FA07A" w14:textId="77777777" w:rsidR="00E3080E"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3.36</w:t>
            </w:r>
          </w:p>
        </w:tc>
      </w:tr>
    </w:tbl>
    <w:p w14:paraId="64E4C0F9" w14:textId="77777777" w:rsidR="00E3080E" w:rsidRDefault="00E3080E">
      <w:pPr>
        <w:spacing w:line="360" w:lineRule="auto"/>
        <w:jc w:val="both"/>
        <w:rPr>
          <w:rFonts w:ascii="Times New Roman" w:eastAsia="Times New Roman" w:hAnsi="Times New Roman" w:cs="Times New Roman"/>
          <w:sz w:val="24"/>
          <w:szCs w:val="24"/>
        </w:rPr>
      </w:pPr>
    </w:p>
    <w:p w14:paraId="36CBFBD5" w14:textId="77777777" w:rsidR="00E3080E"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significantly reduced RMSE of the LSTM model shows that the model predicts better compared to the ARMA model.</w:t>
      </w:r>
    </w:p>
    <w:p w14:paraId="4A88D905" w14:textId="77777777" w:rsidR="00E3080E" w:rsidRDefault="00000000">
      <w:pPr>
        <w:spacing w:line="360" w:lineRule="auto"/>
        <w:jc w:val="both"/>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Forecast Behaviour and Model Characteristics</w:t>
      </w:r>
    </w:p>
    <w:p w14:paraId="7EFA68F5" w14:textId="77777777" w:rsidR="00E3080E"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ARMA model generates stable forecasts that are based on linear relationships in historical data. However, the dynamics associated with crude-oil prices are often nonlinear, which can be explained by the presence of market shocks, changes in demand, as well as by the impact of </w:t>
      </w:r>
      <w:r>
        <w:rPr>
          <w:rFonts w:ascii="Times New Roman" w:eastAsia="Times New Roman" w:hAnsi="Times New Roman" w:cs="Times New Roman"/>
          <w:sz w:val="24"/>
          <w:szCs w:val="24"/>
        </w:rPr>
        <w:lastRenderedPageBreak/>
        <w:t>geopolitics. The LSTM framework is more qualified to capture these nonlinear trends hence making them capable of providing a more accurate prediction of observed price patterns.</w:t>
      </w:r>
    </w:p>
    <w:p w14:paraId="67997E88" w14:textId="77777777" w:rsidR="00E3080E" w:rsidRDefault="00000000">
      <w:pPr>
        <w:spacing w:line="360" w:lineRule="auto"/>
        <w:jc w:val="both"/>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Strengths and Limitations of Each Model:</w:t>
      </w:r>
    </w:p>
    <w:p w14:paraId="0512E936" w14:textId="5473395E" w:rsidR="000454AB" w:rsidRPr="000454AB" w:rsidRDefault="00000000" w:rsidP="000454AB">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ARMA models are simple to use and easy to interpret along with the fact that they often fail when faced with nonlinear behaviour. Conversely, LSTM based models have greater flexibility to the modelling of complex temporal relationships, although at the cost of increased data requirements and computational cost.</w:t>
      </w:r>
      <w:bookmarkStart w:id="11" w:name="_iqci4fxo60k6" w:colFirst="0" w:colLast="0"/>
      <w:bookmarkStart w:id="12" w:name="_lqiceh2sznup" w:colFirst="0" w:colLast="0"/>
      <w:bookmarkEnd w:id="11"/>
      <w:bookmarkEnd w:id="12"/>
    </w:p>
    <w:p w14:paraId="3AE48A0D" w14:textId="43D6F486" w:rsidR="00E3080E" w:rsidRDefault="0043194A">
      <w:pPr>
        <w:pStyle w:val="Heading1"/>
        <w:rPr>
          <w:color w:val="000000"/>
        </w:rPr>
      </w:pPr>
      <w:r>
        <w:rPr>
          <w:color w:val="000000"/>
        </w:rPr>
        <w:t>6. DISCUSSION AND INTERPRETATION OF FINDINGS</w:t>
      </w:r>
    </w:p>
    <w:p w14:paraId="6C90F9A6" w14:textId="77777777" w:rsidR="00E3080E" w:rsidRDefault="00E3080E">
      <w:pPr>
        <w:spacing w:line="240" w:lineRule="auto"/>
        <w:jc w:val="both"/>
        <w:rPr>
          <w:rFonts w:ascii="Times New Roman" w:eastAsia="Times New Roman" w:hAnsi="Times New Roman" w:cs="Times New Roman"/>
          <w:sz w:val="24"/>
          <w:szCs w:val="24"/>
        </w:rPr>
      </w:pPr>
    </w:p>
    <w:p w14:paraId="10C648D9" w14:textId="77777777" w:rsidR="00E3080E"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u w:val="single"/>
        </w:rPr>
        <w:t>Explanation of Observed Model Behaviour:</w:t>
      </w:r>
    </w:p>
    <w:p w14:paraId="21E563E8" w14:textId="77777777" w:rsidR="00E3080E"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differences in model results indicate similar assumptions. Although ARMA is based on the linear relationships between the previous data and error values, which in turn results in predictable but less flexible forecasts, LSTM networks learn nonlinear relationships with each sequence of prices and enable the ability to follow unpredictable price patterns.</w:t>
      </w:r>
    </w:p>
    <w:p w14:paraId="78368229" w14:textId="77777777" w:rsidR="00E3080E" w:rsidRDefault="00E3080E">
      <w:pPr>
        <w:spacing w:line="240" w:lineRule="auto"/>
        <w:jc w:val="both"/>
        <w:rPr>
          <w:rFonts w:ascii="Times New Roman" w:eastAsia="Times New Roman" w:hAnsi="Times New Roman" w:cs="Times New Roman"/>
          <w:sz w:val="24"/>
          <w:szCs w:val="24"/>
        </w:rPr>
      </w:pPr>
    </w:p>
    <w:p w14:paraId="5E2C58A7" w14:textId="77777777" w:rsidR="00E3080E"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u w:val="single"/>
        </w:rPr>
        <w:t>Factors Influencing Forecasting Performance:</w:t>
      </w:r>
    </w:p>
    <w:p w14:paraId="6651DEF3" w14:textId="77777777" w:rsidR="00E3080E"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macroeconomic activity, and the supply conditions, as well as the geopolitical events all contribute to the formation of the nonlinear dynamics in the price of crude-oil (Agan et al., 2026). In this regard, machine-learning, e.g., LSTM strategies, tend to achieve improved predictive accuracy when faced with multi-dimensional energy-market data.</w:t>
      </w:r>
    </w:p>
    <w:p w14:paraId="6DE2F9C6" w14:textId="77777777" w:rsidR="00E3080E" w:rsidRDefault="00E3080E">
      <w:pPr>
        <w:spacing w:line="240" w:lineRule="auto"/>
        <w:jc w:val="both"/>
        <w:rPr>
          <w:rFonts w:ascii="Times New Roman" w:eastAsia="Times New Roman" w:hAnsi="Times New Roman" w:cs="Times New Roman"/>
          <w:sz w:val="24"/>
          <w:szCs w:val="24"/>
        </w:rPr>
      </w:pPr>
    </w:p>
    <w:p w14:paraId="3795178B" w14:textId="5863ABDF" w:rsidR="00E3080E" w:rsidRDefault="0043194A">
      <w:pPr>
        <w:pStyle w:val="Heading1"/>
        <w:rPr>
          <w:color w:val="000000"/>
        </w:rPr>
      </w:pPr>
      <w:bookmarkStart w:id="13" w:name="_tbsit9m08dqr" w:colFirst="0" w:colLast="0"/>
      <w:bookmarkEnd w:id="13"/>
      <w:r>
        <w:rPr>
          <w:color w:val="000000"/>
        </w:rPr>
        <w:t>7. CONCLUSION AND FUTURE IMPROVEMENTS</w:t>
      </w:r>
    </w:p>
    <w:p w14:paraId="6DB4F7A6" w14:textId="77777777" w:rsidR="00E3080E" w:rsidRDefault="00E3080E">
      <w:pPr>
        <w:spacing w:line="240" w:lineRule="auto"/>
      </w:pPr>
    </w:p>
    <w:p w14:paraId="528D986F" w14:textId="77777777" w:rsidR="00E3080E"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current paper has proved that ARMA and LSTM models have the ability to predict the price of oil; however, the LSTM model has a strong ability to reproduce complex trends.</w:t>
      </w:r>
    </w:p>
    <w:p w14:paraId="1D1DC15A" w14:textId="77777777" w:rsidR="00E3080E"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According to Ray et al. (2023), Future studies could enhance forecasting accuracy by:</w:t>
      </w:r>
    </w:p>
    <w:p w14:paraId="198F6A2C" w14:textId="77777777" w:rsidR="00E3080E" w:rsidRDefault="00000000">
      <w:pPr>
        <w:numPr>
          <w:ilvl w:val="0"/>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Incorporation of external macroeconomic factors, such as supply, demand and geopolitical factors.</w:t>
      </w:r>
    </w:p>
    <w:p w14:paraId="2DE8D09C" w14:textId="77777777" w:rsidR="00E3080E" w:rsidRDefault="00000000">
      <w:pPr>
        <w:numPr>
          <w:ilvl w:val="0"/>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Building hybrid models that combine ARIMA and LSTM models.</w:t>
      </w:r>
    </w:p>
    <w:p w14:paraId="5797B41B" w14:textId="77777777" w:rsidR="00E3080E" w:rsidRDefault="00000000">
      <w:pPr>
        <w:numPr>
          <w:ilvl w:val="0"/>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Increasing the dataset to cover a broader period of time.</w:t>
      </w:r>
    </w:p>
    <w:p w14:paraId="71E55BED" w14:textId="77777777" w:rsidR="00E3080E" w:rsidRDefault="00000000">
      <w:pPr>
        <w:numPr>
          <w:ilvl w:val="0"/>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use of sophisticated deep-learning deep-networks to enhance predictive performance.</w:t>
      </w:r>
    </w:p>
    <w:p w14:paraId="0704976D" w14:textId="77777777" w:rsidR="00E3080E" w:rsidRDefault="00000000">
      <w:pPr>
        <w:numPr>
          <w:ilvl w:val="0"/>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Applying advanced deep learning architectures for improved prediction performance.</w:t>
      </w:r>
      <w:r>
        <w:br w:type="page"/>
      </w:r>
    </w:p>
    <w:p w14:paraId="5631DBAE" w14:textId="6A57EB12" w:rsidR="00E3080E" w:rsidRDefault="0043194A">
      <w:pPr>
        <w:pStyle w:val="Heading1"/>
        <w:ind w:left="720"/>
      </w:pPr>
      <w:bookmarkStart w:id="14" w:name="_7vpqwx8uc78z" w:colFirst="0" w:colLast="0"/>
      <w:bookmarkEnd w:id="14"/>
      <w:r>
        <w:lastRenderedPageBreak/>
        <w:t>REFERENCES</w:t>
      </w:r>
    </w:p>
    <w:p w14:paraId="51C58D0F" w14:textId="77777777" w:rsidR="00E3080E" w:rsidRDefault="00000000">
      <w:pPr>
        <w:spacing w:before="240" w:after="240"/>
        <w:jc w:val="both"/>
        <w:rPr>
          <w:rFonts w:ascii="Times New Roman" w:eastAsia="Times New Roman" w:hAnsi="Times New Roman" w:cs="Times New Roman"/>
          <w:sz w:val="24"/>
          <w:szCs w:val="24"/>
          <w:u w:val="single"/>
        </w:rPr>
      </w:pPr>
      <w:r>
        <w:rPr>
          <w:rFonts w:ascii="Times New Roman" w:eastAsia="Times New Roman" w:hAnsi="Times New Roman" w:cs="Times New Roman"/>
          <w:sz w:val="24"/>
          <w:szCs w:val="24"/>
        </w:rPr>
        <w:t xml:space="preserve">Agan, B., </w:t>
      </w:r>
      <w:proofErr w:type="spellStart"/>
      <w:r>
        <w:rPr>
          <w:rFonts w:ascii="Times New Roman" w:eastAsia="Times New Roman" w:hAnsi="Times New Roman" w:cs="Times New Roman"/>
          <w:sz w:val="24"/>
          <w:szCs w:val="24"/>
        </w:rPr>
        <w:t>Yulek</w:t>
      </w:r>
      <w:proofErr w:type="spellEnd"/>
      <w:r>
        <w:rPr>
          <w:rFonts w:ascii="Times New Roman" w:eastAsia="Times New Roman" w:hAnsi="Times New Roman" w:cs="Times New Roman"/>
          <w:sz w:val="24"/>
          <w:szCs w:val="24"/>
        </w:rPr>
        <w:t xml:space="preserve">, M. and Çelik, S., 2026. Comparative performance of stochastic and deep learning models in forecasting crude oil prices under market shocks. </w:t>
      </w:r>
      <w:r>
        <w:rPr>
          <w:rFonts w:ascii="Times New Roman" w:eastAsia="Times New Roman" w:hAnsi="Times New Roman" w:cs="Times New Roman"/>
          <w:i/>
          <w:iCs/>
          <w:sz w:val="24"/>
          <w:szCs w:val="24"/>
        </w:rPr>
        <w:t>Computers &amp; Chemical Engineering</w:t>
      </w:r>
      <w:r>
        <w:rPr>
          <w:rFonts w:ascii="Times New Roman" w:eastAsia="Times New Roman" w:hAnsi="Times New Roman" w:cs="Times New Roman"/>
          <w:sz w:val="24"/>
          <w:szCs w:val="24"/>
        </w:rPr>
        <w:t>, 206, p.109534.</w:t>
      </w:r>
      <w:hyperlink r:id="rId15">
        <w:r w:rsidR="00E3080E">
          <w:rPr>
            <w:rFonts w:ascii="Times New Roman" w:eastAsia="Times New Roman" w:hAnsi="Times New Roman" w:cs="Times New Roman"/>
            <w:sz w:val="24"/>
            <w:szCs w:val="24"/>
          </w:rPr>
          <w:t xml:space="preserve"> </w:t>
        </w:r>
      </w:hyperlink>
      <w:hyperlink r:id="rId16">
        <w:r w:rsidR="00E3080E">
          <w:rPr>
            <w:rFonts w:ascii="Times New Roman" w:eastAsia="Times New Roman" w:hAnsi="Times New Roman" w:cs="Times New Roman"/>
            <w:sz w:val="24"/>
            <w:szCs w:val="24"/>
            <w:u w:val="single"/>
          </w:rPr>
          <w:t>https://doi.org/10.1016/j.compchemeng.2025.109534</w:t>
        </w:r>
      </w:hyperlink>
    </w:p>
    <w:p w14:paraId="22C1530A" w14:textId="77777777" w:rsidR="00E3080E" w:rsidRDefault="00000000">
      <w:pPr>
        <w:spacing w:before="240" w:after="240"/>
        <w:jc w:val="both"/>
        <w:rPr>
          <w:rFonts w:ascii="Times New Roman" w:eastAsia="Times New Roman" w:hAnsi="Times New Roman" w:cs="Times New Roman"/>
          <w:sz w:val="24"/>
          <w:szCs w:val="24"/>
          <w:u w:val="single"/>
        </w:rPr>
      </w:pPr>
      <w:r>
        <w:rPr>
          <w:rFonts w:ascii="Times New Roman" w:eastAsia="Times New Roman" w:hAnsi="Times New Roman" w:cs="Times New Roman"/>
          <w:sz w:val="24"/>
          <w:szCs w:val="24"/>
        </w:rPr>
        <w:t xml:space="preserve">Brown, M., Chen, E., Lee, S., Taylor, J., Kim, A. and Johnson, R., 2024. Comparative analysis of LSTM and traditional time series models on oil price data. </w:t>
      </w:r>
      <w:r>
        <w:rPr>
          <w:rFonts w:ascii="Times New Roman" w:eastAsia="Times New Roman" w:hAnsi="Times New Roman" w:cs="Times New Roman"/>
          <w:i/>
          <w:iCs/>
          <w:sz w:val="24"/>
          <w:szCs w:val="24"/>
        </w:rPr>
        <w:t>Preprints</w:t>
      </w:r>
      <w:r>
        <w:rPr>
          <w:rFonts w:ascii="Times New Roman" w:eastAsia="Times New Roman" w:hAnsi="Times New Roman" w:cs="Times New Roman"/>
          <w:sz w:val="24"/>
          <w:szCs w:val="24"/>
        </w:rPr>
        <w:t>.</w:t>
      </w:r>
      <w:hyperlink r:id="rId17">
        <w:r w:rsidR="00E3080E">
          <w:rPr>
            <w:rFonts w:ascii="Times New Roman" w:eastAsia="Times New Roman" w:hAnsi="Times New Roman" w:cs="Times New Roman"/>
            <w:sz w:val="24"/>
            <w:szCs w:val="24"/>
          </w:rPr>
          <w:t xml:space="preserve"> </w:t>
        </w:r>
      </w:hyperlink>
      <w:hyperlink r:id="rId18">
        <w:r w:rsidR="00E3080E">
          <w:rPr>
            <w:rFonts w:ascii="Times New Roman" w:eastAsia="Times New Roman" w:hAnsi="Times New Roman" w:cs="Times New Roman"/>
            <w:sz w:val="24"/>
            <w:szCs w:val="24"/>
            <w:u w:val="single"/>
          </w:rPr>
          <w:t>https://doi.org/10.20944/preprints202410.2355.v1</w:t>
        </w:r>
      </w:hyperlink>
    </w:p>
    <w:p w14:paraId="6D9B7142" w14:textId="77777777" w:rsidR="00E3080E" w:rsidRDefault="00000000">
      <w:pPr>
        <w:spacing w:before="240" w:after="240"/>
        <w:jc w:val="both"/>
        <w:rPr>
          <w:rFonts w:ascii="Times New Roman" w:eastAsia="Times New Roman" w:hAnsi="Times New Roman" w:cs="Times New Roman"/>
          <w:sz w:val="24"/>
          <w:szCs w:val="24"/>
          <w:u w:val="single"/>
        </w:rPr>
      </w:pPr>
      <w:r>
        <w:rPr>
          <w:rFonts w:ascii="Times New Roman" w:eastAsia="Times New Roman" w:hAnsi="Times New Roman" w:cs="Times New Roman"/>
          <w:sz w:val="24"/>
          <w:szCs w:val="24"/>
        </w:rPr>
        <w:t xml:space="preserve">Fu, X., 2023. Oil price forecasting model based on GARCH-LSTM model. </w:t>
      </w:r>
      <w:r>
        <w:rPr>
          <w:rFonts w:ascii="Times New Roman" w:eastAsia="Times New Roman" w:hAnsi="Times New Roman" w:cs="Times New Roman"/>
          <w:i/>
          <w:iCs/>
          <w:sz w:val="24"/>
          <w:szCs w:val="24"/>
        </w:rPr>
        <w:t>Frontiers in Business, Economics and Management</w:t>
      </w:r>
      <w:r>
        <w:rPr>
          <w:rFonts w:ascii="Times New Roman" w:eastAsia="Times New Roman" w:hAnsi="Times New Roman" w:cs="Times New Roman"/>
          <w:sz w:val="24"/>
          <w:szCs w:val="24"/>
        </w:rPr>
        <w:t>, 10(3), pp.28–31.</w:t>
      </w:r>
      <w:hyperlink r:id="rId19">
        <w:r w:rsidR="00E3080E">
          <w:rPr>
            <w:rFonts w:ascii="Times New Roman" w:eastAsia="Times New Roman" w:hAnsi="Times New Roman" w:cs="Times New Roman"/>
            <w:sz w:val="24"/>
            <w:szCs w:val="24"/>
          </w:rPr>
          <w:t xml:space="preserve"> </w:t>
        </w:r>
      </w:hyperlink>
      <w:hyperlink r:id="rId20">
        <w:r w:rsidR="00E3080E">
          <w:rPr>
            <w:rFonts w:ascii="Times New Roman" w:eastAsia="Times New Roman" w:hAnsi="Times New Roman" w:cs="Times New Roman"/>
            <w:sz w:val="24"/>
            <w:szCs w:val="24"/>
            <w:u w:val="single"/>
          </w:rPr>
          <w:t>https://doi.org/10.54097/fbem.v10i3.11205</w:t>
        </w:r>
      </w:hyperlink>
    </w:p>
    <w:p w14:paraId="7F54EDE1" w14:textId="77777777" w:rsidR="00E3080E" w:rsidRDefault="00000000">
      <w:pPr>
        <w:spacing w:before="240" w:after="240"/>
        <w:jc w:val="both"/>
        <w:rPr>
          <w:rFonts w:ascii="Times New Roman" w:eastAsia="Times New Roman" w:hAnsi="Times New Roman" w:cs="Times New Roman"/>
          <w:sz w:val="24"/>
          <w:szCs w:val="24"/>
          <w:u w:val="single"/>
        </w:rPr>
      </w:pPr>
      <w:r>
        <w:rPr>
          <w:rFonts w:ascii="Times New Roman" w:eastAsia="Times New Roman" w:hAnsi="Times New Roman" w:cs="Times New Roman"/>
          <w:sz w:val="24"/>
          <w:szCs w:val="24"/>
        </w:rPr>
        <w:t xml:space="preserve">Hossain, M.L., Shams, S.M.N. and Ullah, S.M., 2025. Time-series and deep learning approaches for renewable energy forecasting in Dhaka: a comparative study of ARIMA, SARIMA, and LSTM models. </w:t>
      </w:r>
      <w:r>
        <w:rPr>
          <w:rFonts w:ascii="Times New Roman" w:eastAsia="Times New Roman" w:hAnsi="Times New Roman" w:cs="Times New Roman"/>
          <w:i/>
          <w:iCs/>
          <w:sz w:val="24"/>
          <w:szCs w:val="24"/>
        </w:rPr>
        <w:t>Discover Sustainability</w:t>
      </w:r>
      <w:r>
        <w:rPr>
          <w:rFonts w:ascii="Times New Roman" w:eastAsia="Times New Roman" w:hAnsi="Times New Roman" w:cs="Times New Roman"/>
          <w:sz w:val="24"/>
          <w:szCs w:val="24"/>
        </w:rPr>
        <w:t>, 6, p.775.</w:t>
      </w:r>
      <w:hyperlink r:id="rId21">
        <w:r w:rsidR="00E3080E">
          <w:rPr>
            <w:rFonts w:ascii="Times New Roman" w:eastAsia="Times New Roman" w:hAnsi="Times New Roman" w:cs="Times New Roman"/>
            <w:sz w:val="24"/>
            <w:szCs w:val="24"/>
          </w:rPr>
          <w:t xml:space="preserve"> </w:t>
        </w:r>
      </w:hyperlink>
      <w:hyperlink r:id="rId22">
        <w:r w:rsidR="00E3080E">
          <w:rPr>
            <w:rFonts w:ascii="Times New Roman" w:eastAsia="Times New Roman" w:hAnsi="Times New Roman" w:cs="Times New Roman"/>
            <w:sz w:val="24"/>
            <w:szCs w:val="24"/>
            <w:u w:val="single"/>
          </w:rPr>
          <w:t>https://doi.org/10.1007/s43621-025-01733-5</w:t>
        </w:r>
      </w:hyperlink>
    </w:p>
    <w:p w14:paraId="7836C925" w14:textId="77777777" w:rsidR="00E3080E" w:rsidRDefault="00000000">
      <w:pPr>
        <w:spacing w:before="240" w:after="240"/>
        <w:jc w:val="both"/>
        <w:rPr>
          <w:rFonts w:ascii="Times New Roman" w:eastAsia="Times New Roman" w:hAnsi="Times New Roman" w:cs="Times New Roman"/>
          <w:sz w:val="24"/>
          <w:szCs w:val="24"/>
          <w:u w:val="single"/>
        </w:rPr>
      </w:pPr>
      <w:r>
        <w:rPr>
          <w:rFonts w:ascii="Times New Roman" w:eastAsia="Times New Roman" w:hAnsi="Times New Roman" w:cs="Times New Roman"/>
          <w:sz w:val="24"/>
          <w:szCs w:val="24"/>
        </w:rPr>
        <w:t xml:space="preserve">Rao, A., Sharma, G.D., Tiwari, A.K., Hossain, M.R. and Dev, D., 2025. Crude oil price forecasting: Leveraging machine learning for global economic stability. </w:t>
      </w:r>
      <w:r>
        <w:rPr>
          <w:rFonts w:ascii="Times New Roman" w:eastAsia="Times New Roman" w:hAnsi="Times New Roman" w:cs="Times New Roman"/>
          <w:i/>
          <w:iCs/>
          <w:sz w:val="24"/>
          <w:szCs w:val="24"/>
        </w:rPr>
        <w:t>Technological Forecasting and Social Change</w:t>
      </w:r>
      <w:r>
        <w:rPr>
          <w:rFonts w:ascii="Times New Roman" w:eastAsia="Times New Roman" w:hAnsi="Times New Roman" w:cs="Times New Roman"/>
          <w:sz w:val="24"/>
          <w:szCs w:val="24"/>
        </w:rPr>
        <w:t>, 216, p.124133.</w:t>
      </w:r>
      <w:hyperlink r:id="rId23">
        <w:r w:rsidR="00E3080E">
          <w:rPr>
            <w:rFonts w:ascii="Times New Roman" w:eastAsia="Times New Roman" w:hAnsi="Times New Roman" w:cs="Times New Roman"/>
            <w:sz w:val="24"/>
            <w:szCs w:val="24"/>
          </w:rPr>
          <w:t xml:space="preserve"> </w:t>
        </w:r>
      </w:hyperlink>
      <w:hyperlink r:id="rId24">
        <w:r w:rsidR="00E3080E">
          <w:rPr>
            <w:rFonts w:ascii="Times New Roman" w:eastAsia="Times New Roman" w:hAnsi="Times New Roman" w:cs="Times New Roman"/>
            <w:sz w:val="24"/>
            <w:szCs w:val="24"/>
            <w:u w:val="single"/>
          </w:rPr>
          <w:t>https://doi.org/10.1016/j.techfore.2025.124133</w:t>
        </w:r>
      </w:hyperlink>
    </w:p>
    <w:p w14:paraId="68CF8CBF" w14:textId="77777777" w:rsidR="00E3080E" w:rsidRDefault="00000000">
      <w:pPr>
        <w:spacing w:before="240" w:after="240"/>
        <w:jc w:val="both"/>
        <w:rPr>
          <w:rFonts w:ascii="Times New Roman" w:eastAsia="Times New Roman" w:hAnsi="Times New Roman" w:cs="Times New Roman"/>
          <w:sz w:val="24"/>
          <w:szCs w:val="24"/>
          <w:u w:val="single"/>
        </w:rPr>
      </w:pPr>
      <w:r>
        <w:rPr>
          <w:rFonts w:ascii="Times New Roman" w:eastAsia="Times New Roman" w:hAnsi="Times New Roman" w:cs="Times New Roman"/>
          <w:sz w:val="24"/>
          <w:szCs w:val="24"/>
        </w:rPr>
        <w:t xml:space="preserve">Ray, S., Lama, A., Mishra, P., Biswas, T., Das, S.S. and Gurung, B., 2023. An ARIMA-LSTM model for predicting volatile agricultural price series with random forest technique. </w:t>
      </w:r>
      <w:r>
        <w:rPr>
          <w:rFonts w:ascii="Times New Roman" w:eastAsia="Times New Roman" w:hAnsi="Times New Roman" w:cs="Times New Roman"/>
          <w:i/>
          <w:iCs/>
          <w:sz w:val="24"/>
          <w:szCs w:val="24"/>
        </w:rPr>
        <w:t>Applied Soft Computing</w:t>
      </w:r>
      <w:r>
        <w:rPr>
          <w:rFonts w:ascii="Times New Roman" w:eastAsia="Times New Roman" w:hAnsi="Times New Roman" w:cs="Times New Roman"/>
          <w:sz w:val="24"/>
          <w:szCs w:val="24"/>
        </w:rPr>
        <w:t>, 149, p.110939.</w:t>
      </w:r>
      <w:hyperlink r:id="rId25">
        <w:r w:rsidR="00E3080E">
          <w:rPr>
            <w:rFonts w:ascii="Times New Roman" w:eastAsia="Times New Roman" w:hAnsi="Times New Roman" w:cs="Times New Roman"/>
            <w:sz w:val="24"/>
            <w:szCs w:val="24"/>
          </w:rPr>
          <w:t xml:space="preserve"> </w:t>
        </w:r>
      </w:hyperlink>
      <w:hyperlink r:id="rId26">
        <w:r w:rsidR="00E3080E">
          <w:rPr>
            <w:rFonts w:ascii="Times New Roman" w:eastAsia="Times New Roman" w:hAnsi="Times New Roman" w:cs="Times New Roman"/>
            <w:sz w:val="24"/>
            <w:szCs w:val="24"/>
            <w:u w:val="single"/>
          </w:rPr>
          <w:t>https://doi.org/10.1016/j.asoc.2023.110939</w:t>
        </w:r>
      </w:hyperlink>
    </w:p>
    <w:p w14:paraId="7D576269" w14:textId="77777777" w:rsidR="00E3080E" w:rsidRDefault="00000000">
      <w:pPr>
        <w:spacing w:before="240" w:after="240"/>
        <w:jc w:val="both"/>
        <w:rPr>
          <w:rFonts w:ascii="Times New Roman" w:eastAsia="Times New Roman" w:hAnsi="Times New Roman" w:cs="Times New Roman"/>
          <w:sz w:val="24"/>
          <w:szCs w:val="24"/>
          <w:u w:val="single"/>
        </w:rPr>
      </w:pPr>
      <w:proofErr w:type="spellStart"/>
      <w:r>
        <w:rPr>
          <w:rFonts w:ascii="Times New Roman" w:eastAsia="Times New Roman" w:hAnsi="Times New Roman" w:cs="Times New Roman"/>
          <w:sz w:val="24"/>
          <w:szCs w:val="24"/>
        </w:rPr>
        <w:t>Tsoku</w:t>
      </w:r>
      <w:proofErr w:type="spellEnd"/>
      <w:r>
        <w:rPr>
          <w:rFonts w:ascii="Times New Roman" w:eastAsia="Times New Roman" w:hAnsi="Times New Roman" w:cs="Times New Roman"/>
          <w:sz w:val="24"/>
          <w:szCs w:val="24"/>
        </w:rPr>
        <w:t xml:space="preserve">, J.T., Metsileng, D. and </w:t>
      </w:r>
      <w:proofErr w:type="spellStart"/>
      <w:r>
        <w:rPr>
          <w:rFonts w:ascii="Times New Roman" w:eastAsia="Times New Roman" w:hAnsi="Times New Roman" w:cs="Times New Roman"/>
          <w:sz w:val="24"/>
          <w:szCs w:val="24"/>
        </w:rPr>
        <w:t>Botlhoko</w:t>
      </w:r>
      <w:proofErr w:type="spellEnd"/>
      <w:r>
        <w:rPr>
          <w:rFonts w:ascii="Times New Roman" w:eastAsia="Times New Roman" w:hAnsi="Times New Roman" w:cs="Times New Roman"/>
          <w:sz w:val="24"/>
          <w:szCs w:val="24"/>
        </w:rPr>
        <w:t xml:space="preserve">, T., 2024. A hybrid of Box-Jenkins ARIMA model and neural networks for forecasting South African crude oil prices. </w:t>
      </w:r>
      <w:r>
        <w:rPr>
          <w:rFonts w:ascii="Times New Roman" w:eastAsia="Times New Roman" w:hAnsi="Times New Roman" w:cs="Times New Roman"/>
          <w:i/>
          <w:iCs/>
          <w:sz w:val="24"/>
          <w:szCs w:val="24"/>
        </w:rPr>
        <w:t>International Journal of Financial Studies</w:t>
      </w:r>
      <w:r>
        <w:rPr>
          <w:rFonts w:ascii="Times New Roman" w:eastAsia="Times New Roman" w:hAnsi="Times New Roman" w:cs="Times New Roman"/>
          <w:sz w:val="24"/>
          <w:szCs w:val="24"/>
        </w:rPr>
        <w:t>, 12(4), p.118.</w:t>
      </w:r>
      <w:hyperlink r:id="rId27">
        <w:r w:rsidR="00E3080E">
          <w:rPr>
            <w:rFonts w:ascii="Times New Roman" w:eastAsia="Times New Roman" w:hAnsi="Times New Roman" w:cs="Times New Roman"/>
            <w:sz w:val="24"/>
            <w:szCs w:val="24"/>
          </w:rPr>
          <w:t xml:space="preserve"> </w:t>
        </w:r>
      </w:hyperlink>
      <w:hyperlink r:id="rId28">
        <w:r w:rsidR="00E3080E">
          <w:rPr>
            <w:rFonts w:ascii="Times New Roman" w:eastAsia="Times New Roman" w:hAnsi="Times New Roman" w:cs="Times New Roman"/>
            <w:sz w:val="24"/>
            <w:szCs w:val="24"/>
            <w:u w:val="single"/>
          </w:rPr>
          <w:t>https://doi.org/10.3390/ijfs12040118</w:t>
        </w:r>
      </w:hyperlink>
    </w:p>
    <w:p w14:paraId="1C674CFC" w14:textId="77777777" w:rsidR="00E3080E" w:rsidRDefault="00000000">
      <w:pPr>
        <w:spacing w:before="240" w:after="240"/>
        <w:jc w:val="both"/>
        <w:rPr>
          <w:rFonts w:ascii="Times New Roman" w:eastAsia="Times New Roman" w:hAnsi="Times New Roman" w:cs="Times New Roman"/>
          <w:sz w:val="24"/>
          <w:szCs w:val="24"/>
          <w:u w:val="single"/>
        </w:rPr>
      </w:pPr>
      <w:r>
        <w:rPr>
          <w:rFonts w:ascii="Times New Roman" w:eastAsia="Times New Roman" w:hAnsi="Times New Roman" w:cs="Times New Roman"/>
          <w:sz w:val="24"/>
          <w:szCs w:val="24"/>
        </w:rPr>
        <w:t xml:space="preserve">Wang, T., 2024. WTI crude oil price forecasting for the next year using ARIMA model. </w:t>
      </w:r>
      <w:r>
        <w:rPr>
          <w:rFonts w:ascii="Times New Roman" w:eastAsia="Times New Roman" w:hAnsi="Times New Roman" w:cs="Times New Roman"/>
          <w:i/>
          <w:iCs/>
          <w:sz w:val="24"/>
          <w:szCs w:val="24"/>
        </w:rPr>
        <w:t>Highlights in Science, Engineering and Technology</w:t>
      </w:r>
      <w:r>
        <w:rPr>
          <w:rFonts w:ascii="Times New Roman" w:eastAsia="Times New Roman" w:hAnsi="Times New Roman" w:cs="Times New Roman"/>
          <w:sz w:val="24"/>
          <w:szCs w:val="24"/>
        </w:rPr>
        <w:t>, 88, pp.804–809.</w:t>
      </w:r>
      <w:hyperlink r:id="rId29">
        <w:r w:rsidR="00E3080E">
          <w:rPr>
            <w:rFonts w:ascii="Times New Roman" w:eastAsia="Times New Roman" w:hAnsi="Times New Roman" w:cs="Times New Roman"/>
            <w:sz w:val="24"/>
            <w:szCs w:val="24"/>
          </w:rPr>
          <w:t xml:space="preserve"> </w:t>
        </w:r>
      </w:hyperlink>
      <w:hyperlink r:id="rId30">
        <w:r w:rsidR="00E3080E">
          <w:rPr>
            <w:rFonts w:ascii="Times New Roman" w:eastAsia="Times New Roman" w:hAnsi="Times New Roman" w:cs="Times New Roman"/>
            <w:sz w:val="24"/>
            <w:szCs w:val="24"/>
            <w:u w:val="single"/>
          </w:rPr>
          <w:t>https://doi.org/10.54097/c70fak89</w:t>
        </w:r>
      </w:hyperlink>
    </w:p>
    <w:p w14:paraId="42011652" w14:textId="77777777" w:rsidR="00E3080E" w:rsidRDefault="00000000">
      <w:pPr>
        <w:spacing w:before="240" w:after="240"/>
        <w:jc w:val="both"/>
        <w:rPr>
          <w:rFonts w:ascii="Times New Roman" w:eastAsia="Times New Roman" w:hAnsi="Times New Roman" w:cs="Times New Roman"/>
          <w:sz w:val="24"/>
          <w:szCs w:val="24"/>
          <w:u w:val="single"/>
        </w:rPr>
      </w:pPr>
      <w:r>
        <w:rPr>
          <w:rFonts w:ascii="Times New Roman" w:eastAsia="Times New Roman" w:hAnsi="Times New Roman" w:cs="Times New Roman"/>
          <w:sz w:val="24"/>
          <w:szCs w:val="24"/>
        </w:rPr>
        <w:t xml:space="preserve">Zhao, Y., Hu, B. and Wang, S., 2024. Application of LSTM models in forecasting Brent crude oil prices during the green energy transition. </w:t>
      </w:r>
      <w:r>
        <w:rPr>
          <w:rFonts w:ascii="Times New Roman" w:eastAsia="Times New Roman" w:hAnsi="Times New Roman" w:cs="Times New Roman"/>
          <w:i/>
          <w:iCs/>
          <w:sz w:val="24"/>
          <w:szCs w:val="24"/>
        </w:rPr>
        <w:t>Advances in Economics, Management and Political Sciences</w:t>
      </w:r>
      <w:r>
        <w:rPr>
          <w:rFonts w:ascii="Times New Roman" w:eastAsia="Times New Roman" w:hAnsi="Times New Roman" w:cs="Times New Roman"/>
          <w:sz w:val="24"/>
          <w:szCs w:val="24"/>
        </w:rPr>
        <w:t>, 132, pp.177–182.</w:t>
      </w:r>
      <w:hyperlink r:id="rId31">
        <w:r w:rsidR="00E3080E">
          <w:rPr>
            <w:rFonts w:ascii="Times New Roman" w:eastAsia="Times New Roman" w:hAnsi="Times New Roman" w:cs="Times New Roman"/>
            <w:sz w:val="24"/>
            <w:szCs w:val="24"/>
          </w:rPr>
          <w:t xml:space="preserve"> </w:t>
        </w:r>
      </w:hyperlink>
      <w:hyperlink r:id="rId32">
        <w:r w:rsidR="00E3080E">
          <w:rPr>
            <w:rFonts w:ascii="Times New Roman" w:eastAsia="Times New Roman" w:hAnsi="Times New Roman" w:cs="Times New Roman"/>
            <w:sz w:val="24"/>
            <w:szCs w:val="24"/>
            <w:u w:val="single"/>
          </w:rPr>
          <w:t>https://doi.org/10.54254/2754-1169/2024.18460</w:t>
        </w:r>
      </w:hyperlink>
    </w:p>
    <w:p w14:paraId="3EC21929" w14:textId="77777777" w:rsidR="00E3080E" w:rsidRDefault="00E3080E">
      <w:pPr>
        <w:rPr>
          <w:rFonts w:ascii="Times New Roman" w:eastAsia="Times New Roman" w:hAnsi="Times New Roman" w:cs="Times New Roman"/>
          <w:sz w:val="24"/>
          <w:szCs w:val="24"/>
        </w:rPr>
      </w:pPr>
    </w:p>
    <w:sectPr w:rsidR="00E3080E" w:rsidSect="001E36BD">
      <w:footerReference w:type="default" r:id="rId33"/>
      <w:pgSz w:w="11909" w:h="16834"/>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AFBD42" w14:textId="77777777" w:rsidR="00110AA8" w:rsidRDefault="00110AA8" w:rsidP="001E36BD">
      <w:pPr>
        <w:spacing w:line="240" w:lineRule="auto"/>
      </w:pPr>
      <w:r>
        <w:separator/>
      </w:r>
    </w:p>
  </w:endnote>
  <w:endnote w:type="continuationSeparator" w:id="0">
    <w:p w14:paraId="7C4E7715" w14:textId="77777777" w:rsidR="00110AA8" w:rsidRDefault="00110AA8" w:rsidP="001E36B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ungsuh">
    <w:charset w:val="81"/>
    <w:family w:val="roman"/>
    <w:pitch w:val="variable"/>
    <w:sig w:usb0="B00002AF" w:usb1="69D77CFB" w:usb2="00000030" w:usb3="00000000" w:csb0="0008009F" w:csb1="00000000"/>
  </w:font>
  <w:font w:name="Cambria Math">
    <w:panose1 w:val="02040503050406030204"/>
    <w:charset w:val="00"/>
    <w:family w:val="roman"/>
    <w:pitch w:val="variable"/>
    <w:sig w:usb0="E00006FF" w:usb1="420024FF" w:usb2="02000000" w:usb3="00000000" w:csb0="0000019F" w:csb1="00000000"/>
    <w:embedRegular r:id="rId1" w:fontKey="{7A4BF4D1-6205-494F-B932-4576C39FFB80}"/>
  </w:font>
  <w:font w:name="Calibri">
    <w:panose1 w:val="020F0502020204030204"/>
    <w:charset w:val="00"/>
    <w:family w:val="swiss"/>
    <w:pitch w:val="variable"/>
    <w:sig w:usb0="E4002EFF" w:usb1="C200247B" w:usb2="00000009" w:usb3="00000000" w:csb0="000001FF" w:csb1="00000000"/>
    <w:embedRegular r:id="rId2" w:fontKey="{ADE9F81D-D678-465D-8DF8-6D99D288B3EF}"/>
  </w:font>
  <w:font w:name="Cambria">
    <w:panose1 w:val="02040503050406030204"/>
    <w:charset w:val="00"/>
    <w:family w:val="roman"/>
    <w:pitch w:val="variable"/>
    <w:sig w:usb0="E00006FF" w:usb1="420024FF" w:usb2="02000000" w:usb3="00000000" w:csb0="0000019F" w:csb1="00000000"/>
    <w:embedRegular r:id="rId3" w:fontKey="{7C380E9F-D3D1-42C0-8E90-0887B09BD0D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89699142"/>
      <w:docPartObj>
        <w:docPartGallery w:val="Page Numbers (Bottom of Page)"/>
        <w:docPartUnique/>
      </w:docPartObj>
    </w:sdtPr>
    <w:sdtEndPr>
      <w:rPr>
        <w:noProof/>
      </w:rPr>
    </w:sdtEndPr>
    <w:sdtContent>
      <w:p w14:paraId="71104444" w14:textId="60DD5242" w:rsidR="001E36BD" w:rsidRDefault="001E36BD">
        <w:pPr>
          <w:pStyle w:val="Footer"/>
          <w:jc w:val="right"/>
        </w:pPr>
        <w:r w:rsidRPr="001E36BD">
          <w:rPr>
            <w:rFonts w:ascii="Times New Roman" w:hAnsi="Times New Roman" w:cs="Times New Roman"/>
            <w:b/>
            <w:bCs/>
          </w:rPr>
          <w:t>P</w:t>
        </w:r>
        <w:r w:rsidRPr="001E36BD">
          <w:rPr>
            <w:rFonts w:ascii="Times New Roman" w:hAnsi="Times New Roman" w:cs="Times New Roman"/>
          </w:rPr>
          <w:t xml:space="preserve">age </w:t>
        </w:r>
        <w:r w:rsidRPr="001E36BD">
          <w:rPr>
            <w:rFonts w:ascii="Times New Roman" w:hAnsi="Times New Roman" w:cs="Times New Roman"/>
          </w:rPr>
          <w:fldChar w:fldCharType="begin"/>
        </w:r>
        <w:r w:rsidRPr="001E36BD">
          <w:rPr>
            <w:rFonts w:ascii="Times New Roman" w:hAnsi="Times New Roman" w:cs="Times New Roman"/>
          </w:rPr>
          <w:instrText xml:space="preserve"> PAGE   \* MERGEFORMAT </w:instrText>
        </w:r>
        <w:r w:rsidRPr="001E36BD">
          <w:rPr>
            <w:rFonts w:ascii="Times New Roman" w:hAnsi="Times New Roman" w:cs="Times New Roman"/>
          </w:rPr>
          <w:fldChar w:fldCharType="separate"/>
        </w:r>
        <w:r w:rsidRPr="001E36BD">
          <w:rPr>
            <w:rFonts w:ascii="Times New Roman" w:hAnsi="Times New Roman" w:cs="Times New Roman"/>
            <w:noProof/>
          </w:rPr>
          <w:t>2</w:t>
        </w:r>
        <w:r w:rsidRPr="001E36BD">
          <w:rPr>
            <w:rFonts w:ascii="Times New Roman" w:hAnsi="Times New Roman" w:cs="Times New Roman"/>
            <w:noProof/>
          </w:rPr>
          <w:fldChar w:fldCharType="end"/>
        </w:r>
      </w:p>
    </w:sdtContent>
  </w:sdt>
  <w:p w14:paraId="6049D559" w14:textId="77777777" w:rsidR="001E36BD" w:rsidRDefault="001E36B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9A0D58" w14:textId="77777777" w:rsidR="00110AA8" w:rsidRDefault="00110AA8" w:rsidP="001E36BD">
      <w:pPr>
        <w:spacing w:line="240" w:lineRule="auto"/>
      </w:pPr>
      <w:r>
        <w:separator/>
      </w:r>
    </w:p>
  </w:footnote>
  <w:footnote w:type="continuationSeparator" w:id="0">
    <w:p w14:paraId="52272497" w14:textId="77777777" w:rsidR="00110AA8" w:rsidRDefault="00110AA8" w:rsidP="001E36B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8370E4"/>
    <w:multiLevelType w:val="multilevel"/>
    <w:tmpl w:val="571ADC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1504862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080E"/>
    <w:rsid w:val="000454AB"/>
    <w:rsid w:val="00110AA8"/>
    <w:rsid w:val="0013255B"/>
    <w:rsid w:val="001E36BD"/>
    <w:rsid w:val="00396626"/>
    <w:rsid w:val="0043194A"/>
    <w:rsid w:val="00856E2F"/>
    <w:rsid w:val="00AE2093"/>
    <w:rsid w:val="00D4605F"/>
    <w:rsid w:val="00E3080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8CD9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line="360" w:lineRule="auto"/>
      <w:jc w:val="center"/>
      <w:outlineLvl w:val="0"/>
    </w:pPr>
    <w:rPr>
      <w:rFonts w:ascii="Times New Roman" w:eastAsia="Times New Roman" w:hAnsi="Times New Roman" w:cs="Times New Roman"/>
      <w:b/>
      <w:bCs/>
      <w:sz w:val="26"/>
      <w:szCs w:val="26"/>
    </w:rPr>
  </w:style>
  <w:style w:type="paragraph" w:styleId="Heading2">
    <w:name w:val="heading 2"/>
    <w:basedOn w:val="Normal"/>
    <w:next w:val="Normal"/>
    <w:uiPriority w:val="9"/>
    <w:unhideWhenUsed/>
    <w:qFormat/>
    <w:pPr>
      <w:keepNext/>
      <w:keepLines/>
      <w:spacing w:line="360" w:lineRule="auto"/>
      <w:jc w:val="both"/>
      <w:outlineLvl w:val="1"/>
    </w:pPr>
    <w:rPr>
      <w:rFonts w:ascii="Times New Roman" w:eastAsia="Times New Roman" w:hAnsi="Times New Roman" w:cs="Times New Roman"/>
      <w:b/>
      <w:bCs/>
      <w:color w:val="303030"/>
      <w:sz w:val="26"/>
      <w:szCs w:val="26"/>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paragraph" w:styleId="Header">
    <w:name w:val="header"/>
    <w:basedOn w:val="Normal"/>
    <w:link w:val="HeaderChar"/>
    <w:uiPriority w:val="99"/>
    <w:unhideWhenUsed/>
    <w:rsid w:val="001E36BD"/>
    <w:pPr>
      <w:tabs>
        <w:tab w:val="center" w:pos="4513"/>
        <w:tab w:val="right" w:pos="9026"/>
      </w:tabs>
      <w:spacing w:line="240" w:lineRule="auto"/>
    </w:pPr>
  </w:style>
  <w:style w:type="character" w:customStyle="1" w:styleId="HeaderChar">
    <w:name w:val="Header Char"/>
    <w:basedOn w:val="DefaultParagraphFont"/>
    <w:link w:val="Header"/>
    <w:uiPriority w:val="99"/>
    <w:rsid w:val="001E36BD"/>
  </w:style>
  <w:style w:type="paragraph" w:styleId="Footer">
    <w:name w:val="footer"/>
    <w:basedOn w:val="Normal"/>
    <w:link w:val="FooterChar"/>
    <w:uiPriority w:val="99"/>
    <w:unhideWhenUsed/>
    <w:rsid w:val="001E36BD"/>
    <w:pPr>
      <w:tabs>
        <w:tab w:val="center" w:pos="4513"/>
        <w:tab w:val="right" w:pos="9026"/>
      </w:tabs>
      <w:spacing w:line="240" w:lineRule="auto"/>
    </w:pPr>
  </w:style>
  <w:style w:type="character" w:customStyle="1" w:styleId="FooterChar">
    <w:name w:val="Footer Char"/>
    <w:basedOn w:val="DefaultParagraphFont"/>
    <w:link w:val="Footer"/>
    <w:uiPriority w:val="99"/>
    <w:rsid w:val="001E36BD"/>
  </w:style>
  <w:style w:type="character" w:styleId="Hyperlink">
    <w:name w:val="Hyperlink"/>
    <w:basedOn w:val="DefaultParagraphFont"/>
    <w:uiPriority w:val="99"/>
    <w:unhideWhenUsed/>
    <w:rsid w:val="00D4605F"/>
    <w:rPr>
      <w:color w:val="0000FF" w:themeColor="hyperlink"/>
      <w:u w:val="single"/>
    </w:rPr>
  </w:style>
  <w:style w:type="character" w:styleId="UnresolvedMention">
    <w:name w:val="Unresolved Mention"/>
    <w:basedOn w:val="DefaultParagraphFont"/>
    <w:uiPriority w:val="99"/>
    <w:semiHidden/>
    <w:unhideWhenUsed/>
    <w:rsid w:val="00D4605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s://doi.org/10.20944/preprints202410.2355.v1" TargetMode="External"/><Relationship Id="rId26" Type="http://schemas.openxmlformats.org/officeDocument/2006/relationships/hyperlink" Target="https://doi.org/10.1016/j.asoc.2023.110939" TargetMode="External"/><Relationship Id="rId3" Type="http://schemas.openxmlformats.org/officeDocument/2006/relationships/settings" Target="settings.xml"/><Relationship Id="rId21" Type="http://schemas.openxmlformats.org/officeDocument/2006/relationships/hyperlink" Target="https://doi.org/10.1007/s43621-025-01733-5" TargetMode="External"/><Relationship Id="rId34" Type="http://schemas.openxmlformats.org/officeDocument/2006/relationships/fontTable" Target="fontTable.xml"/><Relationship Id="rId7" Type="http://schemas.openxmlformats.org/officeDocument/2006/relationships/hyperlink" Target="mailto:Nasarreddy903@gmail.com" TargetMode="External"/><Relationship Id="rId12" Type="http://schemas.openxmlformats.org/officeDocument/2006/relationships/image" Target="media/image5.png"/><Relationship Id="rId17" Type="http://schemas.openxmlformats.org/officeDocument/2006/relationships/hyperlink" Target="https://doi.org/10.20944/preprints202410.2355.v1" TargetMode="External"/><Relationship Id="rId25" Type="http://schemas.openxmlformats.org/officeDocument/2006/relationships/hyperlink" Target="https://doi.org/10.1016/j.asoc.2023.110939" TargetMode="External"/><Relationship Id="rId33"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s://doi.org/10.1016/j.compchemeng.2025.109534" TargetMode="External"/><Relationship Id="rId20" Type="http://schemas.openxmlformats.org/officeDocument/2006/relationships/hyperlink" Target="https://doi.org/10.54097/fbem.v10i3.11205" TargetMode="External"/><Relationship Id="rId29" Type="http://schemas.openxmlformats.org/officeDocument/2006/relationships/hyperlink" Target="https://doi.org/10.54097/c70fak89"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hyperlink" Target="https://doi.org/10.1016/j.techfore.2025.124133" TargetMode="External"/><Relationship Id="rId32" Type="http://schemas.openxmlformats.org/officeDocument/2006/relationships/hyperlink" Target="https://doi.org/10.54254/2754-1169/2024.18460" TargetMode="External"/><Relationship Id="rId5" Type="http://schemas.openxmlformats.org/officeDocument/2006/relationships/footnotes" Target="footnotes.xml"/><Relationship Id="rId15" Type="http://schemas.openxmlformats.org/officeDocument/2006/relationships/hyperlink" Target="https://doi.org/10.1016/j.compchemeng.2025.109534" TargetMode="External"/><Relationship Id="rId23" Type="http://schemas.openxmlformats.org/officeDocument/2006/relationships/hyperlink" Target="https://doi.org/10.1016/j.techfore.2025.124133" TargetMode="External"/><Relationship Id="rId28" Type="http://schemas.openxmlformats.org/officeDocument/2006/relationships/hyperlink" Target="https://doi.org/10.3390/ijfs12040118" TargetMode="External"/><Relationship Id="rId10" Type="http://schemas.openxmlformats.org/officeDocument/2006/relationships/image" Target="media/image3.png"/><Relationship Id="rId19" Type="http://schemas.openxmlformats.org/officeDocument/2006/relationships/hyperlink" Target="https://doi.org/10.54097/fbem.v10i3.11205" TargetMode="External"/><Relationship Id="rId31" Type="http://schemas.openxmlformats.org/officeDocument/2006/relationships/hyperlink" Target="https://doi.org/10.54254/2754-1169/2024.18460"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doi.org/10.1007/s43621-025-01733-5" TargetMode="External"/><Relationship Id="rId27" Type="http://schemas.openxmlformats.org/officeDocument/2006/relationships/hyperlink" Target="https://doi.org/10.3390/ijfs12040118" TargetMode="External"/><Relationship Id="rId30" Type="http://schemas.openxmlformats.org/officeDocument/2006/relationships/hyperlink" Target="https://doi.org/10.54097/c70fak89" TargetMode="External"/><Relationship Id="rId35" Type="http://schemas.openxmlformats.org/officeDocument/2006/relationships/theme" Target="theme/theme1.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9</Pages>
  <Words>2109</Words>
  <Characters>12025</Characters>
  <Application>Microsoft Office Word</Application>
  <DocSecurity>0</DocSecurity>
  <Lines>100</Lines>
  <Paragraphs>28</Paragraphs>
  <ScaleCrop>false</ScaleCrop>
  <Company/>
  <LinksUpToDate>false</LinksUpToDate>
  <CharactersWithSpaces>14106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2026-03-11T08:56:00Z</dcterms:created>
  <dcterms:modified xsi:type="dcterms:W3CDTF">2026-03-11T08:56:00Z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7a158a71-92ab-47a2-a73d-e3ef2e1f0044</vt:lpwstr>
  </property>
</Properties>
</file>