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lastRenderedPageBreak/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</w:t>
      </w:r>
      <w:r w:rsidRPr="00C976AC">
        <w:lastRenderedPageBreak/>
        <w:t>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B82D49" w:rsidP="00B82D49">
      <w:pPr>
        <w:pStyle w:val="A40"/>
      </w:pPr>
      <w:r>
        <w:t>2.3.13</w:t>
      </w:r>
      <w:r>
        <w:t>、</w:t>
      </w:r>
      <w:r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lastRenderedPageBreak/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Pr="00D90BD9" w:rsidRDefault="00D90BD9" w:rsidP="00D90BD9">
      <w:pPr>
        <w:pStyle w:val="A8"/>
      </w:pPr>
      <w:bookmarkStart w:id="0" w:name="_GoBack"/>
      <w:bookmarkEnd w:id="0"/>
      <w:r w:rsidRPr="00D90BD9">
        <w:rPr>
          <w:rFonts w:hint="eastAsia"/>
        </w:rPr>
        <w:t>}</w:t>
      </w:r>
    </w:p>
    <w:sectPr w:rsidR="004258D9" w:rsidRPr="00D9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DBC" w:rsidRDefault="00FB0DBC" w:rsidP="007B5A77">
      <w:r>
        <w:separator/>
      </w:r>
    </w:p>
  </w:endnote>
  <w:endnote w:type="continuationSeparator" w:id="0">
    <w:p w:rsidR="00FB0DBC" w:rsidRDefault="00FB0DBC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DBC" w:rsidRDefault="00FB0DBC" w:rsidP="007B5A77">
      <w:r>
        <w:separator/>
      </w:r>
    </w:p>
  </w:footnote>
  <w:footnote w:type="continuationSeparator" w:id="0">
    <w:p w:rsidR="00FB0DBC" w:rsidRDefault="00FB0DBC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55D0C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C3614"/>
    <w:rsid w:val="001D15B7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258D9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4D7A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46C9"/>
    <w:rsid w:val="00B366A7"/>
    <w:rsid w:val="00B43FBC"/>
    <w:rsid w:val="00B63B84"/>
    <w:rsid w:val="00B649B2"/>
    <w:rsid w:val="00B654BA"/>
    <w:rsid w:val="00B67863"/>
    <w:rsid w:val="00B72128"/>
    <w:rsid w:val="00B82D49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58D"/>
    <w:rsid w:val="00D90BD9"/>
    <w:rsid w:val="00D90D8B"/>
    <w:rsid w:val="00DA0212"/>
    <w:rsid w:val="00DA695F"/>
    <w:rsid w:val="00DA7D08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78D2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0DBC"/>
    <w:rsid w:val="00FB60D1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17</Pages>
  <Words>1879</Words>
  <Characters>10712</Characters>
  <Application>Microsoft Office Word</Application>
  <DocSecurity>0</DocSecurity>
  <Lines>89</Lines>
  <Paragraphs>25</Paragraphs>
  <ScaleCrop>false</ScaleCrop>
  <Company>nase</Company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324</cp:revision>
  <cp:lastPrinted>2015-04-21T06:44:00Z</cp:lastPrinted>
  <dcterms:created xsi:type="dcterms:W3CDTF">2015-04-13T01:56:00Z</dcterms:created>
  <dcterms:modified xsi:type="dcterms:W3CDTF">2015-05-19T08:51:00Z</dcterms:modified>
</cp:coreProperties>
</file>