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40"/>
        <w:jc w:val="center"/>
      </w:pPr>
      <w:r>
        <w:rPr>
          <w:rFonts w:ascii="Calibri" w:hAnsi="Calibri"/>
          <w:b/>
          <w:i w:val="0"/>
          <w:color w:val="2E7D4F"/>
          <w:sz w:val="20"/>
        </w:rPr>
        <w:t>PRODUCT DELIVERY GUIDE</w:t>
      </w:r>
    </w:p>
    <w:p>
      <w:pPr>
        <w:spacing w:after="160"/>
        <w:jc w:val="center"/>
      </w:pPr>
      <w:r>
        <w:rPr>
          <w:rFonts w:ascii="Calibri" w:hAnsi="Calibri"/>
          <w:b/>
          <w:i w:val="0"/>
          <w:color w:val="17324D"/>
          <w:sz w:val="60"/>
        </w:rPr>
        <w:t>FitLink Dashboard</w:t>
      </w:r>
    </w:p>
    <w:p>
      <w:pPr>
        <w:spacing w:after="440"/>
        <w:jc w:val="center"/>
      </w:pPr>
      <w:r>
        <w:rPr>
          <w:rFonts w:ascii="Calibri" w:hAnsi="Calibri"/>
          <w:b w:val="0"/>
          <w:i w:val="0"/>
          <w:color w:val="2E74B5"/>
          <w:sz w:val="28"/>
        </w:rPr>
        <w:t>Incremental roadmap from a simple provider overview to a complete marketplace intelligence system</w:t>
      </w:r>
    </w:p>
    <w:p>
      <w:pPr>
        <w:spacing w:after="1480"/>
        <w:jc w:val="center"/>
      </w:pPr>
      <w:r>
        <w:rPr>
          <w:rFonts w:ascii="Calibri" w:hAnsi="Calibri"/>
          <w:b w:val="0"/>
          <w:i w:val="0"/>
          <w:color w:val="5F6B76"/>
          <w:sz w:val="21"/>
        </w:rPr>
        <w:t>Trainer • Gym • Sports Academy • Wellness Centre • FitLink Admin</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EAF5EE"/>
            <w:vAlign w:val="center"/>
            <w:tcMar>
              <w:top w:w="80" w:type="dxa"/>
              <w:start w:w="120" w:type="dxa"/>
              <w:bottom w:w="80" w:type="dxa"/>
              <w:end w:w="120" w:type="dxa"/>
            </w:tcMar>
          </w:tcPr>
          <w:p>
            <w:pPr>
              <w:spacing w:after="40"/>
            </w:pPr>
            <w:r>
              <w:rPr>
                <w:rFonts w:ascii="Calibri" w:hAnsi="Calibri"/>
                <w:b/>
                <w:i w:val="0"/>
                <w:color w:val="2E7D4F"/>
                <w:sz w:val="21"/>
              </w:rPr>
              <w:t xml:space="preserve">Core principle  </w:t>
            </w:r>
            <w:r>
              <w:rPr>
                <w:rFonts w:ascii="Calibri" w:hAnsi="Calibri"/>
                <w:b w:val="0"/>
                <w:i w:val="0"/>
                <w:color w:val="17324D"/>
                <w:sz w:val="21"/>
              </w:rPr>
              <w:t>Release the smallest dashboard that helps providers act today. Add deeper analytics only after the underlying events are consistently captured and trusted.</w:t>
            </w:r>
          </w:p>
        </w:tc>
      </w:tr>
    </w:tbl>
    <w:p>
      <w:pPr>
        <w:spacing w:after="0"/>
      </w:pPr>
    </w:p>
    <w:p>
      <w:pPr>
        <w:jc w:val="center"/>
      </w:pPr>
      <w:r>
        <w:rPr>
          <w:rFonts w:ascii="Calibri" w:hAnsi="Calibri"/>
          <w:b/>
          <w:i w:val="0"/>
          <w:color w:val="5F6B76"/>
          <w:sz w:val="20"/>
        </w:rPr>
        <w:t>Prepared 3 August 2026</w:t>
      </w:r>
    </w:p>
    <w:p>
      <w:r>
        <w:br w:type="page"/>
      </w:r>
    </w:p>
    <w:p>
      <w:pPr>
        <w:pStyle w:val="Heading1"/>
      </w:pPr>
      <w:r>
        <w:t>1. Purpose and recommendation</w:t>
      </w:r>
    </w:p>
    <w:p>
      <w:r>
        <w:t>This guide translates FitLink's pricing promises into an executable dashboard plan. It defines the premium feature baseline, the data that must be captured, and an incremental delivery sequence that starts with a simple dashboard and grows without requiring a redesign of the entire product.</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EAF5EE"/>
            <w:vAlign w:val="center"/>
            <w:tcMar>
              <w:top w:w="80" w:type="dxa"/>
              <w:start w:w="120" w:type="dxa"/>
              <w:bottom w:w="80" w:type="dxa"/>
              <w:end w:w="120" w:type="dxa"/>
            </w:tcMar>
          </w:tcPr>
          <w:p>
            <w:pPr>
              <w:spacing w:after="40"/>
            </w:pPr>
            <w:r>
              <w:rPr>
                <w:rFonts w:ascii="Calibri" w:hAnsi="Calibri"/>
                <w:b/>
                <w:i w:val="0"/>
                <w:color w:val="2E7D4F"/>
                <w:sz w:val="21"/>
              </w:rPr>
              <w:t xml:space="preserve">Recommended first release  </w:t>
            </w:r>
            <w:r>
              <w:rPr>
                <w:rFonts w:ascii="Calibri" w:hAnsi="Calibri"/>
                <w:b w:val="0"/>
                <w:i w:val="0"/>
                <w:color w:val="17324D"/>
                <w:sz w:val="21"/>
              </w:rPr>
              <w:t>One provider dashboard with four KPI cards, an upcoming-bookings list, a new-leads list, subscription status, and five quick actions. Avoid charts, attribution, forecasting, recruitment, and complex admin reporting in the first release.</w:t>
            </w:r>
          </w:p>
        </w:tc>
      </w:tr>
    </w:tbl>
    <w:p>
      <w:pPr>
        <w:spacing w:after="0"/>
      </w:pPr>
    </w:p>
    <w:p>
      <w:pPr>
        <w:pStyle w:val="Heading2"/>
      </w:pPr>
      <w:r>
        <w:t>Success criteria</w:t>
      </w:r>
    </w:p>
    <w:p>
      <w:pPr>
        <w:pStyle w:val="ListBullet"/>
        <w:spacing w:after="80" w:line="300" w:lineRule="auto"/>
      </w:pPr>
      <w:r>
        <w:t>A provider can understand today's business status in under 30 seconds.</w:t>
      </w:r>
    </w:p>
    <w:p>
      <w:pPr>
        <w:pStyle w:val="ListBullet"/>
        <w:spacing w:after="80" w:line="300" w:lineRule="auto"/>
      </w:pPr>
      <w:r>
        <w:t>The dashboard exposes work that needs action: leads, bookings, payments, verification, and plan renewal.</w:t>
      </w:r>
    </w:p>
    <w:p>
      <w:pPr>
        <w:pStyle w:val="ListBullet"/>
        <w:spacing w:after="80" w:line="300" w:lineRule="auto"/>
      </w:pPr>
      <w:r>
        <w:t>Every displayed metric has a documented source, definition, owner, and last-updated state.</w:t>
      </w:r>
    </w:p>
    <w:p>
      <w:pPr>
        <w:pStyle w:val="ListBullet"/>
        <w:spacing w:after="80" w:line="300" w:lineRule="auto"/>
      </w:pPr>
      <w:r>
        <w:t>Premium analytics are added only after the corresponding tracking data passes quality checks.</w:t>
      </w:r>
    </w:p>
    <w:p>
      <w:pPr>
        <w:pStyle w:val="Heading1"/>
      </w:pPr>
      <w:r>
        <w:t>2. Premium feature baseline</w:t>
      </w:r>
    </w:p>
    <w:tbl>
      <w:tblPr>
        <w:tblStyle w:val="TableGrid"/>
        <w:tblW w:type="dxa" w:w="9360"/>
        <w:jc w:val="left"/>
        <w:tblLayout w:type="fixed"/>
        <w:tblLook w:firstColumn="1" w:firstRow="1" w:lastColumn="0" w:lastRow="0" w:noHBand="0" w:noVBand="1" w:val="04A0"/>
        <w:tblInd w:w="120" w:type="dxa"/>
      </w:tblPr>
      <w:tblGrid>
        <w:gridCol w:w="1900"/>
        <w:gridCol w:w="1300"/>
        <w:gridCol w:w="6160"/>
      </w:tblGrid>
      <w:tr>
        <w:trPr>
          <w:tblHeader w:val="true"/>
        </w:trPr>
        <w:tc>
          <w:tcPr>
            <w:tcW w:type="dxa" w:w="1900"/>
            <w:shd w:fill="E8EEF5"/>
            <w:vAlign w:val="center"/>
            <w:tcMar>
              <w:top w:w="80" w:type="dxa"/>
              <w:start w:w="120" w:type="dxa"/>
              <w:bottom w:w="80" w:type="dxa"/>
              <w:end w:w="120" w:type="dxa"/>
            </w:tcMar>
          </w:tcPr>
          <w:p>
            <w:pPr>
              <w:spacing w:after="0"/>
            </w:pPr>
            <w:r>
              <w:rPr>
                <w:rFonts w:ascii="Calibri" w:hAnsi="Calibri"/>
                <w:b/>
                <w:i w:val="0"/>
                <w:color w:val="17324D"/>
                <w:sz w:val="20"/>
              </w:rPr>
              <w:t>Audience / plan</w:t>
            </w:r>
          </w:p>
        </w:tc>
        <w:tc>
          <w:tcPr>
            <w:tcW w:type="dxa" w:w="1300"/>
            <w:shd w:fill="E8EEF5"/>
            <w:vAlign w:val="center"/>
            <w:tcMar>
              <w:top w:w="80" w:type="dxa"/>
              <w:start w:w="120" w:type="dxa"/>
              <w:bottom w:w="80" w:type="dxa"/>
              <w:end w:w="120" w:type="dxa"/>
            </w:tcMar>
          </w:tcPr>
          <w:p>
            <w:pPr>
              <w:spacing w:after="0"/>
            </w:pPr>
            <w:r>
              <w:rPr>
                <w:rFonts w:ascii="Calibri" w:hAnsi="Calibri"/>
                <w:b/>
                <w:i w:val="0"/>
                <w:color w:val="17324D"/>
                <w:sz w:val="20"/>
              </w:rPr>
              <w:t>Monthly price</w:t>
            </w:r>
          </w:p>
        </w:tc>
        <w:tc>
          <w:tcPr>
            <w:tcW w:type="dxa" w:w="6160"/>
            <w:shd w:fill="E8EEF5"/>
            <w:vAlign w:val="center"/>
            <w:tcMar>
              <w:top w:w="80" w:type="dxa"/>
              <w:start w:w="120" w:type="dxa"/>
              <w:bottom w:w="80" w:type="dxa"/>
              <w:end w:w="120" w:type="dxa"/>
            </w:tcMar>
          </w:tcPr>
          <w:p>
            <w:pPr>
              <w:spacing w:after="0"/>
            </w:pPr>
            <w:r>
              <w:rPr>
                <w:rFonts w:ascii="Calibri" w:hAnsi="Calibri"/>
                <w:b/>
                <w:i w:val="0"/>
                <w:color w:val="17324D"/>
                <w:sz w:val="20"/>
              </w:rPr>
              <w:t>Premium promises</w:t>
            </w:r>
          </w:p>
        </w:tc>
      </w:tr>
      <w:tr>
        <w:tc>
          <w:tcPr>
            <w:tcW w:type="dxa" w:w="1900"/>
            <w:vAlign w:val="center"/>
            <w:tcMar>
              <w:top w:w="80" w:type="dxa"/>
              <w:start w:w="120" w:type="dxa"/>
              <w:bottom w:w="80" w:type="dxa"/>
              <w:end w:w="120" w:type="dxa"/>
            </w:tcMar>
          </w:tcPr>
          <w:p>
            <w:pPr>
              <w:spacing w:after="0"/>
            </w:pPr>
            <w:r>
              <w:rPr>
                <w:rFonts w:ascii="Calibri" w:hAnsi="Calibri"/>
                <w:b w:val="0"/>
                <w:i w:val="0"/>
                <w:color w:val="263746"/>
                <w:sz w:val="19"/>
              </w:rPr>
              <w:t>Trainer Professional</w:t>
            </w:r>
          </w:p>
        </w:tc>
        <w:tc>
          <w:tcPr>
            <w:tcW w:type="dxa" w:w="1300"/>
            <w:vAlign w:val="center"/>
            <w:tcMar>
              <w:top w:w="80" w:type="dxa"/>
              <w:start w:w="120" w:type="dxa"/>
              <w:bottom w:w="80" w:type="dxa"/>
              <w:end w:w="120" w:type="dxa"/>
            </w:tcMar>
          </w:tcPr>
          <w:p>
            <w:pPr>
              <w:spacing w:after="0"/>
            </w:pPr>
            <w:r>
              <w:rPr>
                <w:rFonts w:ascii="Calibri" w:hAnsi="Calibri"/>
                <w:b w:val="0"/>
                <w:i w:val="0"/>
                <w:color w:val="263746"/>
                <w:sz w:val="19"/>
              </w:rPr>
              <w:t>KSh 3,000</w:t>
            </w:r>
          </w:p>
        </w:tc>
        <w:tc>
          <w:tcPr>
            <w:tcW w:type="dxa" w:w="6160"/>
            <w:vAlign w:val="center"/>
            <w:tcMar>
              <w:top w:w="80" w:type="dxa"/>
              <w:start w:w="120" w:type="dxa"/>
              <w:bottom w:w="80" w:type="dxa"/>
              <w:end w:w="120" w:type="dxa"/>
            </w:tcMar>
          </w:tcPr>
          <w:p>
            <w:pPr>
              <w:spacing w:after="0"/>
            </w:pPr>
            <w:r>
              <w:rPr>
                <w:rFonts w:ascii="Calibri" w:hAnsi="Calibri"/>
                <w:b w:val="0"/>
                <w:i w:val="0"/>
                <w:color w:val="263746"/>
                <w:sz w:val="19"/>
              </w:rPr>
              <w:t>Featured listing; priority search; unlimited bookings; verified badge; analytics dashboard; marketing and priority support</w:t>
            </w:r>
          </w:p>
        </w:tc>
      </w:tr>
      <w:tr>
        <w:tc>
          <w:tcPr>
            <w:tcW w:type="dxa" w:w="1900"/>
            <w:vAlign w:val="center"/>
            <w:tcMar>
              <w:top w:w="80" w:type="dxa"/>
              <w:start w:w="120" w:type="dxa"/>
              <w:bottom w:w="80" w:type="dxa"/>
              <w:end w:w="120" w:type="dxa"/>
            </w:tcMar>
          </w:tcPr>
          <w:p>
            <w:pPr>
              <w:spacing w:after="0"/>
            </w:pPr>
            <w:r>
              <w:rPr>
                <w:rFonts w:ascii="Calibri" w:hAnsi="Calibri"/>
                <w:b w:val="0"/>
                <w:i w:val="0"/>
                <w:color w:val="263746"/>
                <w:sz w:val="19"/>
              </w:rPr>
              <w:t>Trainer Premium</w:t>
            </w:r>
          </w:p>
        </w:tc>
        <w:tc>
          <w:tcPr>
            <w:tcW w:type="dxa" w:w="1300"/>
            <w:vAlign w:val="center"/>
            <w:tcMar>
              <w:top w:w="80" w:type="dxa"/>
              <w:start w:w="120" w:type="dxa"/>
              <w:bottom w:w="80" w:type="dxa"/>
              <w:end w:w="120" w:type="dxa"/>
            </w:tcMar>
          </w:tcPr>
          <w:p>
            <w:pPr>
              <w:spacing w:after="0"/>
            </w:pPr>
            <w:r>
              <w:rPr>
                <w:rFonts w:ascii="Calibri" w:hAnsi="Calibri"/>
                <w:b w:val="0"/>
                <w:i w:val="0"/>
                <w:color w:val="263746"/>
                <w:sz w:val="19"/>
              </w:rPr>
              <w:t>KSh 5,000</w:t>
            </w:r>
          </w:p>
        </w:tc>
        <w:tc>
          <w:tcPr>
            <w:tcW w:type="dxa" w:w="6160"/>
            <w:vAlign w:val="center"/>
            <w:tcMar>
              <w:top w:w="80" w:type="dxa"/>
              <w:start w:w="120" w:type="dxa"/>
              <w:bottom w:w="80" w:type="dxa"/>
              <w:end w:w="120" w:type="dxa"/>
            </w:tcMar>
          </w:tcPr>
          <w:p>
            <w:pPr>
              <w:spacing w:after="0"/>
            </w:pPr>
            <w:r>
              <w:rPr>
                <w:rFonts w:ascii="Calibri" w:hAnsi="Calibri"/>
                <w:b w:val="0"/>
                <w:i w:val="0"/>
                <w:color w:val="263746"/>
                <w:sz w:val="19"/>
              </w:rPr>
              <w:t>Homepage feature; unlimited leads; advanced analytics; personal website profile; account manager; custom campaigns</w:t>
            </w:r>
          </w:p>
        </w:tc>
      </w:tr>
      <w:tr>
        <w:tc>
          <w:tcPr>
            <w:tcW w:type="dxa" w:w="1900"/>
            <w:vAlign w:val="center"/>
            <w:tcMar>
              <w:top w:w="80" w:type="dxa"/>
              <w:start w:w="120" w:type="dxa"/>
              <w:bottom w:w="80" w:type="dxa"/>
              <w:end w:w="120" w:type="dxa"/>
            </w:tcMar>
          </w:tcPr>
          <w:p>
            <w:pPr>
              <w:spacing w:after="0"/>
            </w:pPr>
            <w:r>
              <w:rPr>
                <w:rFonts w:ascii="Calibri" w:hAnsi="Calibri"/>
                <w:b w:val="0"/>
                <w:i w:val="0"/>
                <w:color w:val="263746"/>
                <w:sz w:val="19"/>
              </w:rPr>
              <w:t>Facility Premium</w:t>
            </w:r>
          </w:p>
        </w:tc>
        <w:tc>
          <w:tcPr>
            <w:tcW w:type="dxa" w:w="1300"/>
            <w:vAlign w:val="center"/>
            <w:tcMar>
              <w:top w:w="80" w:type="dxa"/>
              <w:start w:w="120" w:type="dxa"/>
              <w:bottom w:w="80" w:type="dxa"/>
              <w:end w:w="120" w:type="dxa"/>
            </w:tcMar>
          </w:tcPr>
          <w:p>
            <w:pPr>
              <w:spacing w:after="0"/>
            </w:pPr>
            <w:r>
              <w:rPr>
                <w:rFonts w:ascii="Calibri" w:hAnsi="Calibri"/>
                <w:b w:val="0"/>
                <w:i w:val="0"/>
                <w:color w:val="263746"/>
                <w:sz w:val="19"/>
              </w:rPr>
              <w:t>KSh 10,000</w:t>
            </w:r>
          </w:p>
        </w:tc>
        <w:tc>
          <w:tcPr>
            <w:tcW w:type="dxa" w:w="6160"/>
            <w:vAlign w:val="center"/>
            <w:tcMar>
              <w:top w:w="80" w:type="dxa"/>
              <w:start w:w="120" w:type="dxa"/>
              <w:bottom w:w="80" w:type="dxa"/>
              <w:end w:w="120" w:type="dxa"/>
            </w:tcMar>
          </w:tcPr>
          <w:p>
            <w:pPr>
              <w:spacing w:after="0"/>
            </w:pPr>
            <w:r>
              <w:rPr>
                <w:rFonts w:ascii="Calibri" w:hAnsi="Calibri"/>
                <w:b w:val="0"/>
                <w:i w:val="0"/>
                <w:color w:val="263746"/>
                <w:sz w:val="19"/>
              </w:rPr>
              <w:t>Featured placement; homepage promotion; unlimited inquiries; recruitment tools; event promotion; unlimited gallery; analytics; 24/7 support</w:t>
            </w:r>
          </w:p>
        </w:tc>
      </w:tr>
    </w:tbl>
    <w:p>
      <w:pPr>
        <w:spacing w:after="0"/>
      </w:pPr>
    </w:p>
    <w:p>
      <w:pPr>
        <w:pStyle w:val="Heading2"/>
      </w:pPr>
      <w:r>
        <w:t>Plan rule to resolve before development</w:t>
      </w:r>
    </w:p>
    <w:p>
      <w:r>
        <w:t>The pricing data lists each tier independently. Product and engineering should explicitly confirm whether Trainer Premium inherits all Trainer Professional capabilities. This guide assumes inheritance because it is the clearest customer expectation and the simplest access-control model.</w:t>
      </w:r>
    </w:p>
    <w:p>
      <w:pPr>
        <w:pStyle w:val="Heading2"/>
      </w:pPr>
      <w:r>
        <w:t>Shared provider capabilities</w:t>
      </w:r>
    </w:p>
    <w:p>
      <w:pPr>
        <w:pStyle w:val="ListBullet"/>
        <w:spacing w:after="80" w:line="300" w:lineRule="auto"/>
      </w:pPr>
      <w:r>
        <w:t>Trainer: profile, M-Pesa payment support, booking management, messaging, certificate uploads, and mobile presentation.</w:t>
      </w:r>
    </w:p>
    <w:p>
      <w:pPr>
        <w:pStyle w:val="ListBullet"/>
        <w:spacing w:after="80" w:line="300" w:lineRule="auto"/>
      </w:pPr>
      <w:r>
        <w:t>Facility: profile, membership management, trainer directory, events, photo gallery, and bookings.</w:t>
      </w:r>
    </w:p>
    <w:p>
      <w:pPr>
        <w:pStyle w:val="ListBullet"/>
        <w:spacing w:after="80" w:line="300" w:lineRule="auto"/>
      </w:pPr>
      <w:r>
        <w:t>Commercial model: 1–2% commission on the first successful client-provider transaction; no repeat commission for that pair.</w:t>
      </w:r>
    </w:p>
    <w:p>
      <w:r>
        <w:br w:type="page"/>
      </w:r>
    </w:p>
    <w:p>
      <w:pPr>
        <w:pStyle w:val="Heading1"/>
      </w:pPr>
      <w:r>
        <w:t>3. Data foundation</w:t>
      </w:r>
    </w:p>
    <w:p>
      <w:r>
        <w:t>The dashboard should distinguish operational records from behavioral events and derived metrics. Operational records support daily work. Behavioral events explain discovery and conversion. Derived metrics summarize those records using documented formulas.</w:t>
      </w:r>
    </w:p>
    <w:tbl>
      <w:tblPr>
        <w:tblStyle w:val="TableGrid"/>
        <w:tblW w:type="dxa" w:w="9360"/>
        <w:jc w:val="left"/>
        <w:tblLayout w:type="fixed"/>
        <w:tblLook w:firstColumn="1" w:firstRow="1" w:lastColumn="0" w:lastRow="0" w:noHBand="0" w:noVBand="1" w:val="04A0"/>
        <w:tblInd w:w="120" w:type="dxa"/>
      </w:tblPr>
      <w:tblGrid>
        <w:gridCol w:w="1700"/>
        <w:gridCol w:w="4560"/>
        <w:gridCol w:w="3100"/>
      </w:tblGrid>
      <w:tr>
        <w:trPr>
          <w:tblHeader w:val="true"/>
        </w:trPr>
        <w:tc>
          <w:tcPr>
            <w:tcW w:type="dxa" w:w="1700"/>
            <w:shd w:fill="E8EEF5"/>
            <w:vAlign w:val="center"/>
            <w:tcMar>
              <w:top w:w="80" w:type="dxa"/>
              <w:start w:w="120" w:type="dxa"/>
              <w:bottom w:w="80" w:type="dxa"/>
              <w:end w:w="120" w:type="dxa"/>
            </w:tcMar>
          </w:tcPr>
          <w:p>
            <w:pPr>
              <w:spacing w:after="0"/>
            </w:pPr>
            <w:r>
              <w:rPr>
                <w:rFonts w:ascii="Calibri" w:hAnsi="Calibri"/>
                <w:b/>
                <w:i w:val="0"/>
                <w:color w:val="17324D"/>
                <w:sz w:val="20"/>
              </w:rPr>
              <w:t>Data domain</w:t>
            </w:r>
          </w:p>
        </w:tc>
        <w:tc>
          <w:tcPr>
            <w:tcW w:type="dxa" w:w="4560"/>
            <w:shd w:fill="E8EEF5"/>
            <w:vAlign w:val="center"/>
            <w:tcMar>
              <w:top w:w="80" w:type="dxa"/>
              <w:start w:w="120" w:type="dxa"/>
              <w:bottom w:w="80" w:type="dxa"/>
              <w:end w:w="120" w:type="dxa"/>
            </w:tcMar>
          </w:tcPr>
          <w:p>
            <w:pPr>
              <w:spacing w:after="0"/>
            </w:pPr>
            <w:r>
              <w:rPr>
                <w:rFonts w:ascii="Calibri" w:hAnsi="Calibri"/>
                <w:b/>
                <w:i w:val="0"/>
                <w:color w:val="17324D"/>
                <w:sz w:val="20"/>
              </w:rPr>
              <w:t>Core records</w:t>
            </w:r>
          </w:p>
        </w:tc>
        <w:tc>
          <w:tcPr>
            <w:tcW w:type="dxa" w:w="3100"/>
            <w:shd w:fill="E8EEF5"/>
            <w:vAlign w:val="center"/>
            <w:tcMar>
              <w:top w:w="80" w:type="dxa"/>
              <w:start w:w="120" w:type="dxa"/>
              <w:bottom w:w="80" w:type="dxa"/>
              <w:end w:w="120" w:type="dxa"/>
            </w:tcMar>
          </w:tcPr>
          <w:p>
            <w:pPr>
              <w:spacing w:after="0"/>
            </w:pPr>
            <w:r>
              <w:rPr>
                <w:rFonts w:ascii="Calibri" w:hAnsi="Calibri"/>
                <w:b/>
                <w:i w:val="0"/>
                <w:color w:val="17324D"/>
                <w:sz w:val="20"/>
              </w:rPr>
              <w:t>Dashboard use</w:t>
            </w:r>
          </w:p>
        </w:tc>
      </w:tr>
      <w:tr>
        <w:tc>
          <w:tcPr>
            <w:tcW w:type="dxa" w:w="1700"/>
            <w:vAlign w:val="center"/>
            <w:tcMar>
              <w:top w:w="80" w:type="dxa"/>
              <w:start w:w="120" w:type="dxa"/>
              <w:bottom w:w="80" w:type="dxa"/>
              <w:end w:w="120" w:type="dxa"/>
            </w:tcMar>
          </w:tcPr>
          <w:p>
            <w:pPr>
              <w:spacing w:after="0"/>
            </w:pPr>
            <w:r>
              <w:rPr>
                <w:rFonts w:ascii="Calibri" w:hAnsi="Calibri"/>
                <w:b w:val="0"/>
                <w:i w:val="0"/>
                <w:color w:val="263746"/>
                <w:sz w:val="19"/>
              </w:rPr>
              <w:t>Identity &amp; profile</w:t>
            </w:r>
          </w:p>
        </w:tc>
        <w:tc>
          <w:tcPr>
            <w:tcW w:type="dxa" w:w="4560"/>
            <w:vAlign w:val="center"/>
            <w:tcMar>
              <w:top w:w="80" w:type="dxa"/>
              <w:start w:w="120" w:type="dxa"/>
              <w:bottom w:w="80" w:type="dxa"/>
              <w:end w:w="120" w:type="dxa"/>
            </w:tcMar>
          </w:tcPr>
          <w:p>
            <w:pPr>
              <w:spacing w:after="0"/>
            </w:pPr>
            <w:r>
              <w:rPr>
                <w:rFonts w:ascii="Calibri" w:hAnsi="Calibri"/>
                <w:b w:val="0"/>
                <w:i w:val="0"/>
                <w:color w:val="263746"/>
                <w:sz w:val="19"/>
              </w:rPr>
              <w:t>Users, providers, roles, approval, plan, services, documents, photos</w:t>
            </w:r>
          </w:p>
        </w:tc>
        <w:tc>
          <w:tcPr>
            <w:tcW w:type="dxa" w:w="3100"/>
            <w:vAlign w:val="center"/>
            <w:tcMar>
              <w:top w:w="80" w:type="dxa"/>
              <w:start w:w="120" w:type="dxa"/>
              <w:bottom w:w="80" w:type="dxa"/>
              <w:end w:w="120" w:type="dxa"/>
            </w:tcMar>
          </w:tcPr>
          <w:p>
            <w:pPr>
              <w:spacing w:after="0"/>
            </w:pPr>
            <w:r>
              <w:rPr>
                <w:rFonts w:ascii="Calibri" w:hAnsi="Calibri"/>
                <w:b w:val="0"/>
                <w:i w:val="0"/>
                <w:color w:val="263746"/>
                <w:sz w:val="19"/>
              </w:rPr>
              <w:t>Access control, profile completion, verification, subscription</w:t>
            </w:r>
          </w:p>
        </w:tc>
      </w:tr>
      <w:tr>
        <w:tc>
          <w:tcPr>
            <w:tcW w:type="dxa" w:w="1700"/>
            <w:vAlign w:val="center"/>
            <w:tcMar>
              <w:top w:w="80" w:type="dxa"/>
              <w:start w:w="120" w:type="dxa"/>
              <w:bottom w:w="80" w:type="dxa"/>
              <w:end w:w="120" w:type="dxa"/>
            </w:tcMar>
          </w:tcPr>
          <w:p>
            <w:pPr>
              <w:spacing w:after="0"/>
            </w:pPr>
            <w:r>
              <w:rPr>
                <w:rFonts w:ascii="Calibri" w:hAnsi="Calibri"/>
                <w:b w:val="0"/>
                <w:i w:val="0"/>
                <w:color w:val="263746"/>
                <w:sz w:val="19"/>
              </w:rPr>
              <w:t>Leads &amp; inquiries</w:t>
            </w:r>
          </w:p>
        </w:tc>
        <w:tc>
          <w:tcPr>
            <w:tcW w:type="dxa" w:w="4560"/>
            <w:vAlign w:val="center"/>
            <w:tcMar>
              <w:top w:w="80" w:type="dxa"/>
              <w:start w:w="120" w:type="dxa"/>
              <w:bottom w:w="80" w:type="dxa"/>
              <w:end w:w="120" w:type="dxa"/>
            </w:tcMar>
          </w:tcPr>
          <w:p>
            <w:pPr>
              <w:spacing w:after="0"/>
            </w:pPr>
            <w:r>
              <w:rPr>
                <w:rFonts w:ascii="Calibri" w:hAnsi="Calibri"/>
                <w:b w:val="0"/>
                <w:i w:val="0"/>
                <w:color w:val="263746"/>
                <w:sz w:val="19"/>
              </w:rPr>
              <w:t>Source, service, message, owner, status, response time, outcome</w:t>
            </w:r>
          </w:p>
        </w:tc>
        <w:tc>
          <w:tcPr>
            <w:tcW w:type="dxa" w:w="3100"/>
            <w:vAlign w:val="center"/>
            <w:tcMar>
              <w:top w:w="80" w:type="dxa"/>
              <w:start w:w="120" w:type="dxa"/>
              <w:bottom w:w="80" w:type="dxa"/>
              <w:end w:w="120" w:type="dxa"/>
            </w:tcMar>
          </w:tcPr>
          <w:p>
            <w:pPr>
              <w:spacing w:after="0"/>
            </w:pPr>
            <w:r>
              <w:rPr>
                <w:rFonts w:ascii="Calibri" w:hAnsi="Calibri"/>
                <w:b w:val="0"/>
                <w:i w:val="0"/>
                <w:color w:val="263746"/>
                <w:sz w:val="19"/>
              </w:rPr>
              <w:t>Lead inbox, response SLA, conversion pipeline</w:t>
            </w:r>
          </w:p>
        </w:tc>
      </w:tr>
      <w:tr>
        <w:tc>
          <w:tcPr>
            <w:tcW w:type="dxa" w:w="1700"/>
            <w:vAlign w:val="center"/>
            <w:tcMar>
              <w:top w:w="80" w:type="dxa"/>
              <w:start w:w="120" w:type="dxa"/>
              <w:bottom w:w="80" w:type="dxa"/>
              <w:end w:w="120" w:type="dxa"/>
            </w:tcMar>
          </w:tcPr>
          <w:p>
            <w:pPr>
              <w:spacing w:after="0"/>
            </w:pPr>
            <w:r>
              <w:rPr>
                <w:rFonts w:ascii="Calibri" w:hAnsi="Calibri"/>
                <w:b w:val="0"/>
                <w:i w:val="0"/>
                <w:color w:val="263746"/>
                <w:sz w:val="19"/>
              </w:rPr>
              <w:t>Bookings</w:t>
            </w:r>
          </w:p>
        </w:tc>
        <w:tc>
          <w:tcPr>
            <w:tcW w:type="dxa" w:w="4560"/>
            <w:vAlign w:val="center"/>
            <w:tcMar>
              <w:top w:w="80" w:type="dxa"/>
              <w:start w:w="120" w:type="dxa"/>
              <w:bottom w:w="80" w:type="dxa"/>
              <w:end w:w="120" w:type="dxa"/>
            </w:tcMar>
          </w:tcPr>
          <w:p>
            <w:pPr>
              <w:spacing w:after="0"/>
            </w:pPr>
            <w:r>
              <w:rPr>
                <w:rFonts w:ascii="Calibri" w:hAnsi="Calibri"/>
                <w:b w:val="0"/>
                <w:i w:val="0"/>
                <w:color w:val="263746"/>
                <w:sz w:val="19"/>
              </w:rPr>
              <w:t>Client, provider, service, schedule, amount, status, attendance, cancellation</w:t>
            </w:r>
          </w:p>
        </w:tc>
        <w:tc>
          <w:tcPr>
            <w:tcW w:type="dxa" w:w="3100"/>
            <w:vAlign w:val="center"/>
            <w:tcMar>
              <w:top w:w="80" w:type="dxa"/>
              <w:start w:w="120" w:type="dxa"/>
              <w:bottom w:w="80" w:type="dxa"/>
              <w:end w:w="120" w:type="dxa"/>
            </w:tcMar>
          </w:tcPr>
          <w:p>
            <w:pPr>
              <w:spacing w:after="0"/>
            </w:pPr>
            <w:r>
              <w:rPr>
                <w:rFonts w:ascii="Calibri" w:hAnsi="Calibri"/>
                <w:b w:val="0"/>
                <w:i w:val="0"/>
                <w:color w:val="263746"/>
                <w:sz w:val="19"/>
              </w:rPr>
              <w:t>Calendar, operations, revenue, retention</w:t>
            </w:r>
          </w:p>
        </w:tc>
      </w:tr>
      <w:tr>
        <w:tc>
          <w:tcPr>
            <w:tcW w:type="dxa" w:w="1700"/>
            <w:vAlign w:val="center"/>
            <w:tcMar>
              <w:top w:w="80" w:type="dxa"/>
              <w:start w:w="120" w:type="dxa"/>
              <w:bottom w:w="80" w:type="dxa"/>
              <w:end w:w="120" w:type="dxa"/>
            </w:tcMar>
          </w:tcPr>
          <w:p>
            <w:pPr>
              <w:spacing w:after="0"/>
            </w:pPr>
            <w:r>
              <w:rPr>
                <w:rFonts w:ascii="Calibri" w:hAnsi="Calibri"/>
                <w:b w:val="0"/>
                <w:i w:val="0"/>
                <w:color w:val="263746"/>
                <w:sz w:val="19"/>
              </w:rPr>
              <w:t>Payments</w:t>
            </w:r>
          </w:p>
        </w:tc>
        <w:tc>
          <w:tcPr>
            <w:tcW w:type="dxa" w:w="4560"/>
            <w:vAlign w:val="center"/>
            <w:tcMar>
              <w:top w:w="80" w:type="dxa"/>
              <w:start w:w="120" w:type="dxa"/>
              <w:bottom w:w="80" w:type="dxa"/>
              <w:end w:w="120" w:type="dxa"/>
            </w:tcMar>
          </w:tcPr>
          <w:p>
            <w:pPr>
              <w:spacing w:after="0"/>
            </w:pPr>
            <w:r>
              <w:rPr>
                <w:rFonts w:ascii="Calibri" w:hAnsi="Calibri"/>
                <w:b w:val="0"/>
                <w:i w:val="0"/>
                <w:color w:val="263746"/>
                <w:sz w:val="19"/>
              </w:rPr>
              <w:t>Method, reference, amount, verification, refund, subscription period</w:t>
            </w:r>
          </w:p>
        </w:tc>
        <w:tc>
          <w:tcPr>
            <w:tcW w:type="dxa" w:w="3100"/>
            <w:vAlign w:val="center"/>
            <w:tcMar>
              <w:top w:w="80" w:type="dxa"/>
              <w:start w:w="120" w:type="dxa"/>
              <w:bottom w:w="80" w:type="dxa"/>
              <w:end w:w="120" w:type="dxa"/>
            </w:tcMar>
          </w:tcPr>
          <w:p>
            <w:pPr>
              <w:spacing w:after="0"/>
            </w:pPr>
            <w:r>
              <w:rPr>
                <w:rFonts w:ascii="Calibri" w:hAnsi="Calibri"/>
                <w:b w:val="0"/>
                <w:i w:val="0"/>
                <w:color w:val="263746"/>
                <w:sz w:val="19"/>
              </w:rPr>
              <w:t>Reconciliation, billing, outstanding actions</w:t>
            </w:r>
          </w:p>
        </w:tc>
      </w:tr>
      <w:tr>
        <w:tc>
          <w:tcPr>
            <w:tcW w:type="dxa" w:w="1700"/>
            <w:vAlign w:val="center"/>
            <w:tcMar>
              <w:top w:w="80" w:type="dxa"/>
              <w:start w:w="120" w:type="dxa"/>
              <w:bottom w:w="80" w:type="dxa"/>
              <w:end w:w="120" w:type="dxa"/>
            </w:tcMar>
          </w:tcPr>
          <w:p>
            <w:pPr>
              <w:spacing w:after="0"/>
            </w:pPr>
            <w:r>
              <w:rPr>
                <w:rFonts w:ascii="Calibri" w:hAnsi="Calibri"/>
                <w:b w:val="0"/>
                <w:i w:val="0"/>
                <w:color w:val="263746"/>
                <w:sz w:val="19"/>
              </w:rPr>
              <w:t>Discovery events</w:t>
            </w:r>
          </w:p>
        </w:tc>
        <w:tc>
          <w:tcPr>
            <w:tcW w:type="dxa" w:w="4560"/>
            <w:vAlign w:val="center"/>
            <w:tcMar>
              <w:top w:w="80" w:type="dxa"/>
              <w:start w:w="120" w:type="dxa"/>
              <w:bottom w:w="80" w:type="dxa"/>
              <w:end w:w="120" w:type="dxa"/>
            </w:tcMar>
          </w:tcPr>
          <w:p>
            <w:pPr>
              <w:spacing w:after="0"/>
            </w:pPr>
            <w:r>
              <w:rPr>
                <w:rFonts w:ascii="Calibri" w:hAnsi="Calibri"/>
                <w:b w:val="0"/>
                <w:i w:val="0"/>
                <w:color w:val="263746"/>
                <w:sz w:val="19"/>
              </w:rPr>
              <w:t>Search impression, result rank, profile view, CTA click, campaign tags</w:t>
            </w:r>
          </w:p>
        </w:tc>
        <w:tc>
          <w:tcPr>
            <w:tcW w:type="dxa" w:w="3100"/>
            <w:vAlign w:val="center"/>
            <w:tcMar>
              <w:top w:w="80" w:type="dxa"/>
              <w:start w:w="120" w:type="dxa"/>
              <w:bottom w:w="80" w:type="dxa"/>
              <w:end w:w="120" w:type="dxa"/>
            </w:tcMar>
          </w:tcPr>
          <w:p>
            <w:pPr>
              <w:spacing w:after="0"/>
            </w:pPr>
            <w:r>
              <w:rPr>
                <w:rFonts w:ascii="Calibri" w:hAnsi="Calibri"/>
                <w:b w:val="0"/>
                <w:i w:val="0"/>
                <w:color w:val="263746"/>
                <w:sz w:val="19"/>
              </w:rPr>
              <w:t>Visibility, funnels, premium placement value</w:t>
            </w:r>
          </w:p>
        </w:tc>
      </w:tr>
      <w:tr>
        <w:tc>
          <w:tcPr>
            <w:tcW w:type="dxa" w:w="1700"/>
            <w:vAlign w:val="center"/>
            <w:tcMar>
              <w:top w:w="80" w:type="dxa"/>
              <w:start w:w="120" w:type="dxa"/>
              <w:bottom w:w="80" w:type="dxa"/>
              <w:end w:w="120" w:type="dxa"/>
            </w:tcMar>
          </w:tcPr>
          <w:p>
            <w:pPr>
              <w:spacing w:after="0"/>
            </w:pPr>
            <w:r>
              <w:rPr>
                <w:rFonts w:ascii="Calibri" w:hAnsi="Calibri"/>
                <w:b w:val="0"/>
                <w:i w:val="0"/>
                <w:color w:val="263746"/>
                <w:sz w:val="19"/>
              </w:rPr>
              <w:t>Referrals &amp; commissions</w:t>
            </w:r>
          </w:p>
        </w:tc>
        <w:tc>
          <w:tcPr>
            <w:tcW w:type="dxa" w:w="4560"/>
            <w:vAlign w:val="center"/>
            <w:tcMar>
              <w:top w:w="80" w:type="dxa"/>
              <w:start w:w="120" w:type="dxa"/>
              <w:bottom w:w="80" w:type="dxa"/>
              <w:end w:w="120" w:type="dxa"/>
            </w:tcMar>
          </w:tcPr>
          <w:p>
            <w:pPr>
              <w:spacing w:after="0"/>
            </w:pPr>
            <w:r>
              <w:rPr>
                <w:rFonts w:ascii="Calibri" w:hAnsi="Calibri"/>
                <w:b w:val="0"/>
                <w:i w:val="0"/>
                <w:color w:val="263746"/>
                <w:sz w:val="19"/>
              </w:rPr>
              <w:t>Permanent pair lock, first booking, rate, amount, settlement</w:t>
            </w:r>
          </w:p>
        </w:tc>
        <w:tc>
          <w:tcPr>
            <w:tcW w:type="dxa" w:w="3100"/>
            <w:vAlign w:val="center"/>
            <w:tcMar>
              <w:top w:w="80" w:type="dxa"/>
              <w:start w:w="120" w:type="dxa"/>
              <w:bottom w:w="80" w:type="dxa"/>
              <w:end w:w="120" w:type="dxa"/>
            </w:tcMar>
          </w:tcPr>
          <w:p>
            <w:pPr>
              <w:spacing w:after="0"/>
            </w:pPr>
            <w:r>
              <w:rPr>
                <w:rFonts w:ascii="Calibri" w:hAnsi="Calibri"/>
                <w:b w:val="0"/>
                <w:i w:val="0"/>
                <w:color w:val="263746"/>
                <w:sz w:val="19"/>
              </w:rPr>
              <w:t>Commission ledger and repeat-client protection</w:t>
            </w:r>
          </w:p>
        </w:tc>
      </w:tr>
      <w:tr>
        <w:tc>
          <w:tcPr>
            <w:tcW w:type="dxa" w:w="1700"/>
            <w:vAlign w:val="center"/>
            <w:tcMar>
              <w:top w:w="80" w:type="dxa"/>
              <w:start w:w="120" w:type="dxa"/>
              <w:bottom w:w="80" w:type="dxa"/>
              <w:end w:w="120" w:type="dxa"/>
            </w:tcMar>
          </w:tcPr>
          <w:p>
            <w:pPr>
              <w:spacing w:after="0"/>
            </w:pPr>
            <w:r>
              <w:rPr>
                <w:rFonts w:ascii="Calibri" w:hAnsi="Calibri"/>
                <w:b w:val="0"/>
                <w:i w:val="0"/>
                <w:color w:val="263746"/>
                <w:sz w:val="19"/>
              </w:rPr>
              <w:t>Reputation</w:t>
            </w:r>
          </w:p>
        </w:tc>
        <w:tc>
          <w:tcPr>
            <w:tcW w:type="dxa" w:w="4560"/>
            <w:vAlign w:val="center"/>
            <w:tcMar>
              <w:top w:w="80" w:type="dxa"/>
              <w:start w:w="120" w:type="dxa"/>
              <w:bottom w:w="80" w:type="dxa"/>
              <w:end w:w="120" w:type="dxa"/>
            </w:tcMar>
          </w:tcPr>
          <w:p>
            <w:pPr>
              <w:spacing w:after="0"/>
            </w:pPr>
            <w:r>
              <w:rPr>
                <w:rFonts w:ascii="Calibri" w:hAnsi="Calibri"/>
                <w:b w:val="0"/>
                <w:i w:val="0"/>
                <w:color w:val="263746"/>
                <w:sz w:val="19"/>
              </w:rPr>
              <w:t>Review, rating, verified booking, response, moderation</w:t>
            </w:r>
          </w:p>
        </w:tc>
        <w:tc>
          <w:tcPr>
            <w:tcW w:type="dxa" w:w="3100"/>
            <w:vAlign w:val="center"/>
            <w:tcMar>
              <w:top w:w="80" w:type="dxa"/>
              <w:start w:w="120" w:type="dxa"/>
              <w:bottom w:w="80" w:type="dxa"/>
              <w:end w:w="120" w:type="dxa"/>
            </w:tcMar>
          </w:tcPr>
          <w:p>
            <w:pPr>
              <w:spacing w:after="0"/>
            </w:pPr>
            <w:r>
              <w:rPr>
                <w:rFonts w:ascii="Calibri" w:hAnsi="Calibri"/>
                <w:b w:val="0"/>
                <w:i w:val="0"/>
                <w:color w:val="263746"/>
                <w:sz w:val="19"/>
              </w:rPr>
              <w:t>Rating trend and response work</w:t>
            </w:r>
          </w:p>
        </w:tc>
      </w:tr>
      <w:tr>
        <w:tc>
          <w:tcPr>
            <w:tcW w:type="dxa" w:w="1700"/>
            <w:vAlign w:val="center"/>
            <w:tcMar>
              <w:top w:w="80" w:type="dxa"/>
              <w:start w:w="120" w:type="dxa"/>
              <w:bottom w:w="80" w:type="dxa"/>
              <w:end w:w="120" w:type="dxa"/>
            </w:tcMar>
          </w:tcPr>
          <w:p>
            <w:pPr>
              <w:spacing w:after="0"/>
            </w:pPr>
            <w:r>
              <w:rPr>
                <w:rFonts w:ascii="Calibri" w:hAnsi="Calibri"/>
                <w:b w:val="0"/>
                <w:i w:val="0"/>
                <w:color w:val="263746"/>
                <w:sz w:val="19"/>
              </w:rPr>
              <w:t>Facility extensions</w:t>
            </w:r>
          </w:p>
        </w:tc>
        <w:tc>
          <w:tcPr>
            <w:tcW w:type="dxa" w:w="4560"/>
            <w:vAlign w:val="center"/>
            <w:tcMar>
              <w:top w:w="80" w:type="dxa"/>
              <w:start w:w="120" w:type="dxa"/>
              <w:bottom w:w="80" w:type="dxa"/>
              <w:end w:w="120" w:type="dxa"/>
            </w:tcMar>
          </w:tcPr>
          <w:p>
            <w:pPr>
              <w:spacing w:after="0"/>
            </w:pPr>
            <w:r>
              <w:rPr>
                <w:rFonts w:ascii="Calibri" w:hAnsi="Calibri"/>
                <w:b w:val="0"/>
                <w:i w:val="0"/>
                <w:color w:val="263746"/>
                <w:sz w:val="19"/>
              </w:rPr>
              <w:t>Memberships, vacancies, applicants, events, attendance</w:t>
            </w:r>
          </w:p>
        </w:tc>
        <w:tc>
          <w:tcPr>
            <w:tcW w:type="dxa" w:w="3100"/>
            <w:vAlign w:val="center"/>
            <w:tcMar>
              <w:top w:w="80" w:type="dxa"/>
              <w:start w:w="120" w:type="dxa"/>
              <w:bottom w:w="80" w:type="dxa"/>
              <w:end w:w="120" w:type="dxa"/>
            </w:tcMar>
          </w:tcPr>
          <w:p>
            <w:pPr>
              <w:spacing w:after="0"/>
            </w:pPr>
            <w:r>
              <w:rPr>
                <w:rFonts w:ascii="Calibri" w:hAnsi="Calibri"/>
                <w:b w:val="0"/>
                <w:i w:val="0"/>
                <w:color w:val="263746"/>
                <w:sz w:val="19"/>
              </w:rPr>
              <w:t>Facility operations and premium tools</w:t>
            </w:r>
          </w:p>
        </w:tc>
      </w:tr>
    </w:tbl>
    <w:p>
      <w:pPr>
        <w:spacing w:after="0"/>
      </w:pPr>
    </w:p>
    <w:p>
      <w:pPr>
        <w:pStyle w:val="Heading2"/>
      </w:pPr>
      <w:r>
        <w:t>Minimum event dictionary</w:t>
      </w:r>
    </w:p>
    <w:p>
      <w:pPr>
        <w:pStyle w:val="ListBullet"/>
        <w:spacing w:after="80" w:line="300" w:lineRule="auto"/>
      </w:pPr>
      <w:r>
        <w:t>search_performed — query, filters, location, session and timestamp</w:t>
      </w:r>
    </w:p>
    <w:p>
      <w:pPr>
        <w:pStyle w:val="ListBullet"/>
        <w:spacing w:after="80" w:line="300" w:lineRule="auto"/>
      </w:pPr>
      <w:r>
        <w:t>provider_impression — provider, placement, rank, page and campaign</w:t>
      </w:r>
    </w:p>
    <w:p>
      <w:pPr>
        <w:pStyle w:val="ListBullet"/>
        <w:spacing w:after="80" w:line="300" w:lineRule="auto"/>
      </w:pPr>
      <w:r>
        <w:t>provider_profile_viewed — provider, source, session and user when known</w:t>
      </w:r>
    </w:p>
    <w:p>
      <w:pPr>
        <w:pStyle w:val="ListBullet"/>
        <w:spacing w:after="80" w:line="300" w:lineRule="auto"/>
      </w:pPr>
      <w:r>
        <w:t>provider_cta_clicked — action type: inquiry, WhatsApp, book, call or event</w:t>
      </w:r>
    </w:p>
    <w:p>
      <w:pPr>
        <w:pStyle w:val="ListBullet"/>
        <w:spacing w:after="80" w:line="300" w:lineRule="auto"/>
      </w:pPr>
      <w:r>
        <w:t>lead_created — provider, client, source, requested service and campaign</w:t>
      </w:r>
    </w:p>
    <w:p>
      <w:pPr>
        <w:pStyle w:val="ListBullet"/>
        <w:spacing w:after="80" w:line="300" w:lineRule="auto"/>
      </w:pPr>
      <w:r>
        <w:t>booking_created / confirmed / completed / cancelled / no_show</w:t>
      </w:r>
    </w:p>
    <w:p>
      <w:pPr>
        <w:pStyle w:val="ListBullet"/>
        <w:spacing w:after="80" w:line="300" w:lineRule="auto"/>
      </w:pPr>
      <w:r>
        <w:t>payment_submitted / verified / failed / refunded</w:t>
      </w:r>
    </w:p>
    <w:p>
      <w:pPr>
        <w:pStyle w:val="ListBullet"/>
        <w:spacing w:after="80" w:line="300" w:lineRule="auto"/>
      </w:pPr>
      <w:r>
        <w:t>review_submitted / provider_responded</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FFF4E5"/>
            <w:vAlign w:val="center"/>
            <w:tcMar>
              <w:top w:w="80" w:type="dxa"/>
              <w:start w:w="120" w:type="dxa"/>
              <w:bottom w:w="80" w:type="dxa"/>
              <w:end w:w="120" w:type="dxa"/>
            </w:tcMar>
          </w:tcPr>
          <w:p>
            <w:pPr>
              <w:spacing w:after="40"/>
            </w:pPr>
            <w:r>
              <w:rPr>
                <w:rFonts w:ascii="Calibri" w:hAnsi="Calibri"/>
                <w:b/>
                <w:i w:val="0"/>
                <w:color w:val="9A6700"/>
                <w:sz w:val="21"/>
              </w:rPr>
              <w:t xml:space="preserve">Privacy rule  </w:t>
            </w:r>
            <w:r>
              <w:rPr>
                <w:rFonts w:ascii="Calibri" w:hAnsi="Calibri"/>
                <w:b w:val="0"/>
                <w:i w:val="0"/>
                <w:color w:val="17324D"/>
                <w:sz w:val="21"/>
              </w:rPr>
              <w:t>Do not place full phone numbers, transaction references, private documents, or client health details in summary widgets. Use role-based access and reveal sensitive fields only where the workflow requires them.</w:t>
            </w:r>
          </w:p>
        </w:tc>
      </w:tr>
    </w:tbl>
    <w:p>
      <w:pPr>
        <w:spacing w:after="0"/>
      </w:pPr>
    </w:p>
    <w:p>
      <w:r>
        <w:br w:type="page"/>
      </w:r>
    </w:p>
    <w:p>
      <w:pPr>
        <w:pStyle w:val="Heading1"/>
      </w:pPr>
      <w:r>
        <w:t>4. Incremental delivery roadmap</w:t>
      </w:r>
    </w:p>
    <w:tbl>
      <w:tblPr>
        <w:tblStyle w:val="TableGrid"/>
        <w:tblW w:type="dxa" w:w="9360"/>
        <w:jc w:val="left"/>
        <w:tblLayout w:type="fixed"/>
        <w:tblLook w:firstColumn="1" w:firstRow="1" w:lastColumn="0" w:lastRow="0" w:noHBand="0" w:noVBand="1" w:val="04A0"/>
        <w:tblInd w:w="120" w:type="dxa"/>
      </w:tblPr>
      <w:tblGrid>
        <w:gridCol w:w="1700"/>
        <w:gridCol w:w="4200"/>
        <w:gridCol w:w="1300"/>
        <w:gridCol w:w="2160"/>
      </w:tblGrid>
      <w:tr>
        <w:trPr>
          <w:tblHeader w:val="true"/>
        </w:trPr>
        <w:tc>
          <w:tcPr>
            <w:tcW w:type="dxa" w:w="1700"/>
            <w:shd w:fill="E8EEF5"/>
            <w:vAlign w:val="center"/>
            <w:tcMar>
              <w:top w:w="80" w:type="dxa"/>
              <w:start w:w="120" w:type="dxa"/>
              <w:bottom w:w="80" w:type="dxa"/>
              <w:end w:w="120" w:type="dxa"/>
            </w:tcMar>
          </w:tcPr>
          <w:p>
            <w:pPr>
              <w:spacing w:after="0"/>
            </w:pPr>
            <w:r>
              <w:rPr>
                <w:rFonts w:ascii="Calibri" w:hAnsi="Calibri"/>
                <w:b/>
                <w:i w:val="0"/>
                <w:color w:val="17324D"/>
                <w:sz w:val="20"/>
              </w:rPr>
              <w:t>Phase</w:t>
            </w:r>
          </w:p>
        </w:tc>
        <w:tc>
          <w:tcPr>
            <w:tcW w:type="dxa" w:w="4200"/>
            <w:shd w:fill="E8EEF5"/>
            <w:vAlign w:val="center"/>
            <w:tcMar>
              <w:top w:w="80" w:type="dxa"/>
              <w:start w:w="120" w:type="dxa"/>
              <w:bottom w:w="80" w:type="dxa"/>
              <w:end w:w="120" w:type="dxa"/>
            </w:tcMar>
          </w:tcPr>
          <w:p>
            <w:pPr>
              <w:spacing w:after="0"/>
            </w:pPr>
            <w:r>
              <w:rPr>
                <w:rFonts w:ascii="Calibri" w:hAnsi="Calibri"/>
                <w:b/>
                <w:i w:val="0"/>
                <w:color w:val="17324D"/>
                <w:sz w:val="20"/>
              </w:rPr>
              <w:t>Outcome</w:t>
            </w:r>
          </w:p>
        </w:tc>
        <w:tc>
          <w:tcPr>
            <w:tcW w:type="dxa" w:w="1300"/>
            <w:shd w:fill="E8EEF5"/>
            <w:vAlign w:val="center"/>
            <w:tcMar>
              <w:top w:w="80" w:type="dxa"/>
              <w:start w:w="120" w:type="dxa"/>
              <w:bottom w:w="80" w:type="dxa"/>
              <w:end w:w="120" w:type="dxa"/>
            </w:tcMar>
          </w:tcPr>
          <w:p>
            <w:pPr>
              <w:spacing w:after="0"/>
            </w:pPr>
            <w:r>
              <w:rPr>
                <w:rFonts w:ascii="Calibri" w:hAnsi="Calibri"/>
                <w:b/>
                <w:i w:val="0"/>
                <w:color w:val="17324D"/>
                <w:sz w:val="20"/>
              </w:rPr>
              <w:t>Complexity</w:t>
            </w:r>
          </w:p>
        </w:tc>
        <w:tc>
          <w:tcPr>
            <w:tcW w:type="dxa" w:w="2160"/>
            <w:shd w:fill="E8EEF5"/>
            <w:vAlign w:val="center"/>
            <w:tcMar>
              <w:top w:w="80" w:type="dxa"/>
              <w:start w:w="120" w:type="dxa"/>
              <w:bottom w:w="80" w:type="dxa"/>
              <w:end w:w="120" w:type="dxa"/>
            </w:tcMar>
          </w:tcPr>
          <w:p>
            <w:pPr>
              <w:spacing w:after="0"/>
            </w:pPr>
            <w:r>
              <w:rPr>
                <w:rFonts w:ascii="Calibri" w:hAnsi="Calibri"/>
                <w:b/>
                <w:i w:val="0"/>
                <w:color w:val="17324D"/>
                <w:sz w:val="20"/>
              </w:rPr>
              <w:t>Primary users</w:t>
            </w:r>
          </w:p>
        </w:tc>
      </w:tr>
      <w:tr>
        <w:tc>
          <w:tcPr>
            <w:tcW w:type="dxa" w:w="1700"/>
            <w:vAlign w:val="center"/>
            <w:tcMar>
              <w:top w:w="80" w:type="dxa"/>
              <w:start w:w="120" w:type="dxa"/>
              <w:bottom w:w="80" w:type="dxa"/>
              <w:end w:w="120" w:type="dxa"/>
            </w:tcMar>
          </w:tcPr>
          <w:p>
            <w:pPr>
              <w:spacing w:after="0"/>
            </w:pPr>
            <w:r>
              <w:rPr>
                <w:rFonts w:ascii="Calibri" w:hAnsi="Calibri"/>
                <w:b w:val="0"/>
                <w:i w:val="0"/>
                <w:color w:val="263746"/>
                <w:sz w:val="19"/>
              </w:rPr>
              <w:t>1. Simple overview</w:t>
            </w:r>
          </w:p>
        </w:tc>
        <w:tc>
          <w:tcPr>
            <w:tcW w:type="dxa" w:w="4200"/>
            <w:vAlign w:val="center"/>
            <w:tcMar>
              <w:top w:w="80" w:type="dxa"/>
              <w:start w:w="120" w:type="dxa"/>
              <w:bottom w:w="80" w:type="dxa"/>
              <w:end w:w="120" w:type="dxa"/>
            </w:tcMar>
          </w:tcPr>
          <w:p>
            <w:pPr>
              <w:spacing w:after="0"/>
            </w:pPr>
            <w:r>
              <w:rPr>
                <w:rFonts w:ascii="Calibri" w:hAnsi="Calibri"/>
                <w:b w:val="0"/>
                <w:i w:val="0"/>
                <w:color w:val="263746"/>
                <w:sz w:val="19"/>
              </w:rPr>
              <w:t>See and act on today's work</w:t>
            </w:r>
          </w:p>
        </w:tc>
        <w:tc>
          <w:tcPr>
            <w:tcW w:type="dxa" w:w="1300"/>
            <w:vAlign w:val="center"/>
            <w:tcMar>
              <w:top w:w="80" w:type="dxa"/>
              <w:start w:w="120" w:type="dxa"/>
              <w:bottom w:w="80" w:type="dxa"/>
              <w:end w:w="120" w:type="dxa"/>
            </w:tcMar>
          </w:tcPr>
          <w:p>
            <w:pPr>
              <w:spacing w:after="0"/>
            </w:pPr>
            <w:r>
              <w:rPr>
                <w:rFonts w:ascii="Calibri" w:hAnsi="Calibri"/>
                <w:b w:val="0"/>
                <w:i w:val="0"/>
                <w:color w:val="263746"/>
                <w:sz w:val="19"/>
              </w:rPr>
              <w:t>Low</w:t>
            </w:r>
          </w:p>
        </w:tc>
        <w:tc>
          <w:tcPr>
            <w:tcW w:type="dxa" w:w="2160"/>
            <w:vAlign w:val="center"/>
            <w:tcMar>
              <w:top w:w="80" w:type="dxa"/>
              <w:start w:w="120" w:type="dxa"/>
              <w:bottom w:w="80" w:type="dxa"/>
              <w:end w:w="120" w:type="dxa"/>
            </w:tcMar>
          </w:tcPr>
          <w:p>
            <w:pPr>
              <w:spacing w:after="0"/>
            </w:pPr>
            <w:r>
              <w:rPr>
                <w:rFonts w:ascii="Calibri" w:hAnsi="Calibri"/>
                <w:b w:val="0"/>
                <w:i w:val="0"/>
                <w:color w:val="263746"/>
                <w:sz w:val="19"/>
              </w:rPr>
              <w:t>All providers</w:t>
            </w:r>
          </w:p>
        </w:tc>
      </w:tr>
      <w:tr>
        <w:tc>
          <w:tcPr>
            <w:tcW w:type="dxa" w:w="1700"/>
            <w:vAlign w:val="center"/>
            <w:tcMar>
              <w:top w:w="80" w:type="dxa"/>
              <w:start w:w="120" w:type="dxa"/>
              <w:bottom w:w="80" w:type="dxa"/>
              <w:end w:w="120" w:type="dxa"/>
            </w:tcMar>
          </w:tcPr>
          <w:p>
            <w:pPr>
              <w:spacing w:after="0"/>
            </w:pPr>
            <w:r>
              <w:rPr>
                <w:rFonts w:ascii="Calibri" w:hAnsi="Calibri"/>
                <w:b w:val="0"/>
                <w:i w:val="0"/>
                <w:color w:val="263746"/>
                <w:sz w:val="19"/>
              </w:rPr>
              <w:t>2. Operations</w:t>
            </w:r>
          </w:p>
        </w:tc>
        <w:tc>
          <w:tcPr>
            <w:tcW w:type="dxa" w:w="4200"/>
            <w:vAlign w:val="center"/>
            <w:tcMar>
              <w:top w:w="80" w:type="dxa"/>
              <w:start w:w="120" w:type="dxa"/>
              <w:bottom w:w="80" w:type="dxa"/>
              <w:end w:w="120" w:type="dxa"/>
            </w:tcMar>
          </w:tcPr>
          <w:p>
            <w:pPr>
              <w:spacing w:after="0"/>
            </w:pPr>
            <w:r>
              <w:rPr>
                <w:rFonts w:ascii="Calibri" w:hAnsi="Calibri"/>
                <w:b w:val="0"/>
                <w:i w:val="0"/>
                <w:color w:val="263746"/>
                <w:sz w:val="19"/>
              </w:rPr>
              <w:t>Manage leads, bookings, clients and payments</w:t>
            </w:r>
          </w:p>
        </w:tc>
        <w:tc>
          <w:tcPr>
            <w:tcW w:type="dxa" w:w="1300"/>
            <w:vAlign w:val="center"/>
            <w:tcMar>
              <w:top w:w="80" w:type="dxa"/>
              <w:start w:w="120" w:type="dxa"/>
              <w:bottom w:w="80" w:type="dxa"/>
              <w:end w:w="120" w:type="dxa"/>
            </w:tcMar>
          </w:tcPr>
          <w:p>
            <w:pPr>
              <w:spacing w:after="0"/>
            </w:pPr>
            <w:r>
              <w:rPr>
                <w:rFonts w:ascii="Calibri" w:hAnsi="Calibri"/>
                <w:b w:val="0"/>
                <w:i w:val="0"/>
                <w:color w:val="263746"/>
                <w:sz w:val="19"/>
              </w:rPr>
              <w:t>Medium</w:t>
            </w:r>
          </w:p>
        </w:tc>
        <w:tc>
          <w:tcPr>
            <w:tcW w:type="dxa" w:w="2160"/>
            <w:vAlign w:val="center"/>
            <w:tcMar>
              <w:top w:w="80" w:type="dxa"/>
              <w:start w:w="120" w:type="dxa"/>
              <w:bottom w:w="80" w:type="dxa"/>
              <w:end w:w="120" w:type="dxa"/>
            </w:tcMar>
          </w:tcPr>
          <w:p>
            <w:pPr>
              <w:spacing w:after="0"/>
            </w:pPr>
            <w:r>
              <w:rPr>
                <w:rFonts w:ascii="Calibri" w:hAnsi="Calibri"/>
                <w:b w:val="0"/>
                <w:i w:val="0"/>
                <w:color w:val="263746"/>
                <w:sz w:val="19"/>
              </w:rPr>
              <w:t>All providers</w:t>
            </w:r>
          </w:p>
        </w:tc>
      </w:tr>
      <w:tr>
        <w:tc>
          <w:tcPr>
            <w:tcW w:type="dxa" w:w="1700"/>
            <w:vAlign w:val="center"/>
            <w:tcMar>
              <w:top w:w="80" w:type="dxa"/>
              <w:start w:w="120" w:type="dxa"/>
              <w:bottom w:w="80" w:type="dxa"/>
              <w:end w:w="120" w:type="dxa"/>
            </w:tcMar>
          </w:tcPr>
          <w:p>
            <w:pPr>
              <w:spacing w:after="0"/>
            </w:pPr>
            <w:r>
              <w:rPr>
                <w:rFonts w:ascii="Calibri" w:hAnsi="Calibri"/>
                <w:b w:val="0"/>
                <w:i w:val="0"/>
                <w:color w:val="263746"/>
                <w:sz w:val="19"/>
              </w:rPr>
              <w:t>3. Basic analytics</w:t>
            </w:r>
          </w:p>
        </w:tc>
        <w:tc>
          <w:tcPr>
            <w:tcW w:type="dxa" w:w="4200"/>
            <w:vAlign w:val="center"/>
            <w:tcMar>
              <w:top w:w="80" w:type="dxa"/>
              <w:start w:w="120" w:type="dxa"/>
              <w:bottom w:w="80" w:type="dxa"/>
              <w:end w:w="120" w:type="dxa"/>
            </w:tcMar>
          </w:tcPr>
          <w:p>
            <w:pPr>
              <w:spacing w:after="0"/>
            </w:pPr>
            <w:r>
              <w:rPr>
                <w:rFonts w:ascii="Calibri" w:hAnsi="Calibri"/>
                <w:b w:val="0"/>
                <w:i w:val="0"/>
                <w:color w:val="263746"/>
                <w:sz w:val="19"/>
              </w:rPr>
              <w:t>Understand visibility, conversion and revenue</w:t>
            </w:r>
          </w:p>
        </w:tc>
        <w:tc>
          <w:tcPr>
            <w:tcW w:type="dxa" w:w="1300"/>
            <w:vAlign w:val="center"/>
            <w:tcMar>
              <w:top w:w="80" w:type="dxa"/>
              <w:start w:w="120" w:type="dxa"/>
              <w:bottom w:w="80" w:type="dxa"/>
              <w:end w:w="120" w:type="dxa"/>
            </w:tcMar>
          </w:tcPr>
          <w:p>
            <w:pPr>
              <w:spacing w:after="0"/>
            </w:pPr>
            <w:r>
              <w:rPr>
                <w:rFonts w:ascii="Calibri" w:hAnsi="Calibri"/>
                <w:b w:val="0"/>
                <w:i w:val="0"/>
                <w:color w:val="263746"/>
                <w:sz w:val="19"/>
              </w:rPr>
              <w:t>Medium</w:t>
            </w:r>
          </w:p>
        </w:tc>
        <w:tc>
          <w:tcPr>
            <w:tcW w:type="dxa" w:w="2160"/>
            <w:vAlign w:val="center"/>
            <w:tcMar>
              <w:top w:w="80" w:type="dxa"/>
              <w:start w:w="120" w:type="dxa"/>
              <w:bottom w:w="80" w:type="dxa"/>
              <w:end w:w="120" w:type="dxa"/>
            </w:tcMar>
          </w:tcPr>
          <w:p>
            <w:pPr>
              <w:spacing w:after="0"/>
            </w:pPr>
            <w:r>
              <w:rPr>
                <w:rFonts w:ascii="Calibri" w:hAnsi="Calibri"/>
                <w:b w:val="0"/>
                <w:i w:val="0"/>
                <w:color w:val="263746"/>
                <w:sz w:val="19"/>
              </w:rPr>
              <w:t>Professional / Premium</w:t>
            </w:r>
          </w:p>
        </w:tc>
      </w:tr>
      <w:tr>
        <w:tc>
          <w:tcPr>
            <w:tcW w:type="dxa" w:w="1700"/>
            <w:vAlign w:val="center"/>
            <w:tcMar>
              <w:top w:w="80" w:type="dxa"/>
              <w:start w:w="120" w:type="dxa"/>
              <w:bottom w:w="80" w:type="dxa"/>
              <w:end w:w="120" w:type="dxa"/>
            </w:tcMar>
          </w:tcPr>
          <w:p>
            <w:pPr>
              <w:spacing w:after="0"/>
            </w:pPr>
            <w:r>
              <w:rPr>
                <w:rFonts w:ascii="Calibri" w:hAnsi="Calibri"/>
                <w:b w:val="0"/>
                <w:i w:val="0"/>
                <w:color w:val="263746"/>
                <w:sz w:val="19"/>
              </w:rPr>
              <w:t>4. Premium growth</w:t>
            </w:r>
          </w:p>
        </w:tc>
        <w:tc>
          <w:tcPr>
            <w:tcW w:type="dxa" w:w="4200"/>
            <w:vAlign w:val="center"/>
            <w:tcMar>
              <w:top w:w="80" w:type="dxa"/>
              <w:start w:w="120" w:type="dxa"/>
              <w:bottom w:w="80" w:type="dxa"/>
              <w:end w:w="120" w:type="dxa"/>
            </w:tcMar>
          </w:tcPr>
          <w:p>
            <w:pPr>
              <w:spacing w:after="0"/>
            </w:pPr>
            <w:r>
              <w:rPr>
                <w:rFonts w:ascii="Calibri" w:hAnsi="Calibri"/>
                <w:b w:val="0"/>
                <w:i w:val="0"/>
                <w:color w:val="263746"/>
                <w:sz w:val="19"/>
              </w:rPr>
              <w:t>Measure campaigns, cohorts and promotion value</w:t>
            </w:r>
          </w:p>
        </w:tc>
        <w:tc>
          <w:tcPr>
            <w:tcW w:type="dxa" w:w="1300"/>
            <w:vAlign w:val="center"/>
            <w:tcMar>
              <w:top w:w="80" w:type="dxa"/>
              <w:start w:w="120" w:type="dxa"/>
              <w:bottom w:w="80" w:type="dxa"/>
              <w:end w:w="120" w:type="dxa"/>
            </w:tcMar>
          </w:tcPr>
          <w:p>
            <w:pPr>
              <w:spacing w:after="0"/>
            </w:pPr>
            <w:r>
              <w:rPr>
                <w:rFonts w:ascii="Calibri" w:hAnsi="Calibri"/>
                <w:b w:val="0"/>
                <w:i w:val="0"/>
                <w:color w:val="263746"/>
                <w:sz w:val="19"/>
              </w:rPr>
              <w:t>High</w:t>
            </w:r>
          </w:p>
        </w:tc>
        <w:tc>
          <w:tcPr>
            <w:tcW w:type="dxa" w:w="2160"/>
            <w:vAlign w:val="center"/>
            <w:tcMar>
              <w:top w:w="80" w:type="dxa"/>
              <w:start w:w="120" w:type="dxa"/>
              <w:bottom w:w="80" w:type="dxa"/>
              <w:end w:w="120" w:type="dxa"/>
            </w:tcMar>
          </w:tcPr>
          <w:p>
            <w:pPr>
              <w:spacing w:after="0"/>
            </w:pPr>
            <w:r>
              <w:rPr>
                <w:rFonts w:ascii="Calibri" w:hAnsi="Calibri"/>
                <w:b w:val="0"/>
                <w:i w:val="0"/>
                <w:color w:val="263746"/>
                <w:sz w:val="19"/>
              </w:rPr>
              <w:t>Premium providers</w:t>
            </w:r>
          </w:p>
        </w:tc>
      </w:tr>
      <w:tr>
        <w:tc>
          <w:tcPr>
            <w:tcW w:type="dxa" w:w="1700"/>
            <w:vAlign w:val="center"/>
            <w:tcMar>
              <w:top w:w="80" w:type="dxa"/>
              <w:start w:w="120" w:type="dxa"/>
              <w:bottom w:w="80" w:type="dxa"/>
              <w:end w:w="120" w:type="dxa"/>
            </w:tcMar>
          </w:tcPr>
          <w:p>
            <w:pPr>
              <w:spacing w:after="0"/>
            </w:pPr>
            <w:r>
              <w:rPr>
                <w:rFonts w:ascii="Calibri" w:hAnsi="Calibri"/>
                <w:b w:val="0"/>
                <w:i w:val="0"/>
                <w:color w:val="263746"/>
                <w:sz w:val="19"/>
              </w:rPr>
              <w:t>5. Facility tools</w:t>
            </w:r>
          </w:p>
        </w:tc>
        <w:tc>
          <w:tcPr>
            <w:tcW w:type="dxa" w:w="4200"/>
            <w:vAlign w:val="center"/>
            <w:tcMar>
              <w:top w:w="80" w:type="dxa"/>
              <w:start w:w="120" w:type="dxa"/>
              <w:bottom w:w="80" w:type="dxa"/>
              <w:end w:w="120" w:type="dxa"/>
            </w:tcMar>
          </w:tcPr>
          <w:p>
            <w:pPr>
              <w:spacing w:after="0"/>
            </w:pPr>
            <w:r>
              <w:rPr>
                <w:rFonts w:ascii="Calibri" w:hAnsi="Calibri"/>
                <w:b w:val="0"/>
                <w:i w:val="0"/>
                <w:color w:val="263746"/>
                <w:sz w:val="19"/>
              </w:rPr>
              <w:t>Run memberships, recruitment and events</w:t>
            </w:r>
          </w:p>
        </w:tc>
        <w:tc>
          <w:tcPr>
            <w:tcW w:type="dxa" w:w="1300"/>
            <w:vAlign w:val="center"/>
            <w:tcMar>
              <w:top w:w="80" w:type="dxa"/>
              <w:start w:w="120" w:type="dxa"/>
              <w:bottom w:w="80" w:type="dxa"/>
              <w:end w:w="120" w:type="dxa"/>
            </w:tcMar>
          </w:tcPr>
          <w:p>
            <w:pPr>
              <w:spacing w:after="0"/>
            </w:pPr>
            <w:r>
              <w:rPr>
                <w:rFonts w:ascii="Calibri" w:hAnsi="Calibri"/>
                <w:b w:val="0"/>
                <w:i w:val="0"/>
                <w:color w:val="263746"/>
                <w:sz w:val="19"/>
              </w:rPr>
              <w:t>High</w:t>
            </w:r>
          </w:p>
        </w:tc>
        <w:tc>
          <w:tcPr>
            <w:tcW w:type="dxa" w:w="2160"/>
            <w:vAlign w:val="center"/>
            <w:tcMar>
              <w:top w:w="80" w:type="dxa"/>
              <w:start w:w="120" w:type="dxa"/>
              <w:bottom w:w="80" w:type="dxa"/>
              <w:end w:w="120" w:type="dxa"/>
            </w:tcMar>
          </w:tcPr>
          <w:p>
            <w:pPr>
              <w:spacing w:after="0"/>
            </w:pPr>
            <w:r>
              <w:rPr>
                <w:rFonts w:ascii="Calibri" w:hAnsi="Calibri"/>
                <w:b w:val="0"/>
                <w:i w:val="0"/>
                <w:color w:val="263746"/>
                <w:sz w:val="19"/>
              </w:rPr>
              <w:t>Premium facilities</w:t>
            </w:r>
          </w:p>
        </w:tc>
      </w:tr>
      <w:tr>
        <w:tc>
          <w:tcPr>
            <w:tcW w:type="dxa" w:w="1700"/>
            <w:vAlign w:val="center"/>
            <w:tcMar>
              <w:top w:w="80" w:type="dxa"/>
              <w:start w:w="120" w:type="dxa"/>
              <w:bottom w:w="80" w:type="dxa"/>
              <w:end w:w="120" w:type="dxa"/>
            </w:tcMar>
          </w:tcPr>
          <w:p>
            <w:pPr>
              <w:spacing w:after="0"/>
            </w:pPr>
            <w:r>
              <w:rPr>
                <w:rFonts w:ascii="Calibri" w:hAnsi="Calibri"/>
                <w:b w:val="0"/>
                <w:i w:val="0"/>
                <w:color w:val="263746"/>
                <w:sz w:val="19"/>
              </w:rPr>
              <w:t>6. Admin command centre</w:t>
            </w:r>
          </w:p>
        </w:tc>
        <w:tc>
          <w:tcPr>
            <w:tcW w:type="dxa" w:w="4200"/>
            <w:vAlign w:val="center"/>
            <w:tcMar>
              <w:top w:w="80" w:type="dxa"/>
              <w:start w:w="120" w:type="dxa"/>
              <w:bottom w:w="80" w:type="dxa"/>
              <w:end w:w="120" w:type="dxa"/>
            </w:tcMar>
          </w:tcPr>
          <w:p>
            <w:pPr>
              <w:spacing w:after="0"/>
            </w:pPr>
            <w:r>
              <w:rPr>
                <w:rFonts w:ascii="Calibri" w:hAnsi="Calibri"/>
                <w:b w:val="0"/>
                <w:i w:val="0"/>
                <w:color w:val="263746"/>
                <w:sz w:val="19"/>
              </w:rPr>
              <w:t>Operate marketplace, billing and trust</w:t>
            </w:r>
          </w:p>
        </w:tc>
        <w:tc>
          <w:tcPr>
            <w:tcW w:type="dxa" w:w="1300"/>
            <w:vAlign w:val="center"/>
            <w:tcMar>
              <w:top w:w="80" w:type="dxa"/>
              <w:start w:w="120" w:type="dxa"/>
              <w:bottom w:w="80" w:type="dxa"/>
              <w:end w:w="120" w:type="dxa"/>
            </w:tcMar>
          </w:tcPr>
          <w:p>
            <w:pPr>
              <w:spacing w:after="0"/>
            </w:pPr>
            <w:r>
              <w:rPr>
                <w:rFonts w:ascii="Calibri" w:hAnsi="Calibri"/>
                <w:b w:val="0"/>
                <w:i w:val="0"/>
                <w:color w:val="263746"/>
                <w:sz w:val="19"/>
              </w:rPr>
              <w:t>High</w:t>
            </w:r>
          </w:p>
        </w:tc>
        <w:tc>
          <w:tcPr>
            <w:tcW w:type="dxa" w:w="2160"/>
            <w:vAlign w:val="center"/>
            <w:tcMar>
              <w:top w:w="80" w:type="dxa"/>
              <w:start w:w="120" w:type="dxa"/>
              <w:bottom w:w="80" w:type="dxa"/>
              <w:end w:w="120" w:type="dxa"/>
            </w:tcMar>
          </w:tcPr>
          <w:p>
            <w:pPr>
              <w:spacing w:after="0"/>
            </w:pPr>
            <w:r>
              <w:rPr>
                <w:rFonts w:ascii="Calibri" w:hAnsi="Calibri"/>
                <w:b w:val="0"/>
                <w:i w:val="0"/>
                <w:color w:val="263746"/>
                <w:sz w:val="19"/>
              </w:rPr>
              <w:t>FitLink team</w:t>
            </w:r>
          </w:p>
        </w:tc>
      </w:tr>
    </w:tbl>
    <w:p>
      <w:pPr>
        <w:spacing w:after="0"/>
      </w:pPr>
    </w:p>
    <w:p>
      <w:pPr>
        <w:pStyle w:val="Heading1"/>
      </w:pPr>
      <w:r>
        <w:t>Phase 1 — Simple provider overview</w:t>
      </w:r>
    </w:p>
    <w:p>
      <w:r>
        <w:t>Goal: give every provider a useful home screen without requiring mature analytics infrastructure. This phase should work with the provider, booking, lead, payment, review and subscription records already planned for the platform.</w:t>
      </w:r>
    </w:p>
    <w:p>
      <w:pPr>
        <w:pStyle w:val="Heading2"/>
      </w:pPr>
      <w:r>
        <w:t>Screen contents</w:t>
      </w:r>
    </w:p>
    <w:p>
      <w:pPr>
        <w:pStyle w:val="ListBullet"/>
        <w:spacing w:after="80" w:line="300" w:lineRule="auto"/>
      </w:pPr>
      <w:r>
        <w:t>Four KPI cards: upcoming bookings, new leads, pending payment value, and current rating.</w:t>
      </w:r>
    </w:p>
    <w:p>
      <w:pPr>
        <w:pStyle w:val="ListBullet"/>
        <w:spacing w:after="80" w:line="300" w:lineRule="auto"/>
      </w:pPr>
      <w:r>
        <w:t>Upcoming bookings: next five records with time, client, service, status and View action.</w:t>
      </w:r>
    </w:p>
    <w:p>
      <w:pPr>
        <w:pStyle w:val="ListBullet"/>
        <w:spacing w:after="80" w:line="300" w:lineRule="auto"/>
      </w:pPr>
      <w:r>
        <w:t>New leads: newest five inquiries with age, requested service, source and Respond action.</w:t>
      </w:r>
    </w:p>
    <w:p>
      <w:pPr>
        <w:pStyle w:val="ListBullet"/>
        <w:spacing w:after="80" w:line="300" w:lineRule="auto"/>
      </w:pPr>
      <w:r>
        <w:t>Subscription panel: plan, payment status, renewal/expiry date and upgrade or resolve-payment action.</w:t>
      </w:r>
    </w:p>
    <w:p>
      <w:pPr>
        <w:pStyle w:val="ListBullet"/>
        <w:spacing w:after="80" w:line="300" w:lineRule="auto"/>
      </w:pPr>
      <w:r>
        <w:t>Profile status: approval, verification and a short profile-completion checklist.</w:t>
      </w:r>
    </w:p>
    <w:p>
      <w:pPr>
        <w:pStyle w:val="ListBullet"/>
        <w:spacing w:after="80" w:line="300" w:lineRule="auto"/>
      </w:pPr>
      <w:r>
        <w:t>Quick actions: manage availability, add booking, edit profile, add event, contact support.</w:t>
      </w:r>
    </w:p>
    <w:p>
      <w:pPr>
        <w:pStyle w:val="Heading2"/>
      </w:pPr>
      <w:r>
        <w:t>Deliberate exclusions</w:t>
      </w:r>
    </w:p>
    <w:p>
      <w:pPr>
        <w:pStyle w:val="ListBullet"/>
        <w:spacing w:after="80" w:line="300" w:lineRule="auto"/>
      </w:pPr>
      <w:r>
        <w:t>No line, bar, pie or funnel charts.</w:t>
      </w:r>
    </w:p>
    <w:p>
      <w:pPr>
        <w:pStyle w:val="ListBullet"/>
        <w:spacing w:after="80" w:line="300" w:lineRule="auto"/>
      </w:pPr>
      <w:r>
        <w:t>No marketing attribution, cohorts, forecasting or benchmarks.</w:t>
      </w:r>
    </w:p>
    <w:p>
      <w:pPr>
        <w:pStyle w:val="ListBullet"/>
        <w:spacing w:after="80" w:line="300" w:lineRule="auto"/>
      </w:pPr>
      <w:r>
        <w:t>No configurable widgets or saved dashboard layouts.</w:t>
      </w:r>
    </w:p>
    <w:p>
      <w:pPr>
        <w:pStyle w:val="ListBullet"/>
        <w:spacing w:after="80" w:line="300" w:lineRule="auto"/>
      </w:pPr>
      <w:r>
        <w:t>No recruitment, complex memberships or cross-provider rollups.</w:t>
      </w:r>
    </w:p>
    <w:p>
      <w:pPr>
        <w:pStyle w:val="Heading2"/>
      </w:pPr>
      <w:r>
        <w:t>Phase 1 acceptance checklist</w:t>
      </w:r>
    </w:p>
    <w:p>
      <w:pPr>
        <w:spacing w:after="80" w:line="288" w:lineRule="auto"/>
        <w:ind w:left="259" w:hanging="259"/>
      </w:pPr>
      <w:r>
        <w:rPr>
          <w:rFonts w:ascii="Calibri" w:hAnsi="Calibri"/>
          <w:b w:val="0"/>
          <w:i w:val="0"/>
          <w:color w:val="2E74B5"/>
          <w:sz w:val="22"/>
        </w:rPr>
        <w:t xml:space="preserve">☐ </w:t>
      </w:r>
      <w:r>
        <w:t>Role and provider ownership are enforced on every query.</w:t>
      </w:r>
    </w:p>
    <w:p>
      <w:pPr>
        <w:spacing w:after="80" w:line="288" w:lineRule="auto"/>
        <w:ind w:left="259" w:hanging="259"/>
      </w:pPr>
      <w:r>
        <w:rPr>
          <w:rFonts w:ascii="Calibri" w:hAnsi="Calibri"/>
          <w:b w:val="0"/>
          <w:i w:val="0"/>
          <w:color w:val="2E74B5"/>
          <w:sz w:val="22"/>
        </w:rPr>
        <w:t xml:space="preserve">☐ </w:t>
      </w:r>
      <w:r>
        <w:t>All cards show an empty, loading, success and error state.</w:t>
      </w:r>
    </w:p>
    <w:p>
      <w:pPr>
        <w:spacing w:after="80" w:line="288" w:lineRule="auto"/>
        <w:ind w:left="259" w:hanging="259"/>
      </w:pPr>
      <w:r>
        <w:rPr>
          <w:rFonts w:ascii="Calibri" w:hAnsi="Calibri"/>
          <w:b w:val="0"/>
          <w:i w:val="0"/>
          <w:color w:val="2E74B5"/>
          <w:sz w:val="22"/>
        </w:rPr>
        <w:t xml:space="preserve">☐ </w:t>
      </w:r>
      <w:r>
        <w:t>Every count links to the corresponding operational list.</w:t>
      </w:r>
    </w:p>
    <w:p>
      <w:pPr>
        <w:spacing w:after="80" w:line="288" w:lineRule="auto"/>
        <w:ind w:left="259" w:hanging="259"/>
      </w:pPr>
      <w:r>
        <w:rPr>
          <w:rFonts w:ascii="Calibri" w:hAnsi="Calibri"/>
          <w:b w:val="0"/>
          <w:i w:val="0"/>
          <w:color w:val="2E74B5"/>
          <w:sz w:val="22"/>
        </w:rPr>
        <w:t xml:space="preserve">☐ </w:t>
      </w:r>
      <w:r>
        <w:t>The view is usable at 360 px width without horizontal scrolling.</w:t>
      </w:r>
    </w:p>
    <w:p>
      <w:pPr>
        <w:spacing w:after="80" w:line="288" w:lineRule="auto"/>
        <w:ind w:left="259" w:hanging="259"/>
      </w:pPr>
      <w:r>
        <w:rPr>
          <w:rFonts w:ascii="Calibri" w:hAnsi="Calibri"/>
          <w:b w:val="0"/>
          <w:i w:val="0"/>
          <w:color w:val="2E74B5"/>
          <w:sz w:val="22"/>
        </w:rPr>
        <w:t xml:space="preserve">☐ </w:t>
      </w:r>
      <w:r>
        <w:t>Amounts use KSh consistently; times use Africa/Nairobi by default.</w:t>
      </w:r>
    </w:p>
    <w:p>
      <w:pPr>
        <w:spacing w:after="80" w:line="288" w:lineRule="auto"/>
        <w:ind w:left="259" w:hanging="259"/>
      </w:pPr>
      <w:r>
        <w:rPr>
          <w:rFonts w:ascii="Calibri" w:hAnsi="Calibri"/>
          <w:b w:val="0"/>
          <w:i w:val="0"/>
          <w:color w:val="2E74B5"/>
          <w:sz w:val="22"/>
        </w:rPr>
        <w:t xml:space="preserve">☐ </w:t>
      </w:r>
      <w:r>
        <w:t>A new provider sees onboarding guidance instead of zero-filled noise.</w:t>
      </w:r>
    </w:p>
    <w:p>
      <w:pPr>
        <w:spacing w:after="80" w:line="288" w:lineRule="auto"/>
        <w:ind w:left="259" w:hanging="259"/>
      </w:pPr>
      <w:r>
        <w:rPr>
          <w:rFonts w:ascii="Calibri" w:hAnsi="Calibri"/>
          <w:b w:val="0"/>
          <w:i w:val="0"/>
          <w:color w:val="2E74B5"/>
          <w:sz w:val="22"/>
        </w:rPr>
        <w:t xml:space="preserve">☐ </w:t>
      </w:r>
      <w:r>
        <w:t>No metric is calculated differently between dashboard and detail screens.</w:t>
      </w:r>
    </w:p>
    <w:p>
      <w:r>
        <w:br w:type="page"/>
      </w:r>
    </w:p>
    <w:p>
      <w:pPr>
        <w:pStyle w:val="Heading1"/>
      </w:pPr>
      <w:r>
        <w:t>Phase 2 — Operational workspace</w:t>
      </w:r>
    </w:p>
    <w:p>
      <w:r>
        <w:t>Goal: turn the overview into a complete daily-work system while keeping the overview itself simple.</w:t>
      </w:r>
    </w:p>
    <w:p>
      <w:pPr>
        <w:pStyle w:val="Heading2"/>
      </w:pPr>
      <w:r>
        <w:t>Leads</w:t>
      </w:r>
    </w:p>
    <w:p>
      <w:pPr>
        <w:pStyle w:val="ListBullet"/>
        <w:spacing w:after="80" w:line="300" w:lineRule="auto"/>
      </w:pPr>
      <w:r>
        <w:t>Status pipeline: new, contacted, qualified, converted, lost</w:t>
      </w:r>
    </w:p>
    <w:p>
      <w:pPr>
        <w:pStyle w:val="ListBullet"/>
        <w:spacing w:after="80" w:line="300" w:lineRule="auto"/>
      </w:pPr>
      <w:r>
        <w:t>Owner, follow-up date, notes, response-time indicator and loss reason</w:t>
      </w:r>
    </w:p>
    <w:p>
      <w:pPr>
        <w:pStyle w:val="ListBullet"/>
        <w:spacing w:after="80" w:line="300" w:lineRule="auto"/>
      </w:pPr>
      <w:r>
        <w:t>Search, filters, sorting, bulk assignment for facility teams</w:t>
      </w:r>
    </w:p>
    <w:p>
      <w:pPr>
        <w:pStyle w:val="Heading2"/>
      </w:pPr>
      <w:r>
        <w:t>Bookings</w:t>
      </w:r>
    </w:p>
    <w:p>
      <w:pPr>
        <w:pStyle w:val="ListBullet"/>
        <w:spacing w:after="80" w:line="300" w:lineRule="auto"/>
      </w:pPr>
      <w:r>
        <w:t>Calendar and list views</w:t>
      </w:r>
    </w:p>
    <w:p>
      <w:pPr>
        <w:pStyle w:val="ListBullet"/>
        <w:spacing w:after="80" w:line="300" w:lineRule="auto"/>
      </w:pPr>
      <w:r>
        <w:t>Confirm, reschedule, cancel, mark attendance and complete</w:t>
      </w:r>
    </w:p>
    <w:p>
      <w:pPr>
        <w:pStyle w:val="ListBullet"/>
        <w:spacing w:after="80" w:line="300" w:lineRule="auto"/>
      </w:pPr>
      <w:r>
        <w:t>Conflict warnings, client history, payment and refund state</w:t>
      </w:r>
    </w:p>
    <w:p>
      <w:pPr>
        <w:pStyle w:val="Heading2"/>
      </w:pPr>
      <w:r>
        <w:t>Clients</w:t>
      </w:r>
    </w:p>
    <w:p>
      <w:pPr>
        <w:pStyle w:val="ListBullet"/>
        <w:spacing w:after="80" w:line="300" w:lineRule="auto"/>
      </w:pPr>
      <w:r>
        <w:t>Client summary, first/repeat flag and booking history</w:t>
      </w:r>
    </w:p>
    <w:p>
      <w:pPr>
        <w:pStyle w:val="ListBullet"/>
        <w:spacing w:after="80" w:line="300" w:lineRule="auto"/>
      </w:pPr>
      <w:r>
        <w:t>Communication preferences and consent</w:t>
      </w:r>
    </w:p>
    <w:p>
      <w:pPr>
        <w:pStyle w:val="ListBullet"/>
        <w:spacing w:after="80" w:line="300" w:lineRule="auto"/>
      </w:pPr>
      <w:r>
        <w:t>Provider-scoped notes with restricted access</w:t>
      </w:r>
    </w:p>
    <w:p>
      <w:pPr>
        <w:pStyle w:val="Heading2"/>
      </w:pPr>
      <w:r>
        <w:t>Payments</w:t>
      </w:r>
    </w:p>
    <w:p>
      <w:pPr>
        <w:pStyle w:val="ListBullet"/>
        <w:spacing w:after="80" w:line="300" w:lineRule="auto"/>
      </w:pPr>
      <w:r>
        <w:t>Pending-verification queue and transaction references</w:t>
      </w:r>
    </w:p>
    <w:p>
      <w:pPr>
        <w:pStyle w:val="ListBullet"/>
        <w:spacing w:after="80" w:line="300" w:lineRule="auto"/>
      </w:pPr>
      <w:r>
        <w:t>Receipts, refunds, discrepancies and reconciliation state</w:t>
      </w:r>
    </w:p>
    <w:p>
      <w:pPr>
        <w:pStyle w:val="ListBullet"/>
        <w:spacing w:after="80" w:line="300" w:lineRule="auto"/>
      </w:pPr>
      <w:r>
        <w:t>Subscription invoice and renewal history</w:t>
      </w:r>
    </w:p>
    <w:p>
      <w:pPr>
        <w:pStyle w:val="Heading1"/>
      </w:pPr>
      <w:r>
        <w:t>Phase 3 — Basic analytics</w:t>
      </w:r>
    </w:p>
    <w:p>
      <w:r>
        <w:t>Goal: fulfill the analytics-dashboard promise with understandable, trustworthy metrics before introducing advanced attribution.</w:t>
      </w:r>
    </w:p>
    <w:p>
      <w:pPr>
        <w:pStyle w:val="ListBullet"/>
        <w:spacing w:after="80" w:line="300" w:lineRule="auto"/>
      </w:pPr>
      <w:r>
        <w:t>Date selector: 7, 30 and 90 days plus custom range.</w:t>
      </w:r>
    </w:p>
    <w:p>
      <w:pPr>
        <w:pStyle w:val="ListBullet"/>
        <w:spacing w:after="80" w:line="300" w:lineRule="auto"/>
      </w:pPr>
      <w:r>
        <w:t>KPI trend: profile views, leads, bookings, booking value and conversion rate.</w:t>
      </w:r>
    </w:p>
    <w:p>
      <w:pPr>
        <w:pStyle w:val="ListBullet"/>
        <w:spacing w:after="80" w:line="300" w:lineRule="auto"/>
      </w:pPr>
      <w:r>
        <w:t>Simple funnel: impressions → profile views → leads → bookings.</w:t>
      </w:r>
    </w:p>
    <w:p>
      <w:pPr>
        <w:pStyle w:val="ListBullet"/>
        <w:spacing w:after="80" w:line="300" w:lineRule="auto"/>
      </w:pPr>
      <w:r>
        <w:t>Bookings and revenue trend by day/week.</w:t>
      </w:r>
    </w:p>
    <w:p>
      <w:pPr>
        <w:pStyle w:val="ListBullet"/>
        <w:spacing w:after="80" w:line="300" w:lineRule="auto"/>
      </w:pPr>
      <w:r>
        <w:t>Top services and lead sources.</w:t>
      </w:r>
    </w:p>
    <w:p>
      <w:pPr>
        <w:pStyle w:val="ListBullet"/>
        <w:spacing w:after="80" w:line="300" w:lineRule="auto"/>
      </w:pPr>
      <w:r>
        <w:t>New versus returning clients, cancellation rate and no-show rate.</w:t>
      </w:r>
    </w:p>
    <w:p>
      <w:pPr>
        <w:pStyle w:val="ListBullet"/>
        <w:spacing w:after="80" w:line="300" w:lineRule="auto"/>
      </w:pPr>
      <w:r>
        <w:t>Metric tooltip, previous-period comparison and last-updated timestamp.</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EAF5EE"/>
            <w:vAlign w:val="center"/>
            <w:tcMar>
              <w:top w:w="80" w:type="dxa"/>
              <w:start w:w="120" w:type="dxa"/>
              <w:bottom w:w="80" w:type="dxa"/>
              <w:end w:w="120" w:type="dxa"/>
            </w:tcMar>
          </w:tcPr>
          <w:p>
            <w:pPr>
              <w:spacing w:after="40"/>
            </w:pPr>
            <w:r>
              <w:rPr>
                <w:rFonts w:ascii="Calibri" w:hAnsi="Calibri"/>
                <w:b/>
                <w:i w:val="0"/>
                <w:color w:val="2E7D4F"/>
                <w:sz w:val="21"/>
              </w:rPr>
              <w:t xml:space="preserve">Analytics gate  </w:t>
            </w:r>
            <w:r>
              <w:rPr>
                <w:rFonts w:ascii="Calibri" w:hAnsi="Calibri"/>
                <w:b w:val="0"/>
                <w:i w:val="0"/>
                <w:color w:val="17324D"/>
                <w:sz w:val="21"/>
              </w:rPr>
              <w:t>Do not release a chart until its source events have at least one complete reporting period, duplicate-event controls, known timezone handling, and reconciliation against transactional totals.</w:t>
            </w:r>
          </w:p>
        </w:tc>
      </w:tr>
    </w:tbl>
    <w:p>
      <w:pPr>
        <w:spacing w:after="0"/>
      </w:pPr>
    </w:p>
    <w:p>
      <w:r>
        <w:br w:type="page"/>
      </w:r>
    </w:p>
    <w:p>
      <w:pPr>
        <w:pStyle w:val="Heading1"/>
      </w:pPr>
      <w:r>
        <w:t>Phase 4 — Premium growth analytics</w:t>
      </w:r>
    </w:p>
    <w:p>
      <w:r>
        <w:t>Goal: prove the business value of homepage promotion, featured search placement and custom campaigns.</w:t>
      </w:r>
    </w:p>
    <w:p>
      <w:pPr>
        <w:pStyle w:val="ListBullet"/>
        <w:spacing w:after="80" w:line="300" w:lineRule="auto"/>
      </w:pPr>
      <w:r>
        <w:t>Organic versus promoted impressions, profile visits, leads and bookings.</w:t>
      </w:r>
    </w:p>
    <w:p>
      <w:pPr>
        <w:pStyle w:val="ListBullet"/>
        <w:spacing w:after="80" w:line="300" w:lineRule="auto"/>
      </w:pPr>
      <w:r>
        <w:t>Average search position and visibility by category, county and device.</w:t>
      </w:r>
    </w:p>
    <w:p>
      <w:pPr>
        <w:pStyle w:val="ListBullet"/>
        <w:spacing w:after="80" w:line="300" w:lineRule="auto"/>
      </w:pPr>
      <w:r>
        <w:t>Campaign performance: impressions, clicks, leads, bookings and attributed value.</w:t>
      </w:r>
    </w:p>
    <w:p>
      <w:pPr>
        <w:pStyle w:val="ListBullet"/>
        <w:spacing w:after="80" w:line="300" w:lineRule="auto"/>
      </w:pPr>
      <w:r>
        <w:t>Lead and client cohorts by acquisition month, service and source.</w:t>
      </w:r>
    </w:p>
    <w:p>
      <w:pPr>
        <w:pStyle w:val="ListBullet"/>
        <w:spacing w:after="80" w:line="300" w:lineRule="auto"/>
      </w:pPr>
      <w:r>
        <w:t>Repeat-booking rate, estimated lifetime value and retention windows.</w:t>
      </w:r>
    </w:p>
    <w:p>
      <w:pPr>
        <w:pStyle w:val="ListBullet"/>
        <w:spacing w:after="80" w:line="300" w:lineRule="auto"/>
      </w:pPr>
      <w:r>
        <w:t>Downloadable CSV/PDF reports and scheduled summaries.</w:t>
      </w:r>
    </w:p>
    <w:p>
      <w:pPr>
        <w:pStyle w:val="ListBullet"/>
        <w:spacing w:after="80" w:line="300" w:lineRule="auto"/>
      </w:pPr>
      <w:r>
        <w:t>Account-manager notes, campaign approvals and recommendations.</w:t>
      </w:r>
    </w:p>
    <w:p>
      <w:pPr>
        <w:pStyle w:val="Heading1"/>
      </w:pPr>
      <w:r>
        <w:t>Phase 5 — Facility premium modules</w:t>
      </w:r>
    </w:p>
    <w:p>
      <w:pPr>
        <w:pStyle w:val="Heading2"/>
      </w:pPr>
      <w:r>
        <w:t>Memberships</w:t>
      </w:r>
    </w:p>
    <w:p>
      <w:pPr>
        <w:pStyle w:val="ListBullet"/>
        <w:spacing w:after="80" w:line="300" w:lineRule="auto"/>
      </w:pPr>
      <w:r>
        <w:t>Inquiry-to-member pipeline</w:t>
      </w:r>
    </w:p>
    <w:p>
      <w:pPr>
        <w:pStyle w:val="ListBullet"/>
        <w:spacing w:after="80" w:line="300" w:lineRule="auto"/>
      </w:pPr>
      <w:r>
        <w:t>Plan, start, renewal, pause and expiry</w:t>
      </w:r>
    </w:p>
    <w:p>
      <w:pPr>
        <w:pStyle w:val="ListBullet"/>
        <w:spacing w:after="80" w:line="300" w:lineRule="auto"/>
      </w:pPr>
      <w:r>
        <w:t>Branch, service and membership revenue views</w:t>
      </w:r>
    </w:p>
    <w:p>
      <w:pPr>
        <w:pStyle w:val="Heading2"/>
      </w:pPr>
      <w:r>
        <w:t>Recruitment</w:t>
      </w:r>
    </w:p>
    <w:p>
      <w:pPr>
        <w:pStyle w:val="ListBullet"/>
        <w:spacing w:after="80" w:line="300" w:lineRule="auto"/>
      </w:pPr>
      <w:r>
        <w:t>Vacancies, applicants and qualifications</w:t>
      </w:r>
    </w:p>
    <w:p>
      <w:pPr>
        <w:pStyle w:val="ListBullet"/>
        <w:spacing w:after="80" w:line="300" w:lineRule="auto"/>
      </w:pPr>
      <w:r>
        <w:t>Pipeline stages, interview dates and hiring outcome</w:t>
      </w:r>
    </w:p>
    <w:p>
      <w:pPr>
        <w:pStyle w:val="ListBullet"/>
        <w:spacing w:after="80" w:line="300" w:lineRule="auto"/>
      </w:pPr>
      <w:r>
        <w:t>Restricted recruiter permissions and document access</w:t>
      </w:r>
    </w:p>
    <w:p>
      <w:pPr>
        <w:pStyle w:val="Heading2"/>
      </w:pPr>
      <w:r>
        <w:t>Events</w:t>
      </w:r>
    </w:p>
    <w:p>
      <w:pPr>
        <w:pStyle w:val="ListBullet"/>
        <w:spacing w:after="80" w:line="300" w:lineRule="auto"/>
      </w:pPr>
      <w:r>
        <w:t>Create, publish and promote events</w:t>
      </w:r>
    </w:p>
    <w:p>
      <w:pPr>
        <w:pStyle w:val="ListBullet"/>
        <w:spacing w:after="80" w:line="300" w:lineRule="auto"/>
      </w:pPr>
      <w:r>
        <w:t>Capacity, registrations, attendance and waitlist</w:t>
      </w:r>
    </w:p>
    <w:p>
      <w:pPr>
        <w:pStyle w:val="ListBullet"/>
        <w:spacing w:after="80" w:line="300" w:lineRule="auto"/>
      </w:pPr>
      <w:r>
        <w:t>Event revenue and promotion conversion</w:t>
      </w:r>
    </w:p>
    <w:p>
      <w:pPr>
        <w:pStyle w:val="Heading2"/>
      </w:pPr>
      <w:r>
        <w:t>Multi-location</w:t>
      </w:r>
    </w:p>
    <w:p>
      <w:pPr>
        <w:pStyle w:val="ListBullet"/>
        <w:spacing w:after="80" w:line="300" w:lineRule="auto"/>
      </w:pPr>
      <w:r>
        <w:t>Branch filter and branch-level permissions</w:t>
      </w:r>
    </w:p>
    <w:p>
      <w:pPr>
        <w:pStyle w:val="ListBullet"/>
        <w:spacing w:after="80" w:line="300" w:lineRule="auto"/>
      </w:pPr>
      <w:r>
        <w:t>Location comparison and roll-up totals</w:t>
      </w:r>
    </w:p>
    <w:p>
      <w:pPr>
        <w:pStyle w:val="ListBullet"/>
        <w:spacing w:after="80" w:line="300" w:lineRule="auto"/>
      </w:pPr>
      <w:r>
        <w:t>Shared versus location-specific trainers and services</w:t>
      </w:r>
    </w:p>
    <w:p>
      <w:pPr>
        <w:pStyle w:val="Heading1"/>
      </w:pPr>
      <w:r>
        <w:t>Phase 6 — FitLink admin command centre</w:t>
      </w:r>
    </w:p>
    <w:p>
      <w:pPr>
        <w:pStyle w:val="ListBullet"/>
        <w:spacing w:after="80" w:line="300" w:lineRule="auto"/>
      </w:pPr>
      <w:r>
        <w:t>Marketplace overview: active providers, clients, bookings, value and conversion.</w:t>
      </w:r>
    </w:p>
    <w:p>
      <w:pPr>
        <w:pStyle w:val="ListBullet"/>
        <w:spacing w:after="80" w:line="300" w:lineRule="auto"/>
      </w:pPr>
      <w:r>
        <w:t>Provider approval and document-verification queue.</w:t>
      </w:r>
    </w:p>
    <w:p>
      <w:pPr>
        <w:pStyle w:val="ListBullet"/>
        <w:spacing w:after="80" w:line="300" w:lineRule="auto"/>
      </w:pPr>
      <w:r>
        <w:t>Payment verification, subscriptions, delinquency and refunds.</w:t>
      </w:r>
    </w:p>
    <w:p>
      <w:pPr>
        <w:pStyle w:val="ListBullet"/>
        <w:spacing w:after="80" w:line="300" w:lineRule="auto"/>
      </w:pPr>
      <w:r>
        <w:t>Referral locks, commission ledger, settlement and discrepancy workflow.</w:t>
      </w:r>
    </w:p>
    <w:p>
      <w:pPr>
        <w:pStyle w:val="ListBullet"/>
        <w:spacing w:after="80" w:line="300" w:lineRule="auto"/>
      </w:pPr>
      <w:r>
        <w:t>Promotion inventory, featured-placement scheduling and campaign approvals.</w:t>
      </w:r>
    </w:p>
    <w:p>
      <w:pPr>
        <w:pStyle w:val="ListBullet"/>
        <w:spacing w:after="80" w:line="300" w:lineRule="auto"/>
      </w:pPr>
      <w:r>
        <w:t>Review moderation, support SLA, fraud alerts and immutable audit log.</w:t>
      </w:r>
    </w:p>
    <w:p>
      <w:r>
        <w:br w:type="page"/>
      </w:r>
    </w:p>
    <w:p>
      <w:pPr>
        <w:pStyle w:val="Heading1"/>
      </w:pPr>
      <w:r>
        <w:t>5. Dashboard design checklist</w:t>
      </w:r>
    </w:p>
    <w:p>
      <w:pPr>
        <w:pStyle w:val="Heading2"/>
      </w:pPr>
      <w:r>
        <w:t>Product and metric rules</w:t>
      </w:r>
    </w:p>
    <w:p>
      <w:pPr>
        <w:spacing w:after="80" w:line="288" w:lineRule="auto"/>
        <w:ind w:left="259" w:hanging="259"/>
      </w:pPr>
      <w:r>
        <w:rPr>
          <w:rFonts w:ascii="Calibri" w:hAnsi="Calibri"/>
          <w:b w:val="0"/>
          <w:i w:val="0"/>
          <w:color w:val="2E74B5"/>
          <w:sz w:val="22"/>
        </w:rPr>
        <w:t xml:space="preserve">☐ </w:t>
      </w:r>
      <w:r>
        <w:t>Confirm tier inheritance and access-control rules.</w:t>
      </w:r>
    </w:p>
    <w:p>
      <w:pPr>
        <w:spacing w:after="80" w:line="288" w:lineRule="auto"/>
        <w:ind w:left="259" w:hanging="259"/>
      </w:pPr>
      <w:r>
        <w:rPr>
          <w:rFonts w:ascii="Calibri" w:hAnsi="Calibri"/>
          <w:b w:val="0"/>
          <w:i w:val="0"/>
          <w:color w:val="2E74B5"/>
          <w:sz w:val="22"/>
        </w:rPr>
        <w:t xml:space="preserve">☐ </w:t>
      </w:r>
      <w:r>
        <w:t>Define lead, inquiry, booking, successful booking and active membership.</w:t>
      </w:r>
    </w:p>
    <w:p>
      <w:pPr>
        <w:spacing w:after="80" w:line="288" w:lineRule="auto"/>
        <w:ind w:left="259" w:hanging="259"/>
      </w:pPr>
      <w:r>
        <w:rPr>
          <w:rFonts w:ascii="Calibri" w:hAnsi="Calibri"/>
          <w:b w:val="0"/>
          <w:i w:val="0"/>
          <w:color w:val="2E74B5"/>
          <w:sz w:val="22"/>
        </w:rPr>
        <w:t xml:space="preserve">☐ </w:t>
      </w:r>
      <w:r>
        <w:t>Document formulas, refresh rate, owner and source for every KPI.</w:t>
      </w:r>
    </w:p>
    <w:p>
      <w:pPr>
        <w:spacing w:after="80" w:line="288" w:lineRule="auto"/>
        <w:ind w:left="259" w:hanging="259"/>
      </w:pPr>
      <w:r>
        <w:rPr>
          <w:rFonts w:ascii="Calibri" w:hAnsi="Calibri"/>
          <w:b w:val="0"/>
          <w:i w:val="0"/>
          <w:color w:val="2E74B5"/>
          <w:sz w:val="22"/>
        </w:rPr>
        <w:t xml:space="preserve">☐ </w:t>
      </w:r>
      <w:r>
        <w:t>Define plan-limit reset and over-limit behavior.</w:t>
      </w:r>
    </w:p>
    <w:p>
      <w:pPr>
        <w:spacing w:after="80" w:line="288" w:lineRule="auto"/>
        <w:ind w:left="259" w:hanging="259"/>
      </w:pPr>
      <w:r>
        <w:rPr>
          <w:rFonts w:ascii="Calibri" w:hAnsi="Calibri"/>
          <w:b w:val="0"/>
          <w:i w:val="0"/>
          <w:color w:val="2E74B5"/>
          <w:sz w:val="22"/>
        </w:rPr>
        <w:t xml:space="preserve">☐ </w:t>
      </w:r>
      <w:r>
        <w:t>Define featured-placement ranking and fair-rotation rules.</w:t>
      </w:r>
    </w:p>
    <w:p>
      <w:pPr>
        <w:pStyle w:val="Heading2"/>
      </w:pPr>
      <w:r>
        <w:t>Information architecture</w:t>
      </w:r>
    </w:p>
    <w:p>
      <w:pPr>
        <w:spacing w:after="80" w:line="288" w:lineRule="auto"/>
        <w:ind w:left="259" w:hanging="259"/>
      </w:pPr>
      <w:r>
        <w:rPr>
          <w:rFonts w:ascii="Calibri" w:hAnsi="Calibri"/>
          <w:b w:val="0"/>
          <w:i w:val="0"/>
          <w:color w:val="2E74B5"/>
          <w:sz w:val="22"/>
        </w:rPr>
        <w:t xml:space="preserve">☐ </w:t>
      </w:r>
      <w:r>
        <w:t>Provide role-specific navigation for trainer, facility and admin users.</w:t>
      </w:r>
    </w:p>
    <w:p>
      <w:pPr>
        <w:spacing w:after="80" w:line="288" w:lineRule="auto"/>
        <w:ind w:left="259" w:hanging="259"/>
      </w:pPr>
      <w:r>
        <w:rPr>
          <w:rFonts w:ascii="Calibri" w:hAnsi="Calibri"/>
          <w:b w:val="0"/>
          <w:i w:val="0"/>
          <w:color w:val="2E74B5"/>
          <w:sz w:val="22"/>
        </w:rPr>
        <w:t xml:space="preserve">☐ </w:t>
      </w:r>
      <w:r>
        <w:t>Keep the overview focused on status and next actions.</w:t>
      </w:r>
    </w:p>
    <w:p>
      <w:pPr>
        <w:spacing w:after="80" w:line="288" w:lineRule="auto"/>
        <w:ind w:left="259" w:hanging="259"/>
      </w:pPr>
      <w:r>
        <w:rPr>
          <w:rFonts w:ascii="Calibri" w:hAnsi="Calibri"/>
          <w:b w:val="0"/>
          <w:i w:val="0"/>
          <w:color w:val="2E74B5"/>
          <w:sz w:val="22"/>
        </w:rPr>
        <w:t xml:space="preserve">☐ </w:t>
      </w:r>
      <w:r>
        <w:t>Use global provider/location/date filters only where relevant.</w:t>
      </w:r>
    </w:p>
    <w:p>
      <w:pPr>
        <w:spacing w:after="80" w:line="288" w:lineRule="auto"/>
        <w:ind w:left="259" w:hanging="259"/>
      </w:pPr>
      <w:r>
        <w:rPr>
          <w:rFonts w:ascii="Calibri" w:hAnsi="Calibri"/>
          <w:b w:val="0"/>
          <w:i w:val="0"/>
          <w:color w:val="2E74B5"/>
          <w:sz w:val="22"/>
        </w:rPr>
        <w:t xml:space="preserve">☐ </w:t>
      </w:r>
      <w:r>
        <w:t>Show current plan and urgent account state persistently.</w:t>
      </w:r>
    </w:p>
    <w:p>
      <w:pPr>
        <w:spacing w:after="80" w:line="288" w:lineRule="auto"/>
        <w:ind w:left="259" w:hanging="259"/>
      </w:pPr>
      <w:r>
        <w:rPr>
          <w:rFonts w:ascii="Calibri" w:hAnsi="Calibri"/>
          <w:b w:val="0"/>
          <w:i w:val="0"/>
          <w:color w:val="2E74B5"/>
          <w:sz w:val="22"/>
        </w:rPr>
        <w:t xml:space="preserve">☐ </w:t>
      </w:r>
      <w:r>
        <w:t>Design clear empty, loading, error and permission-denied states.</w:t>
      </w:r>
    </w:p>
    <w:p>
      <w:pPr>
        <w:pStyle w:val="Heading2"/>
      </w:pPr>
      <w:r>
        <w:t>Interaction and accessibility</w:t>
      </w:r>
    </w:p>
    <w:p>
      <w:pPr>
        <w:spacing w:after="80" w:line="288" w:lineRule="auto"/>
        <w:ind w:left="259" w:hanging="259"/>
      </w:pPr>
      <w:r>
        <w:rPr>
          <w:rFonts w:ascii="Calibri" w:hAnsi="Calibri"/>
          <w:b w:val="0"/>
          <w:i w:val="0"/>
          <w:color w:val="2E74B5"/>
          <w:sz w:val="22"/>
        </w:rPr>
        <w:t xml:space="preserve">☐ </w:t>
      </w:r>
      <w:r>
        <w:t>Ensure keyboard navigation and visible focus states.</w:t>
      </w:r>
    </w:p>
    <w:p>
      <w:pPr>
        <w:spacing w:after="80" w:line="288" w:lineRule="auto"/>
        <w:ind w:left="259" w:hanging="259"/>
      </w:pPr>
      <w:r>
        <w:rPr>
          <w:rFonts w:ascii="Calibri" w:hAnsi="Calibri"/>
          <w:b w:val="0"/>
          <w:i w:val="0"/>
          <w:color w:val="2E74B5"/>
          <w:sz w:val="22"/>
        </w:rPr>
        <w:t xml:space="preserve">☐ </w:t>
      </w:r>
      <w:r>
        <w:t>Use text labels alongside color and icons.</w:t>
      </w:r>
    </w:p>
    <w:p>
      <w:pPr>
        <w:spacing w:after="80" w:line="288" w:lineRule="auto"/>
        <w:ind w:left="259" w:hanging="259"/>
      </w:pPr>
      <w:r>
        <w:rPr>
          <w:rFonts w:ascii="Calibri" w:hAnsi="Calibri"/>
          <w:b w:val="0"/>
          <w:i w:val="0"/>
          <w:color w:val="2E74B5"/>
          <w:sz w:val="22"/>
        </w:rPr>
        <w:t xml:space="preserve">☐ </w:t>
      </w:r>
      <w:r>
        <w:t>Meet WCAG AA contrast for text and interactive controls.</w:t>
      </w:r>
    </w:p>
    <w:p>
      <w:pPr>
        <w:spacing w:after="80" w:line="288" w:lineRule="auto"/>
        <w:ind w:left="259" w:hanging="259"/>
      </w:pPr>
      <w:r>
        <w:rPr>
          <w:rFonts w:ascii="Calibri" w:hAnsi="Calibri"/>
          <w:b w:val="0"/>
          <w:i w:val="0"/>
          <w:color w:val="2E74B5"/>
          <w:sz w:val="22"/>
        </w:rPr>
        <w:t xml:space="preserve">☐ </w:t>
      </w:r>
      <w:r>
        <w:t>Make tables responsive with card/list alternatives on small screens.</w:t>
      </w:r>
    </w:p>
    <w:p>
      <w:pPr>
        <w:spacing w:after="80" w:line="288" w:lineRule="auto"/>
        <w:ind w:left="259" w:hanging="259"/>
      </w:pPr>
      <w:r>
        <w:rPr>
          <w:rFonts w:ascii="Calibri" w:hAnsi="Calibri"/>
          <w:b w:val="0"/>
          <w:i w:val="0"/>
          <w:color w:val="2E74B5"/>
          <w:sz w:val="22"/>
        </w:rPr>
        <w:t xml:space="preserve">☐ </w:t>
      </w:r>
      <w:r>
        <w:t>Confirm actions with clear success/error feedback and undo where practical.</w:t>
      </w:r>
    </w:p>
    <w:p>
      <w:pPr>
        <w:pStyle w:val="Heading2"/>
      </w:pPr>
      <w:r>
        <w:t>Security and privacy</w:t>
      </w:r>
    </w:p>
    <w:p>
      <w:pPr>
        <w:spacing w:after="80" w:line="288" w:lineRule="auto"/>
        <w:ind w:left="259" w:hanging="259"/>
      </w:pPr>
      <w:r>
        <w:rPr>
          <w:rFonts w:ascii="Calibri" w:hAnsi="Calibri"/>
          <w:b w:val="0"/>
          <w:i w:val="0"/>
          <w:color w:val="2E74B5"/>
          <w:sz w:val="22"/>
        </w:rPr>
        <w:t xml:space="preserve">☐ </w:t>
      </w:r>
      <w:r>
        <w:t>Enforce provider ownership and role permissions server-side.</w:t>
      </w:r>
    </w:p>
    <w:p>
      <w:pPr>
        <w:spacing w:after="80" w:line="288" w:lineRule="auto"/>
        <w:ind w:left="259" w:hanging="259"/>
      </w:pPr>
      <w:r>
        <w:rPr>
          <w:rFonts w:ascii="Calibri" w:hAnsi="Calibri"/>
          <w:b w:val="0"/>
          <w:i w:val="0"/>
          <w:color w:val="2E74B5"/>
          <w:sz w:val="22"/>
        </w:rPr>
        <w:t xml:space="preserve">☐ </w:t>
      </w:r>
      <w:r>
        <w:t>Mask phone and transaction details in summary views.</w:t>
      </w:r>
    </w:p>
    <w:p>
      <w:pPr>
        <w:spacing w:after="80" w:line="288" w:lineRule="auto"/>
        <w:ind w:left="259" w:hanging="259"/>
      </w:pPr>
      <w:r>
        <w:rPr>
          <w:rFonts w:ascii="Calibri" w:hAnsi="Calibri"/>
          <w:b w:val="0"/>
          <w:i w:val="0"/>
          <w:color w:val="2E74B5"/>
          <w:sz w:val="22"/>
        </w:rPr>
        <w:t xml:space="preserve">☐ </w:t>
      </w:r>
      <w:r>
        <w:t>Keep certificates and verification documents private.</w:t>
      </w:r>
    </w:p>
    <w:p>
      <w:pPr>
        <w:spacing w:after="80" w:line="288" w:lineRule="auto"/>
        <w:ind w:left="259" w:hanging="259"/>
      </w:pPr>
      <w:r>
        <w:rPr>
          <w:rFonts w:ascii="Calibri" w:hAnsi="Calibri"/>
          <w:b w:val="0"/>
          <w:i w:val="0"/>
          <w:color w:val="2E74B5"/>
          <w:sz w:val="22"/>
        </w:rPr>
        <w:t xml:space="preserve">☐ </w:t>
      </w:r>
      <w:r>
        <w:t>Record audit events for approval, payment and commission changes.</w:t>
      </w:r>
    </w:p>
    <w:p>
      <w:pPr>
        <w:spacing w:after="80" w:line="288" w:lineRule="auto"/>
        <w:ind w:left="259" w:hanging="259"/>
      </w:pPr>
      <w:r>
        <w:rPr>
          <w:rFonts w:ascii="Calibri" w:hAnsi="Calibri"/>
          <w:b w:val="0"/>
          <w:i w:val="0"/>
          <w:color w:val="2E74B5"/>
          <w:sz w:val="22"/>
        </w:rPr>
        <w:t xml:space="preserve">☐ </w:t>
      </w:r>
      <w:r>
        <w:t>Support data retention, export and deletion policies.</w:t>
      </w:r>
    </w:p>
    <w:p>
      <w:pPr>
        <w:pStyle w:val="Heading2"/>
      </w:pPr>
      <w:r>
        <w:t>Data quality</w:t>
      </w:r>
    </w:p>
    <w:p>
      <w:pPr>
        <w:spacing w:after="80" w:line="288" w:lineRule="auto"/>
        <w:ind w:left="259" w:hanging="259"/>
      </w:pPr>
      <w:r>
        <w:rPr>
          <w:rFonts w:ascii="Calibri" w:hAnsi="Calibri"/>
          <w:b w:val="0"/>
          <w:i w:val="0"/>
          <w:color w:val="2E74B5"/>
          <w:sz w:val="22"/>
        </w:rPr>
        <w:t xml:space="preserve">☐ </w:t>
      </w:r>
      <w:r>
        <w:t>Use stable IDs and server timestamps.</w:t>
      </w:r>
    </w:p>
    <w:p>
      <w:pPr>
        <w:spacing w:after="80" w:line="288" w:lineRule="auto"/>
        <w:ind w:left="259" w:hanging="259"/>
      </w:pPr>
      <w:r>
        <w:rPr>
          <w:rFonts w:ascii="Calibri" w:hAnsi="Calibri"/>
          <w:b w:val="0"/>
          <w:i w:val="0"/>
          <w:color w:val="2E74B5"/>
          <w:sz w:val="22"/>
        </w:rPr>
        <w:t xml:space="preserve">☐ </w:t>
      </w:r>
      <w:r>
        <w:t>Make event ingestion idempotent and deduplicate retries.</w:t>
      </w:r>
    </w:p>
    <w:p>
      <w:pPr>
        <w:spacing w:after="80" w:line="288" w:lineRule="auto"/>
        <w:ind w:left="259" w:hanging="259"/>
      </w:pPr>
      <w:r>
        <w:rPr>
          <w:rFonts w:ascii="Calibri" w:hAnsi="Calibri"/>
          <w:b w:val="0"/>
          <w:i w:val="0"/>
          <w:color w:val="2E74B5"/>
          <w:sz w:val="22"/>
        </w:rPr>
        <w:t xml:space="preserve">☐ </w:t>
      </w:r>
      <w:r>
        <w:t>Attach source/campaign fields to lead and booking creation.</w:t>
      </w:r>
    </w:p>
    <w:p>
      <w:pPr>
        <w:spacing w:after="80" w:line="288" w:lineRule="auto"/>
        <w:ind w:left="259" w:hanging="259"/>
      </w:pPr>
      <w:r>
        <w:rPr>
          <w:rFonts w:ascii="Calibri" w:hAnsi="Calibri"/>
          <w:b w:val="0"/>
          <w:i w:val="0"/>
          <w:color w:val="2E74B5"/>
          <w:sz w:val="22"/>
        </w:rPr>
        <w:t xml:space="preserve">☐ </w:t>
      </w:r>
      <w:r>
        <w:t>Exclude bots, test accounts and internal traffic from analytics.</w:t>
      </w:r>
    </w:p>
    <w:p>
      <w:pPr>
        <w:spacing w:after="80" w:line="288" w:lineRule="auto"/>
        <w:ind w:left="259" w:hanging="259"/>
      </w:pPr>
      <w:r>
        <w:rPr>
          <w:rFonts w:ascii="Calibri" w:hAnsi="Calibri"/>
          <w:b w:val="0"/>
          <w:i w:val="0"/>
          <w:color w:val="2E74B5"/>
          <w:sz w:val="22"/>
        </w:rPr>
        <w:t xml:space="preserve">☐ </w:t>
      </w:r>
      <w:r>
        <w:t>Reconcile analytical totals with booking and payment records.</w:t>
      </w:r>
    </w:p>
    <w:p>
      <w:pPr>
        <w:pStyle w:val="Heading1"/>
      </w:pPr>
      <w:r>
        <w:t>6. Suggested implementation order</w:t>
      </w:r>
    </w:p>
    <w:p>
      <w:pPr>
        <w:pStyle w:val="ListNumber"/>
        <w:spacing w:after="80" w:line="300" w:lineRule="auto"/>
      </w:pPr>
      <w:r>
        <w:t>Write the metric dictionary and plan-entitlement matrix.</w:t>
      </w:r>
    </w:p>
    <w:p>
      <w:pPr>
        <w:pStyle w:val="ListNumber"/>
        <w:spacing w:after="80" w:line="300" w:lineRule="auto"/>
      </w:pPr>
      <w:r>
        <w:t>Finalize Firestore records and indexes for providers, leads, bookings, payments, subscriptions and reviews.</w:t>
      </w:r>
    </w:p>
    <w:p>
      <w:pPr>
        <w:pStyle w:val="ListNumber"/>
        <w:spacing w:after="80" w:line="300" w:lineRule="auto"/>
      </w:pPr>
      <w:r>
        <w:t>Build shared dashboard shell, navigation, permissions and responsive layout.</w:t>
      </w:r>
    </w:p>
    <w:p>
      <w:pPr>
        <w:pStyle w:val="ListNumber"/>
        <w:spacing w:after="80" w:line="300" w:lineRule="auto"/>
      </w:pPr>
      <w:r>
        <w:t>Deliver Phase 1 overview using transactional data only.</w:t>
      </w:r>
    </w:p>
    <w:p>
      <w:pPr>
        <w:pStyle w:val="ListNumber"/>
        <w:spacing w:after="80" w:line="300" w:lineRule="auto"/>
      </w:pPr>
      <w:r>
        <w:t>Add Phase 2 detail screens and operational actions.</w:t>
      </w:r>
    </w:p>
    <w:p>
      <w:pPr>
        <w:pStyle w:val="ListNumber"/>
        <w:spacing w:after="80" w:line="300" w:lineRule="auto"/>
      </w:pPr>
      <w:r>
        <w:t>Instrument discovery and conversion events; validate them for one full reporting period.</w:t>
      </w:r>
    </w:p>
    <w:p>
      <w:pPr>
        <w:pStyle w:val="ListNumber"/>
        <w:spacing w:after="80" w:line="300" w:lineRule="auto"/>
      </w:pPr>
      <w:r>
        <w:t>Release basic analytics, then premium attribution and facility modules.</w:t>
      </w:r>
    </w:p>
    <w:p>
      <w:pPr>
        <w:pStyle w:val="ListNumber"/>
        <w:spacing w:after="80" w:line="300" w:lineRule="auto"/>
      </w:pPr>
      <w:r>
        <w:t>Build the admin command centre once provider workflows and data definitions have stabilized.</w:t>
      </w:r>
    </w:p>
    <w:p>
      <w:pPr>
        <w:pStyle w:val="Heading1"/>
      </w:pPr>
      <w:r>
        <w:t>7. Phase 1 screen blueprint</w:t>
      </w:r>
    </w:p>
    <w:tbl>
      <w:tblPr>
        <w:tblStyle w:val="TableGrid"/>
        <w:tblW w:type="dxa" w:w="9360"/>
        <w:jc w:val="left"/>
        <w:tblLayout w:type="fixed"/>
        <w:tblLook w:firstColumn="1" w:firstRow="1" w:lastColumn="0" w:lastRow="0" w:noHBand="0" w:noVBand="1" w:val="04A0"/>
        <w:tblInd w:w="120" w:type="dxa"/>
      </w:tblPr>
      <w:tblGrid>
        <w:gridCol w:w="1350"/>
        <w:gridCol w:w="2200"/>
        <w:gridCol w:w="5810"/>
      </w:tblGrid>
      <w:tr>
        <w:trPr>
          <w:tblHeader w:val="true"/>
        </w:trPr>
        <w:tc>
          <w:tcPr>
            <w:tcW w:type="dxa" w:w="1350"/>
            <w:shd w:fill="E8EEF5"/>
            <w:vAlign w:val="center"/>
            <w:tcMar>
              <w:top w:w="80" w:type="dxa"/>
              <w:start w:w="120" w:type="dxa"/>
              <w:bottom w:w="80" w:type="dxa"/>
              <w:end w:w="120" w:type="dxa"/>
            </w:tcMar>
          </w:tcPr>
          <w:p>
            <w:pPr>
              <w:spacing w:after="0"/>
            </w:pPr>
            <w:r>
              <w:rPr>
                <w:rFonts w:ascii="Calibri" w:hAnsi="Calibri"/>
                <w:b/>
                <w:i w:val="0"/>
                <w:color w:val="17324D"/>
                <w:sz w:val="20"/>
              </w:rPr>
              <w:t>Area</w:t>
            </w:r>
          </w:p>
        </w:tc>
        <w:tc>
          <w:tcPr>
            <w:tcW w:type="dxa" w:w="2200"/>
            <w:shd w:fill="E8EEF5"/>
            <w:vAlign w:val="center"/>
            <w:tcMar>
              <w:top w:w="80" w:type="dxa"/>
              <w:start w:w="120" w:type="dxa"/>
              <w:bottom w:w="80" w:type="dxa"/>
              <w:end w:w="120" w:type="dxa"/>
            </w:tcMar>
          </w:tcPr>
          <w:p>
            <w:pPr>
              <w:spacing w:after="0"/>
            </w:pPr>
            <w:r>
              <w:rPr>
                <w:rFonts w:ascii="Calibri" w:hAnsi="Calibri"/>
                <w:b/>
                <w:i w:val="0"/>
                <w:color w:val="17324D"/>
                <w:sz w:val="20"/>
              </w:rPr>
              <w:t>Component</w:t>
            </w:r>
          </w:p>
        </w:tc>
        <w:tc>
          <w:tcPr>
            <w:tcW w:type="dxa" w:w="5810"/>
            <w:shd w:fill="E8EEF5"/>
            <w:vAlign w:val="center"/>
            <w:tcMar>
              <w:top w:w="80" w:type="dxa"/>
              <w:start w:w="120" w:type="dxa"/>
              <w:bottom w:w="80" w:type="dxa"/>
              <w:end w:w="120" w:type="dxa"/>
            </w:tcMar>
          </w:tcPr>
          <w:p>
            <w:pPr>
              <w:spacing w:after="0"/>
            </w:pPr>
            <w:r>
              <w:rPr>
                <w:rFonts w:ascii="Calibri" w:hAnsi="Calibri"/>
                <w:b/>
                <w:i w:val="0"/>
                <w:color w:val="17324D"/>
                <w:sz w:val="20"/>
              </w:rPr>
              <w:t>Required fields / behavior</w:t>
            </w:r>
          </w:p>
        </w:tc>
      </w:tr>
      <w:tr>
        <w:tc>
          <w:tcPr>
            <w:tcW w:type="dxa" w:w="1350"/>
            <w:vAlign w:val="center"/>
            <w:tcMar>
              <w:top w:w="80" w:type="dxa"/>
              <w:start w:w="120" w:type="dxa"/>
              <w:bottom w:w="80" w:type="dxa"/>
              <w:end w:w="120" w:type="dxa"/>
            </w:tcMar>
          </w:tcPr>
          <w:p>
            <w:pPr>
              <w:spacing w:after="0"/>
            </w:pPr>
            <w:r>
              <w:rPr>
                <w:rFonts w:ascii="Calibri" w:hAnsi="Calibri"/>
                <w:b w:val="0"/>
                <w:i w:val="0"/>
                <w:color w:val="263746"/>
                <w:sz w:val="19"/>
              </w:rPr>
              <w:t>Header</w:t>
            </w:r>
          </w:p>
        </w:tc>
        <w:tc>
          <w:tcPr>
            <w:tcW w:type="dxa" w:w="2200"/>
            <w:vAlign w:val="center"/>
            <w:tcMar>
              <w:top w:w="80" w:type="dxa"/>
              <w:start w:w="120" w:type="dxa"/>
              <w:bottom w:w="80" w:type="dxa"/>
              <w:end w:w="120" w:type="dxa"/>
            </w:tcMar>
          </w:tcPr>
          <w:p>
            <w:pPr>
              <w:spacing w:after="0"/>
            </w:pPr>
            <w:r>
              <w:rPr>
                <w:rFonts w:ascii="Calibri" w:hAnsi="Calibri"/>
                <w:b w:val="0"/>
                <w:i w:val="0"/>
                <w:color w:val="263746"/>
                <w:sz w:val="19"/>
              </w:rPr>
              <w:t>Greeting + account state</w:t>
            </w:r>
          </w:p>
        </w:tc>
        <w:tc>
          <w:tcPr>
            <w:tcW w:type="dxa" w:w="5810"/>
            <w:vAlign w:val="center"/>
            <w:tcMar>
              <w:top w:w="80" w:type="dxa"/>
              <w:start w:w="120" w:type="dxa"/>
              <w:bottom w:w="80" w:type="dxa"/>
              <w:end w:w="120" w:type="dxa"/>
            </w:tcMar>
          </w:tcPr>
          <w:p>
            <w:pPr>
              <w:spacing w:after="0"/>
            </w:pPr>
            <w:r>
              <w:rPr>
                <w:rFonts w:ascii="Calibri" w:hAnsi="Calibri"/>
                <w:b w:val="0"/>
                <w:i w:val="0"/>
                <w:color w:val="263746"/>
                <w:sz w:val="19"/>
              </w:rPr>
              <w:t>Provider name, plan badge, verification state, notification entry</w:t>
            </w:r>
          </w:p>
        </w:tc>
      </w:tr>
      <w:tr>
        <w:tc>
          <w:tcPr>
            <w:tcW w:type="dxa" w:w="1350"/>
            <w:vAlign w:val="center"/>
            <w:tcMar>
              <w:top w:w="80" w:type="dxa"/>
              <w:start w:w="120" w:type="dxa"/>
              <w:bottom w:w="80" w:type="dxa"/>
              <w:end w:w="120" w:type="dxa"/>
            </w:tcMar>
          </w:tcPr>
          <w:p>
            <w:pPr>
              <w:spacing w:after="0"/>
            </w:pPr>
            <w:r>
              <w:rPr>
                <w:rFonts w:ascii="Calibri" w:hAnsi="Calibri"/>
                <w:b w:val="0"/>
                <w:i w:val="0"/>
                <w:color w:val="263746"/>
                <w:sz w:val="19"/>
              </w:rPr>
              <w:t>KPI row</w:t>
            </w:r>
          </w:p>
        </w:tc>
        <w:tc>
          <w:tcPr>
            <w:tcW w:type="dxa" w:w="2200"/>
            <w:vAlign w:val="center"/>
            <w:tcMar>
              <w:top w:w="80" w:type="dxa"/>
              <w:start w:w="120" w:type="dxa"/>
              <w:bottom w:w="80" w:type="dxa"/>
              <w:end w:w="120" w:type="dxa"/>
            </w:tcMar>
          </w:tcPr>
          <w:p>
            <w:pPr>
              <w:spacing w:after="0"/>
            </w:pPr>
            <w:r>
              <w:rPr>
                <w:rFonts w:ascii="Calibri" w:hAnsi="Calibri"/>
                <w:b w:val="0"/>
                <w:i w:val="0"/>
                <w:color w:val="263746"/>
                <w:sz w:val="19"/>
              </w:rPr>
              <w:t>4 cards</w:t>
            </w:r>
          </w:p>
        </w:tc>
        <w:tc>
          <w:tcPr>
            <w:tcW w:type="dxa" w:w="5810"/>
            <w:vAlign w:val="center"/>
            <w:tcMar>
              <w:top w:w="80" w:type="dxa"/>
              <w:start w:w="120" w:type="dxa"/>
              <w:bottom w:w="80" w:type="dxa"/>
              <w:end w:w="120" w:type="dxa"/>
            </w:tcMar>
          </w:tcPr>
          <w:p>
            <w:pPr>
              <w:spacing w:after="0"/>
            </w:pPr>
            <w:r>
              <w:rPr>
                <w:rFonts w:ascii="Calibri" w:hAnsi="Calibri"/>
                <w:b w:val="0"/>
                <w:i w:val="0"/>
                <w:color w:val="263746"/>
                <w:sz w:val="19"/>
              </w:rPr>
              <w:t>Upcoming bookings; new leads; pending payment value; rating</w:t>
            </w:r>
          </w:p>
        </w:tc>
      </w:tr>
      <w:tr>
        <w:tc>
          <w:tcPr>
            <w:tcW w:type="dxa" w:w="1350"/>
            <w:vAlign w:val="center"/>
            <w:tcMar>
              <w:top w:w="80" w:type="dxa"/>
              <w:start w:w="120" w:type="dxa"/>
              <w:bottom w:w="80" w:type="dxa"/>
              <w:end w:w="120" w:type="dxa"/>
            </w:tcMar>
          </w:tcPr>
          <w:p>
            <w:pPr>
              <w:spacing w:after="0"/>
            </w:pPr>
            <w:r>
              <w:rPr>
                <w:rFonts w:ascii="Calibri" w:hAnsi="Calibri"/>
                <w:b w:val="0"/>
                <w:i w:val="0"/>
                <w:color w:val="263746"/>
                <w:sz w:val="19"/>
              </w:rPr>
              <w:t>Primary</w:t>
            </w:r>
          </w:p>
        </w:tc>
        <w:tc>
          <w:tcPr>
            <w:tcW w:type="dxa" w:w="2200"/>
            <w:vAlign w:val="center"/>
            <w:tcMar>
              <w:top w:w="80" w:type="dxa"/>
              <w:start w:w="120" w:type="dxa"/>
              <w:bottom w:w="80" w:type="dxa"/>
              <w:end w:w="120" w:type="dxa"/>
            </w:tcMar>
          </w:tcPr>
          <w:p>
            <w:pPr>
              <w:spacing w:after="0"/>
            </w:pPr>
            <w:r>
              <w:rPr>
                <w:rFonts w:ascii="Calibri" w:hAnsi="Calibri"/>
                <w:b w:val="0"/>
                <w:i w:val="0"/>
                <w:color w:val="263746"/>
                <w:sz w:val="19"/>
              </w:rPr>
              <w:t>Upcoming bookings</w:t>
            </w:r>
          </w:p>
        </w:tc>
        <w:tc>
          <w:tcPr>
            <w:tcW w:type="dxa" w:w="5810"/>
            <w:vAlign w:val="center"/>
            <w:tcMar>
              <w:top w:w="80" w:type="dxa"/>
              <w:start w:w="120" w:type="dxa"/>
              <w:bottom w:w="80" w:type="dxa"/>
              <w:end w:w="120" w:type="dxa"/>
            </w:tcMar>
          </w:tcPr>
          <w:p>
            <w:pPr>
              <w:spacing w:after="0"/>
            </w:pPr>
            <w:r>
              <w:rPr>
                <w:rFonts w:ascii="Calibri" w:hAnsi="Calibri"/>
                <w:b w:val="0"/>
                <w:i w:val="0"/>
                <w:color w:val="263746"/>
                <w:sz w:val="19"/>
              </w:rPr>
              <w:t>Next five; date/time; client; service; status; view action</w:t>
            </w:r>
          </w:p>
        </w:tc>
      </w:tr>
      <w:tr>
        <w:tc>
          <w:tcPr>
            <w:tcW w:type="dxa" w:w="1350"/>
            <w:vAlign w:val="center"/>
            <w:tcMar>
              <w:top w:w="80" w:type="dxa"/>
              <w:start w:w="120" w:type="dxa"/>
              <w:bottom w:w="80" w:type="dxa"/>
              <w:end w:w="120" w:type="dxa"/>
            </w:tcMar>
          </w:tcPr>
          <w:p>
            <w:pPr>
              <w:spacing w:after="0"/>
            </w:pPr>
            <w:r>
              <w:rPr>
                <w:rFonts w:ascii="Calibri" w:hAnsi="Calibri"/>
                <w:b w:val="0"/>
                <w:i w:val="0"/>
                <w:color w:val="263746"/>
                <w:sz w:val="19"/>
              </w:rPr>
              <w:t>Primary</w:t>
            </w:r>
          </w:p>
        </w:tc>
        <w:tc>
          <w:tcPr>
            <w:tcW w:type="dxa" w:w="2200"/>
            <w:vAlign w:val="center"/>
            <w:tcMar>
              <w:top w:w="80" w:type="dxa"/>
              <w:start w:w="120" w:type="dxa"/>
              <w:bottom w:w="80" w:type="dxa"/>
              <w:end w:w="120" w:type="dxa"/>
            </w:tcMar>
          </w:tcPr>
          <w:p>
            <w:pPr>
              <w:spacing w:after="0"/>
            </w:pPr>
            <w:r>
              <w:rPr>
                <w:rFonts w:ascii="Calibri" w:hAnsi="Calibri"/>
                <w:b w:val="0"/>
                <w:i w:val="0"/>
                <w:color w:val="263746"/>
                <w:sz w:val="19"/>
              </w:rPr>
              <w:t>New leads</w:t>
            </w:r>
          </w:p>
        </w:tc>
        <w:tc>
          <w:tcPr>
            <w:tcW w:type="dxa" w:w="5810"/>
            <w:vAlign w:val="center"/>
            <w:tcMar>
              <w:top w:w="80" w:type="dxa"/>
              <w:start w:w="120" w:type="dxa"/>
              <w:bottom w:w="80" w:type="dxa"/>
              <w:end w:w="120" w:type="dxa"/>
            </w:tcMar>
          </w:tcPr>
          <w:p>
            <w:pPr>
              <w:spacing w:after="0"/>
            </w:pPr>
            <w:r>
              <w:rPr>
                <w:rFonts w:ascii="Calibri" w:hAnsi="Calibri"/>
                <w:b w:val="0"/>
                <w:i w:val="0"/>
                <w:color w:val="263746"/>
                <w:sz w:val="19"/>
              </w:rPr>
              <w:t>Newest five; age; service; source; respond action</w:t>
            </w:r>
          </w:p>
        </w:tc>
      </w:tr>
      <w:tr>
        <w:tc>
          <w:tcPr>
            <w:tcW w:type="dxa" w:w="1350"/>
            <w:vAlign w:val="center"/>
            <w:tcMar>
              <w:top w:w="80" w:type="dxa"/>
              <w:start w:w="120" w:type="dxa"/>
              <w:bottom w:w="80" w:type="dxa"/>
              <w:end w:w="120" w:type="dxa"/>
            </w:tcMar>
          </w:tcPr>
          <w:p>
            <w:pPr>
              <w:spacing w:after="0"/>
            </w:pPr>
            <w:r>
              <w:rPr>
                <w:rFonts w:ascii="Calibri" w:hAnsi="Calibri"/>
                <w:b w:val="0"/>
                <w:i w:val="0"/>
                <w:color w:val="263746"/>
                <w:sz w:val="19"/>
              </w:rPr>
              <w:t>Secondary</w:t>
            </w:r>
          </w:p>
        </w:tc>
        <w:tc>
          <w:tcPr>
            <w:tcW w:type="dxa" w:w="2200"/>
            <w:vAlign w:val="center"/>
            <w:tcMar>
              <w:top w:w="80" w:type="dxa"/>
              <w:start w:w="120" w:type="dxa"/>
              <w:bottom w:w="80" w:type="dxa"/>
              <w:end w:w="120" w:type="dxa"/>
            </w:tcMar>
          </w:tcPr>
          <w:p>
            <w:pPr>
              <w:spacing w:after="0"/>
            </w:pPr>
            <w:r>
              <w:rPr>
                <w:rFonts w:ascii="Calibri" w:hAnsi="Calibri"/>
                <w:b w:val="0"/>
                <w:i w:val="0"/>
                <w:color w:val="263746"/>
                <w:sz w:val="19"/>
              </w:rPr>
              <w:t>Subscription</w:t>
            </w:r>
          </w:p>
        </w:tc>
        <w:tc>
          <w:tcPr>
            <w:tcW w:type="dxa" w:w="5810"/>
            <w:vAlign w:val="center"/>
            <w:tcMar>
              <w:top w:w="80" w:type="dxa"/>
              <w:start w:w="120" w:type="dxa"/>
              <w:bottom w:w="80" w:type="dxa"/>
              <w:end w:w="120" w:type="dxa"/>
            </w:tcMar>
          </w:tcPr>
          <w:p>
            <w:pPr>
              <w:spacing w:after="0"/>
            </w:pPr>
            <w:r>
              <w:rPr>
                <w:rFonts w:ascii="Calibri" w:hAnsi="Calibri"/>
                <w:b w:val="0"/>
                <w:i w:val="0"/>
                <w:color w:val="263746"/>
                <w:sz w:val="19"/>
              </w:rPr>
              <w:t>Plan; status; renewal/expiry; billing action</w:t>
            </w:r>
          </w:p>
        </w:tc>
      </w:tr>
      <w:tr>
        <w:tc>
          <w:tcPr>
            <w:tcW w:type="dxa" w:w="1350"/>
            <w:vAlign w:val="center"/>
            <w:tcMar>
              <w:top w:w="80" w:type="dxa"/>
              <w:start w:w="120" w:type="dxa"/>
              <w:bottom w:w="80" w:type="dxa"/>
              <w:end w:w="120" w:type="dxa"/>
            </w:tcMar>
          </w:tcPr>
          <w:p>
            <w:pPr>
              <w:spacing w:after="0"/>
            </w:pPr>
            <w:r>
              <w:rPr>
                <w:rFonts w:ascii="Calibri" w:hAnsi="Calibri"/>
                <w:b w:val="0"/>
                <w:i w:val="0"/>
                <w:color w:val="263746"/>
                <w:sz w:val="19"/>
              </w:rPr>
              <w:t>Secondary</w:t>
            </w:r>
          </w:p>
        </w:tc>
        <w:tc>
          <w:tcPr>
            <w:tcW w:type="dxa" w:w="2200"/>
            <w:vAlign w:val="center"/>
            <w:tcMar>
              <w:top w:w="80" w:type="dxa"/>
              <w:start w:w="120" w:type="dxa"/>
              <w:bottom w:w="80" w:type="dxa"/>
              <w:end w:w="120" w:type="dxa"/>
            </w:tcMar>
          </w:tcPr>
          <w:p>
            <w:pPr>
              <w:spacing w:after="0"/>
            </w:pPr>
            <w:r>
              <w:rPr>
                <w:rFonts w:ascii="Calibri" w:hAnsi="Calibri"/>
                <w:b w:val="0"/>
                <w:i w:val="0"/>
                <w:color w:val="263746"/>
                <w:sz w:val="19"/>
              </w:rPr>
              <w:t>Profile progress</w:t>
            </w:r>
          </w:p>
        </w:tc>
        <w:tc>
          <w:tcPr>
            <w:tcW w:type="dxa" w:w="5810"/>
            <w:vAlign w:val="center"/>
            <w:tcMar>
              <w:top w:w="80" w:type="dxa"/>
              <w:start w:w="120" w:type="dxa"/>
              <w:bottom w:w="80" w:type="dxa"/>
              <w:end w:w="120" w:type="dxa"/>
            </w:tcMar>
          </w:tcPr>
          <w:p>
            <w:pPr>
              <w:spacing w:after="0"/>
            </w:pPr>
            <w:r>
              <w:rPr>
                <w:rFonts w:ascii="Calibri" w:hAnsi="Calibri"/>
                <w:b w:val="0"/>
                <w:i w:val="0"/>
                <w:color w:val="263746"/>
                <w:sz w:val="19"/>
              </w:rPr>
              <w:t>Approval; verification; missing profile items</w:t>
            </w:r>
          </w:p>
        </w:tc>
      </w:tr>
      <w:tr>
        <w:tc>
          <w:tcPr>
            <w:tcW w:type="dxa" w:w="1350"/>
            <w:vAlign w:val="center"/>
            <w:tcMar>
              <w:top w:w="80" w:type="dxa"/>
              <w:start w:w="120" w:type="dxa"/>
              <w:bottom w:w="80" w:type="dxa"/>
              <w:end w:w="120" w:type="dxa"/>
            </w:tcMar>
          </w:tcPr>
          <w:p>
            <w:pPr>
              <w:spacing w:after="0"/>
            </w:pPr>
            <w:r>
              <w:rPr>
                <w:rFonts w:ascii="Calibri" w:hAnsi="Calibri"/>
                <w:b w:val="0"/>
                <w:i w:val="0"/>
                <w:color w:val="263746"/>
                <w:sz w:val="19"/>
              </w:rPr>
              <w:t>Actions</w:t>
            </w:r>
          </w:p>
        </w:tc>
        <w:tc>
          <w:tcPr>
            <w:tcW w:type="dxa" w:w="2200"/>
            <w:vAlign w:val="center"/>
            <w:tcMar>
              <w:top w:w="80" w:type="dxa"/>
              <w:start w:w="120" w:type="dxa"/>
              <w:bottom w:w="80" w:type="dxa"/>
              <w:end w:w="120" w:type="dxa"/>
            </w:tcMar>
          </w:tcPr>
          <w:p>
            <w:pPr>
              <w:spacing w:after="0"/>
            </w:pPr>
            <w:r>
              <w:rPr>
                <w:rFonts w:ascii="Calibri" w:hAnsi="Calibri"/>
                <w:b w:val="0"/>
                <w:i w:val="0"/>
                <w:color w:val="263746"/>
                <w:sz w:val="19"/>
              </w:rPr>
              <w:t>Quick-action group</w:t>
            </w:r>
          </w:p>
        </w:tc>
        <w:tc>
          <w:tcPr>
            <w:tcW w:type="dxa" w:w="5810"/>
            <w:vAlign w:val="center"/>
            <w:tcMar>
              <w:top w:w="80" w:type="dxa"/>
              <w:start w:w="120" w:type="dxa"/>
              <w:bottom w:w="80" w:type="dxa"/>
              <w:end w:w="120" w:type="dxa"/>
            </w:tcMar>
          </w:tcPr>
          <w:p>
            <w:pPr>
              <w:spacing w:after="0"/>
            </w:pPr>
            <w:r>
              <w:rPr>
                <w:rFonts w:ascii="Calibri" w:hAnsi="Calibri"/>
                <w:b w:val="0"/>
                <w:i w:val="0"/>
                <w:color w:val="263746"/>
                <w:sz w:val="19"/>
              </w:rPr>
              <w:t>Availability; add booking; edit profile; add event; support</w:t>
            </w:r>
          </w:p>
        </w:tc>
      </w:tr>
    </w:tbl>
    <w:p>
      <w:pPr>
        <w:spacing w:after="0"/>
      </w:pPr>
    </w:p>
    <w:p>
      <w:pPr>
        <w:pStyle w:val="Heading2"/>
      </w:pPr>
      <w:r>
        <w:t>Definition of done for the simple dashboard</w:t>
      </w:r>
    </w:p>
    <w:p>
      <w:pPr>
        <w:spacing w:after="80" w:line="288" w:lineRule="auto"/>
        <w:ind w:left="259" w:hanging="259"/>
      </w:pPr>
      <w:r>
        <w:rPr>
          <w:rFonts w:ascii="Calibri" w:hAnsi="Calibri"/>
          <w:b w:val="0"/>
          <w:i w:val="0"/>
          <w:color w:val="2E74B5"/>
          <w:sz w:val="22"/>
        </w:rPr>
        <w:t xml:space="preserve">☐ </w:t>
      </w:r>
      <w:r>
        <w:t>Test data demonstrates a new provider, active provider, premium provider and facility.</w:t>
      </w:r>
    </w:p>
    <w:p>
      <w:pPr>
        <w:spacing w:after="80" w:line="288" w:lineRule="auto"/>
        <w:ind w:left="259" w:hanging="259"/>
      </w:pPr>
      <w:r>
        <w:rPr>
          <w:rFonts w:ascii="Calibri" w:hAnsi="Calibri"/>
          <w:b w:val="0"/>
          <w:i w:val="0"/>
          <w:color w:val="2E74B5"/>
          <w:sz w:val="22"/>
        </w:rPr>
        <w:t xml:space="preserve">☐ </w:t>
      </w:r>
      <w:r>
        <w:t>KPI values match source queries in automated tests.</w:t>
      </w:r>
    </w:p>
    <w:p>
      <w:pPr>
        <w:spacing w:after="80" w:line="288" w:lineRule="auto"/>
        <w:ind w:left="259" w:hanging="259"/>
      </w:pPr>
      <w:r>
        <w:rPr>
          <w:rFonts w:ascii="Calibri" w:hAnsi="Calibri"/>
          <w:b w:val="0"/>
          <w:i w:val="0"/>
          <w:color w:val="2E74B5"/>
          <w:sz w:val="22"/>
        </w:rPr>
        <w:t xml:space="preserve">☐ </w:t>
      </w:r>
      <w:r>
        <w:t>All visible actions navigate or execute successfully.</w:t>
      </w:r>
    </w:p>
    <w:p>
      <w:pPr>
        <w:spacing w:after="80" w:line="288" w:lineRule="auto"/>
        <w:ind w:left="259" w:hanging="259"/>
      </w:pPr>
      <w:r>
        <w:rPr>
          <w:rFonts w:ascii="Calibri" w:hAnsi="Calibri"/>
          <w:b w:val="0"/>
          <w:i w:val="0"/>
          <w:color w:val="2E74B5"/>
          <w:sz w:val="22"/>
        </w:rPr>
        <w:t xml:space="preserve">☐ </w:t>
      </w:r>
      <w:r>
        <w:t>Mobile, tablet and desktop layouts have been visually reviewed.</w:t>
      </w:r>
    </w:p>
    <w:p>
      <w:pPr>
        <w:spacing w:after="80" w:line="288" w:lineRule="auto"/>
        <w:ind w:left="259" w:hanging="259"/>
      </w:pPr>
      <w:r>
        <w:rPr>
          <w:rFonts w:ascii="Calibri" w:hAnsi="Calibri"/>
          <w:b w:val="0"/>
          <w:i w:val="0"/>
          <w:color w:val="2E74B5"/>
          <w:sz w:val="22"/>
        </w:rPr>
        <w:t xml:space="preserve">☐ </w:t>
      </w:r>
      <w:r>
        <w:t>Access-control tests prevent cross-provider data exposure.</w:t>
      </w:r>
    </w:p>
    <w:p>
      <w:pPr>
        <w:spacing w:after="80" w:line="288" w:lineRule="auto"/>
        <w:ind w:left="259" w:hanging="259"/>
      </w:pPr>
      <w:r>
        <w:rPr>
          <w:rFonts w:ascii="Calibri" w:hAnsi="Calibri"/>
          <w:b w:val="0"/>
          <w:i w:val="0"/>
          <w:color w:val="2E74B5"/>
          <w:sz w:val="22"/>
        </w:rPr>
        <w:t xml:space="preserve">☐ </w:t>
      </w:r>
      <w:r>
        <w:t>Performance is acceptable on a typical mobile connection.</w:t>
      </w:r>
    </w:p>
    <w:p>
      <w:pPr>
        <w:spacing w:after="80" w:line="288" w:lineRule="auto"/>
        <w:ind w:left="259" w:hanging="259"/>
      </w:pPr>
      <w:r>
        <w:rPr>
          <w:rFonts w:ascii="Calibri" w:hAnsi="Calibri"/>
          <w:b w:val="0"/>
          <w:i w:val="0"/>
          <w:color w:val="2E74B5"/>
          <w:sz w:val="22"/>
        </w:rPr>
        <w:t xml:space="preserve">☐ </w:t>
      </w:r>
      <w:r>
        <w:t>Product owner approves metric labels, empty states and upgrade messaging.</w:t>
      </w:r>
    </w:p>
    <w:p>
      <w:pPr>
        <w:pStyle w:val="Heading1"/>
      </w:pPr>
      <w:r>
        <w:t>8. Source references</w:t>
      </w:r>
    </w:p>
    <w:p>
      <w:r>
        <w:t>This plan is based on the current FitLink pricing and implementation files:</w:t>
      </w:r>
    </w:p>
    <w:p>
      <w:pPr>
        <w:pStyle w:val="ListBullet"/>
        <w:spacing w:after="80" w:line="300" w:lineRule="auto"/>
      </w:pPr>
      <w:r>
        <w:t>src/data/pricing.js — plan names, prices, feature promises and included capabilities</w:t>
      </w:r>
    </w:p>
    <w:p>
      <w:pPr>
        <w:pStyle w:val="ListBullet"/>
        <w:spacing w:after="80" w:line="300" w:lineRule="auto"/>
      </w:pPr>
      <w:r>
        <w:t>src/pages/Pricing.jsx — customer-facing pricing presentation and commission copy</w:t>
      </w:r>
    </w:p>
    <w:p>
      <w:pPr>
        <w:pStyle w:val="ListBullet"/>
        <w:spacing w:after="80" w:line="300" w:lineRule="auto"/>
      </w:pPr>
      <w:r>
        <w:t>src/lib/registrations.js — provider, plan, payment, photo and document records</w:t>
      </w:r>
    </w:p>
    <w:p>
      <w:pPr>
        <w:pStyle w:val="ListBullet"/>
        <w:spacing w:after="80" w:line="300" w:lineRule="auto"/>
      </w:pPr>
      <w:r>
        <w:t>src/components/PaymentModal.jsx — current manual Pochi/M-Pesa confirmation data</w:t>
      </w:r>
    </w:p>
    <w:p>
      <w:pPr>
        <w:pStyle w:val="ListBullet"/>
        <w:spacing w:after="80" w:line="300" w:lineRule="auto"/>
      </w:pPr>
      <w:r>
        <w:t>scripts/seed.js — production-shaped users, providers, bookings and plan data</w:t>
      </w:r>
    </w:p>
    <w:p>
      <w:pPr>
        <w:pStyle w:val="ListBullet"/>
        <w:spacing w:after="80" w:line="300" w:lineRule="auto"/>
      </w:pPr>
      <w:r>
        <w:t>scripts/commissions.js — permanent first-client referral lock and commission ledger</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5F6B76"/>
        <w:sz w:val="17"/>
      </w:rPr>
      <w:t>FitLink Kenya • Internal product planning •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i w:val="0"/>
        <w:color w:val="5F6B76"/>
        <w:sz w:val="17"/>
      </w:rPr>
      <w:t>FITLINK  |  DASHBOARD DELIVERY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FitLink Dashboard Incremental Plan</dc:title>
  <dc:subject>Incremental dashboard design and delivery checklist</dc:subject>
  <dc:creator>FitLink Product Planning</dc:creator>
  <cp:keywords>FitLink, dashboard, analytics, premium, roadmap</cp:keywords>
  <dc:description>generated by python-docx</dc:description>
  <cp:lastModifiedBy/>
  <cp:revision>1</cp:revision>
  <dcterms:created xsi:type="dcterms:W3CDTF">2013-12-23T23:15:00Z</dcterms:created>
  <dcterms:modified xsi:type="dcterms:W3CDTF">2013-12-23T23:15:00Z</dcterms:modified>
  <cp:category/>
</cp:coreProperties>
</file>