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CustomTitle"/>
        <w:jc w:val="center"/>
      </w:pPr>
      <w:r>
        <w:t>AI Project Methodology</w:t>
      </w:r>
    </w:p>
    <w:p>
      <w:pPr>
        <w:pStyle w:val="CustomHeading1"/>
        <w:jc w:val="center"/>
      </w:pPr>
      <w:r>
        <w:t>Customer Churn Prediction at RetailGenius</w:t>
      </w:r>
    </w:p>
    <w:p/>
    <w:p/>
    <w:p>
      <w:r>
        <w:rPr>
          <w:b/>
        </w:rPr>
        <w:t xml:space="preserve">Course: </w:t>
      </w:r>
      <w:r>
        <w:t>AI Project Methodology</w:t>
      </w:r>
    </w:p>
    <w:p>
      <w:r>
        <w:rPr>
          <w:b/>
        </w:rPr>
        <w:t xml:space="preserve">Institution: </w:t>
      </w:r>
      <w:r>
        <w:t>EPITA - International Programs</w:t>
      </w:r>
    </w:p>
    <w:p>
      <w:r>
        <w:rPr>
          <w:b/>
        </w:rPr>
        <w:t xml:space="preserve">Date: </w:t>
      </w:r>
      <w:r>
        <w:t>July 2024</w:t>
      </w:r>
    </w:p>
    <w:p>
      <w:r>
        <w:br w:type="page"/>
      </w:r>
    </w:p>
    <w:p>
      <w:pPr>
        <w:pStyle w:val="CustomHeading1"/>
        <w:jc w:val="center"/>
      </w:pPr>
      <w:r>
        <w:t>Table of Contents</w:t>
      </w:r>
    </w:p>
    <w:p>
      <w:r>
        <w:t>Abstract</w:t>
      </w:r>
    </w:p>
    <w:p>
      <w:r>
        <w:t>1. Introduction</w:t>
      </w:r>
    </w:p>
    <w:p>
      <w:r>
        <w:t>2. Part 1: AI Project Functional Methodologies</w:t>
      </w:r>
    </w:p>
    <w:p>
      <w:r>
        <w:t>3. Part 2: Model Deployment &amp; API</w:t>
      </w:r>
    </w:p>
    <w:p>
      <w:r>
        <w:t>4. Part 3: Explainable AI</w:t>
      </w:r>
    </w:p>
    <w:p>
      <w:r>
        <w:t>5. Technical Implementation</w:t>
      </w:r>
    </w:p>
    <w:p>
      <w:r>
        <w:t>6. Results and Analysis</w:t>
      </w:r>
    </w:p>
    <w:p>
      <w:r>
        <w:t>7. Business Impact</w:t>
      </w:r>
    </w:p>
    <w:p>
      <w:r>
        <w:t>8. Conclusion</w:t>
      </w:r>
    </w:p>
    <w:p>
      <w:r>
        <w:t>Appendices</w:t>
      </w:r>
    </w:p>
    <w:p>
      <w:r>
        <w:br w:type="page"/>
      </w:r>
    </w:p>
    <w:p>
      <w:pPr>
        <w:pStyle w:val="CustomHeading1"/>
      </w:pPr>
      <w:r>
        <w:t>Abstract</w:t>
      </w:r>
    </w:p>
    <w:p>
      <w:r>
        <w:br/>
        <w:t xml:space="preserve">    This report presents a comprehensive implementation of an AI-driven customer churn prediction system for RetailGenius, a fictional e-commerce company. The project demonstrates the complete lifecycle of an AI project from data preparation to model deployment, incorporating modern machine learning practices, explainable AI techniques, and production-ready API development.</w:t>
        <w:br/>
        <w:t xml:space="preserve">    </w:t>
        <w:br/>
        <w:t xml:space="preserve">    Using a dataset of 10,000 customers with 15 engineered features, we developed a Random Forest model achieving an F1 score of 0.85 and ROC AUC of 0.91. The implementation includes advanced feature engineering, multi-model comparison, MLflow experiment tracking, FastAPI deployment, and comprehensive SHAP analysis for model interpretability.</w:t>
        <w:br/>
        <w:t xml:space="preserve">    </w:t>
        <w:br/>
        <w:t xml:space="preserve">    The system successfully identifies key churn drivers including monthly charges, contract risk, and tenure, providing actionable insights for customer retention strategies. The project addresses all three parts of the AI methodology assignment: functional methodologies, model deployment, and explainable AI implementation.</w:t>
        <w:br/>
        <w:t xml:space="preserve">    </w:t>
      </w:r>
    </w:p>
    <w:p>
      <w:r>
        <w:br w:type="page"/>
      </w:r>
    </w:p>
    <w:p>
      <w:pPr>
        <w:pStyle w:val="CustomHeading1"/>
      </w:pPr>
      <w:r>
        <w:t>1. Part 1: AI Project Functional Methodologies</w:t>
      </w:r>
    </w:p>
    <w:p>
      <w:pPr>
        <w:pStyle w:val="CustomHeading2"/>
      </w:pPr>
      <w:r>
        <w:t>1.1 Project Strategy</w:t>
      </w:r>
    </w:p>
    <w:p>
      <w:r>
        <w:br/>
        <w:t xml:space="preserve">    The strategic objectives of this AI project in the context of customer churn include:</w:t>
        <w:br/>
        <w:t xml:space="preserve">    </w:t>
        <w:br/>
        <w:t xml:space="preserve">    • Proactive Customer Retention: Identify customers at risk of churning before they leave</w:t>
        <w:br/>
        <w:t xml:space="preserve">    • Data-Driven Decision Making: Provide evidence-based insights for retention strategies</w:t>
        <w:br/>
        <w:t xml:space="preserve">    • Operational Efficiency: Automate churn prediction and monitoring processes</w:t>
        <w:br/>
        <w:t xml:space="preserve">    • Competitive Advantage: Leverage AI for superior customer experience</w:t>
        <w:br/>
        <w:t xml:space="preserve">    </w:t>
        <w:br/>
        <w:t xml:space="preserve">    Key Performance Indicators (KPIs) used to measure success:</w:t>
        <w:br/>
        <w:t xml:space="preserve">    • Model Performance: F1 Score (0.85), ROC AUC (0.91), Accuracy (0.87)</w:t>
        <w:br/>
        <w:t xml:space="preserve">    • Business Metrics: Churn prediction rate, Risk level classification</w:t>
        <w:br/>
        <w:t xml:space="preserve">    • Operational Metrics: API response time, Model health monitoring</w:t>
        <w:br/>
        <w:t xml:space="preserve">    • Success Metrics: Feature importance ranking, Prediction confidence scores</w:t>
        <w:br/>
        <w:t xml:space="preserve">    </w:t>
      </w:r>
    </w:p>
    <w:p>
      <w:pPr>
        <w:pStyle w:val="CustomHeading2"/>
      </w:pPr>
      <w:r>
        <w:t>1.2 Project Design</w:t>
      </w:r>
    </w:p>
    <w:p>
      <w:r>
        <w:br/>
        <w:t xml:space="preserve">    Data Sources for Churn Prediction:</w:t>
        <w:br/>
        <w:t xml:space="preserve">    • Customer Demographics: Age, location, senior citizen status</w:t>
        <w:br/>
        <w:t xml:space="preserve">    • Service Information: Contract type, payment method, monthly charges</w:t>
        <w:br/>
        <w:t xml:space="preserve">    • Usage Patterns: Tenure, services used, streaming preferences</w:t>
        <w:br/>
        <w:t xml:space="preserve">    • Behavioral Data: Payment history, service interactions</w:t>
        <w:br/>
        <w:t xml:space="preserve">    • Risk Indicators: Contract risk, payment risk, tenure risk scores</w:t>
        <w:br/>
        <w:t xml:space="preserve">    </w:t>
        <w:br/>
        <w:t xml:space="preserve">    AI Models for Churn Prediction:</w:t>
        <w:br/>
        <w:t xml:space="preserve">    • Logistic Regression: Baseline model for interpretability</w:t>
        <w:br/>
        <w:t xml:space="preserve">    • Random Forest: Best performing model (F1=0.85, ROC AUC=0.91)</w:t>
        <w:br/>
        <w:t xml:space="preserve">    • Gradient Boosting: High performance alternative</w:t>
        <w:br/>
        <w:t xml:space="preserve">    • Support Vector Machine: Additional algorithm comparison</w:t>
        <w:br/>
        <w:t xml:space="preserve">    </w:t>
        <w:br/>
        <w:t xml:space="preserve">    Model Training, Validation, and Testing:</w:t>
        <w:br/>
        <w:t xml:space="preserve">    • Data Splitting: Train/test split (80/20) implemented</w:t>
        <w:br/>
        <w:t xml:space="preserve">    • Cross-Validation: 5-fold cross-validation for hyperparameter tuning</w:t>
        <w:br/>
        <w:t xml:space="preserve">    • Hyperparameter Tuning: GridSearchCV for optimal parameters</w:t>
        <w:br/>
        <w:t xml:space="preserve">    • Model Evaluation: Comprehensive metrics (accuracy, precision, recall, F1, ROC AUC)</w:t>
        <w:br/>
        <w:t xml:space="preserve">    </w:t>
        <w:br/>
        <w:t xml:space="preserve">    Model Versioning and Serving:</w:t>
        <w:br/>
        <w:t xml:space="preserve">    • MLflow Integration: Complete experiment tracking and model versioning</w:t>
        <w:br/>
        <w:t xml:space="preserve">    • Model Persistence: Models saved as .pkl files</w:t>
        <w:br/>
        <w:t xml:space="preserve">    • Model Registry: MLflow model registry for version management</w:t>
        <w:br/>
        <w:t xml:space="preserve">    • Artifact Logging: All models and metrics logged in MLflow</w:t>
        <w:br/>
        <w:t xml:space="preserve">    </w:t>
      </w:r>
    </w:p>
    <w:p>
      <w:pPr>
        <w:pStyle w:val="CustomHeading1"/>
      </w:pPr>
      <w:r>
        <w:t>2. Part 2: Model Deployment &amp; API</w:t>
      </w:r>
    </w:p>
    <w:p>
      <w:pPr>
        <w:pStyle w:val="CustomHeading2"/>
      </w:pPr>
      <w:r>
        <w:t>2.1 Deployment Strategies</w:t>
      </w:r>
    </w:p>
    <w:p>
      <w:r>
        <w:br/>
        <w:t xml:space="preserve">    The production deployment includes:</w:t>
        <w:br/>
        <w:t xml:space="preserve">    </w:t>
        <w:br/>
        <w:t xml:space="preserve">    • API Deployment: FastAPI application for real-time predictions</w:t>
        <w:br/>
        <w:t xml:space="preserve">    • Batch Processing: File upload endpoint for bulk predictions</w:t>
        <w:br/>
        <w:t xml:space="preserve">    • Health Monitoring: Health check endpoints for system status</w:t>
        <w:br/>
        <w:t xml:space="preserve">    • Documentation: Automatic API documentation with Swagger UI</w:t>
        <w:br/>
        <w:t xml:space="preserve">    </w:t>
        <w:br/>
        <w:t xml:space="preserve">    Production Environment Considerations:</w:t>
        <w:br/>
        <w:t xml:space="preserve">    • Scalability: Modular architecture for easy scaling</w:t>
        <w:br/>
        <w:t xml:space="preserve">    • Error Handling: Comprehensive error handling and validation</w:t>
        <w:br/>
        <w:t xml:space="preserve">    • Security: Input validation and sanitization</w:t>
        <w:br/>
        <w:t xml:space="preserve">    • Monitoring: Model health and performance monitoring</w:t>
        <w:br/>
        <w:t xml:space="preserve">    </w:t>
      </w:r>
    </w:p>
    <w:p>
      <w:pPr>
        <w:pStyle w:val="CustomHeading2"/>
      </w:pPr>
      <w:r>
        <w:t>2.2 API Endpoints</w:t>
      </w:r>
    </w:p>
    <w:p>
      <w:r>
        <w:br/>
        <w:t xml:space="preserve">    The FastAPI application provides the following endpoints:</w:t>
        <w:br/>
        <w:t xml:space="preserve">    </w:t>
        <w:br/>
        <w:t xml:space="preserve">    • /health - System health check</w:t>
        <w:br/>
        <w:t xml:space="preserve">    • /predict - Single customer prediction</w:t>
        <w:br/>
        <w:t xml:space="preserve">    • /predict/batch - Batch prediction for multiple customers</w:t>
        <w:br/>
        <w:t xml:space="preserve">    • /model/info - Model information and metadata</w:t>
        <w:br/>
        <w:t xml:space="preserve">    • /model/features - List of features used by the model</w:t>
        <w:br/>
        <w:t xml:space="preserve">    • /docs - Interactive API documentation (Swagger UI)</w:t>
        <w:br/>
        <w:t xml:space="preserve">    </w:t>
        <w:br/>
        <w:t xml:space="preserve">    Example API Response:</w:t>
        <w:br/>
        <w:t xml:space="preserve">    {</w:t>
        <w:br/>
        <w:t xml:space="preserve">        "customer_id": "CUST001",</w:t>
        <w:br/>
        <w:t xml:space="preserve">        "churn_probability": 0.15,</w:t>
        <w:br/>
        <w:t xml:space="preserve">        "risk_level": "Medium",</w:t>
        <w:br/>
        <w:t xml:space="preserve">        "confidence": 0.032,</w:t>
        <w:br/>
        <w:t xml:space="preserve">        "top_features": ["monthly_charges", "contract_risk", "tenure"]</w:t>
        <w:br/>
        <w:t xml:space="preserve">    }</w:t>
        <w:br/>
        <w:t xml:space="preserve">    </w:t>
      </w:r>
    </w:p>
    <w:p>
      <w:pPr>
        <w:pStyle w:val="CustomHeading1"/>
      </w:pPr>
      <w:r>
        <w:t>3. Part 3: Explainable AI</w:t>
      </w:r>
    </w:p>
    <w:p>
      <w:pPr>
        <w:pStyle w:val="CustomHeading2"/>
      </w:pPr>
      <w:r>
        <w:t>3.1 SHAP Analysis Implementation</w:t>
      </w:r>
    </w:p>
    <w:p>
      <w:r>
        <w:br/>
        <w:t xml:space="preserve">    Comprehensive SHAP analysis was implemented for model interpretability:</w:t>
        <w:br/>
        <w:t xml:space="preserve">    </w:t>
        <w:br/>
        <w:t xml:space="preserve">    Global Interpretability:</w:t>
        <w:br/>
        <w:t xml:space="preserve">    • Feature importance ranking across the entire dataset</w:t>
        <w:br/>
        <w:t xml:space="preserve">    • Understanding of model behavior and decision patterns</w:t>
        <w:br/>
        <w:t xml:space="preserve">    • Identification of key predictive factors</w:t>
        <w:br/>
        <w:t xml:space="preserve">    </w:t>
        <w:br/>
        <w:t xml:space="preserve">    Local Interpretability:</w:t>
        <w:br/>
        <w:t xml:space="preserve">    • Individual prediction explanations</w:t>
        <w:br/>
        <w:t xml:space="preserve">    • Customer-specific feature contributions</w:t>
        <w:br/>
        <w:t xml:space="preserve">    • Actionable insights for customer service</w:t>
        <w:br/>
        <w:t xml:space="preserve">    </w:t>
        <w:br/>
        <w:t xml:space="preserve">    Interaction Analysis:</w:t>
        <w:br/>
        <w:t xml:space="preserve">    • Feature interaction effects</w:t>
        <w:br/>
        <w:t xml:space="preserve">    • Complex relationship identification</w:t>
        <w:br/>
        <w:t xml:space="preserve">    • Advanced model understanding</w:t>
        <w:br/>
        <w:t xml:space="preserve">    </w:t>
      </w:r>
    </w:p>
    <w:p>
      <w:pPr>
        <w:pStyle w:val="CustomHeading2"/>
      </w:pPr>
      <w:r>
        <w:t>3.2 SHAP Summary Plot</w:t>
      </w:r>
    </w:p>
    <w:p>
      <w:r>
        <w:br/>
        <w:t xml:space="preserve">    The SHAP summary plot shows the global feature importance across all customers:</w:t>
        <w:br/>
        <w:t xml:space="preserve">    </w:t>
        <w:br/>
        <w:t xml:space="preserve">    Top 5 Most Important Features:</w:t>
        <w:br/>
        <w:t xml:space="preserve">    1. monthly_charges (0.0599) - 15.9% of total importance</w:t>
        <w:br/>
        <w:t xml:space="preserve">    2. contract_payment_interaction_encoded (0.0477) - 12.7% of total importance</w:t>
        <w:br/>
        <w:t xml:space="preserve">    3. contract_risk (0.0469) - 12.5% of total importance</w:t>
        <w:br/>
        <w:t xml:space="preserve">    4. tenure (0.0425) - 11.3% of total importance</w:t>
        <w:br/>
        <w:t xml:space="preserve">    5. contract_type_encoded (0.0350) - 9.3% of total importance</w:t>
        <w:br/>
        <w:t xml:space="preserve">    </w:t>
        <w:br/>
        <w:t xml:space="preserve">    Business Interpretation:</w:t>
        <w:br/>
        <w:t xml:space="preserve">    • Monthly charges are the strongest predictor of churn</w:t>
        <w:br/>
        <w:t xml:space="preserve">    • Contract-related factors significantly influence customer retention</w:t>
        <w:br/>
        <w:t xml:space="preserve">    • Customer tenure provides important historical context</w:t>
        <w:br/>
        <w:t xml:space="preserve">    • Payment method interactions reveal behavioral patterns</w:t>
        <w:br/>
        <w:t xml:space="preserve">    </w:t>
      </w:r>
    </w:p>
    <w:p>
      <w:r>
        <w:drawing>
          <wp:inline xmlns:a="http://schemas.openxmlformats.org/drawingml/2006/main" xmlns:pic="http://schemas.openxmlformats.org/drawingml/2006/picture">
            <wp:extent cx="5486400" cy="4718010"/>
            <wp:docPr id="1" name="Picture 1"/>
            <wp:cNvGraphicFramePr>
              <a:graphicFrameLocks noChangeAspect="1"/>
            </wp:cNvGraphicFramePr>
            <a:graphic>
              <a:graphicData uri="http://schemas.openxmlformats.org/drawingml/2006/picture">
                <pic:pic>
                  <pic:nvPicPr>
                    <pic:cNvPr id="0" name="shap_summary.png"/>
                    <pic:cNvPicPr/>
                  </pic:nvPicPr>
                  <pic:blipFill>
                    <a:blip r:embed="rId9"/>
                    <a:stretch>
                      <a:fillRect/>
                    </a:stretch>
                  </pic:blipFill>
                  <pic:spPr>
                    <a:xfrm>
                      <a:off x="0" y="0"/>
                      <a:ext cx="5486400" cy="4718010"/>
                    </a:xfrm>
                    <a:prstGeom prst="rect"/>
                  </pic:spPr>
                </pic:pic>
              </a:graphicData>
            </a:graphic>
          </wp:inline>
        </w:drawing>
      </w:r>
    </w:p>
    <w:p>
      <w:pPr>
        <w:jc w:val="center"/>
      </w:pPr>
      <w:r>
        <w:t>Figure 1: SHAP Feature Importance Summary</w:t>
      </w:r>
    </w:p>
    <w:p>
      <w:pPr>
        <w:pStyle w:val="CustomHeading2"/>
      </w:pPr>
      <w:r>
        <w:t>3.3 Individual Prediction Analysis</w:t>
      </w:r>
    </w:p>
    <w:p>
      <w:r>
        <w:br/>
        <w:t xml:space="preserve">    The SHAP waterfall plot explains individual customer predictions:</w:t>
        <w:br/>
        <w:t xml:space="preserve">    </w:t>
        <w:br/>
        <w:t xml:space="preserve">    Sample Customer Analysis (Sample 0):</w:t>
        <w:br/>
        <w:t xml:space="preserve">    • Predicted Churn Probability: 0.0050 (Very Low Risk)</w:t>
        <w:br/>
        <w:t xml:space="preserve">    • Key Contributing Factors:</w:t>
        <w:br/>
        <w:t xml:space="preserve">      - Contract payment interaction: -0.0530 (reducing churn risk)</w:t>
        <w:br/>
        <w:t xml:space="preserve">      - Contract risk: -0.0492 (reducing churn risk)</w:t>
        <w:br/>
        <w:t xml:space="preserve">      - Monthly charges: +0.0441 (increasing churn risk)</w:t>
        <w:br/>
        <w:t xml:space="preserve">    </w:t>
        <w:br/>
        <w:t xml:space="preserve">    Interpretation:</w:t>
        <w:br/>
        <w:t xml:space="preserve">    This customer has a very low churn risk due to favorable contract terms and payment arrangements, despite having relatively high monthly charges.</w:t>
        <w:br/>
        <w:t xml:space="preserve">    </w:t>
      </w:r>
    </w:p>
    <w:p>
      <w:r>
        <w:drawing>
          <wp:inline xmlns:a="http://schemas.openxmlformats.org/drawingml/2006/main" xmlns:pic="http://schemas.openxmlformats.org/drawingml/2006/picture">
            <wp:extent cx="5486400" cy="3640695"/>
            <wp:docPr id="2" name="Picture 2"/>
            <wp:cNvGraphicFramePr>
              <a:graphicFrameLocks noChangeAspect="1"/>
            </wp:cNvGraphicFramePr>
            <a:graphic>
              <a:graphicData uri="http://schemas.openxmlformats.org/drawingml/2006/picture">
                <pic:pic>
                  <pic:nvPicPr>
                    <pic:cNvPr id="0" name="shap_simple_waterfall.png"/>
                    <pic:cNvPicPr/>
                  </pic:nvPicPr>
                  <pic:blipFill>
                    <a:blip r:embed="rId10"/>
                    <a:stretch>
                      <a:fillRect/>
                    </a:stretch>
                  </pic:blipFill>
                  <pic:spPr>
                    <a:xfrm>
                      <a:off x="0" y="0"/>
                      <a:ext cx="5486400" cy="3640695"/>
                    </a:xfrm>
                    <a:prstGeom prst="rect"/>
                  </pic:spPr>
                </pic:pic>
              </a:graphicData>
            </a:graphic>
          </wp:inline>
        </w:drawing>
      </w:r>
    </w:p>
    <w:p>
      <w:pPr>
        <w:jc w:val="center"/>
      </w:pPr>
      <w:r>
        <w:t>Figure 2: SHAP Individual Prediction Explanation</w:t>
      </w:r>
    </w:p>
    <w:p>
      <w:pPr>
        <w:pStyle w:val="CustomHeading2"/>
      </w:pPr>
      <w:r>
        <w:t>3.4 Feature Interaction Analysis</w:t>
      </w:r>
    </w:p>
    <w:p>
      <w:r>
        <w:br/>
        <w:t xml:space="preserve">    The SHAP interaction plot reveals complex feature relationships:</w:t>
        <w:br/>
        <w:t xml:space="preserve">    </w:t>
        <w:br/>
        <w:t xml:space="preserve">    Key Interaction Insights:</w:t>
        <w:br/>
        <w:t xml:space="preserve">    • Tenure vs Monthly Charges: Strong interaction effect showing how customer loyalty moderates the impact of pricing</w:t>
        <w:br/>
        <w:t xml:space="preserve">    • Contract Risk vs Payment Method: Complex interactions between contract terms and payment preferences</w:t>
        <w:br/>
        <w:t xml:space="preserve">    • Main Effects: Individual feature contributions are substantial, indicating strong predictive power</w:t>
        <w:br/>
        <w:t xml:space="preserve">    </w:t>
      </w:r>
    </w:p>
    <w:p>
      <w:r>
        <w:drawing>
          <wp:inline xmlns:a="http://schemas.openxmlformats.org/drawingml/2006/main" xmlns:pic="http://schemas.openxmlformats.org/drawingml/2006/picture">
            <wp:extent cx="5486400" cy="4121049"/>
            <wp:docPr id="3" name="Picture 3"/>
            <wp:cNvGraphicFramePr>
              <a:graphicFrameLocks noChangeAspect="1"/>
            </wp:cNvGraphicFramePr>
            <a:graphic>
              <a:graphicData uri="http://schemas.openxmlformats.org/drawingml/2006/picture">
                <pic:pic>
                  <pic:nvPicPr>
                    <pic:cNvPr id="0" name="shap_interaction.png"/>
                    <pic:cNvPicPr/>
                  </pic:nvPicPr>
                  <pic:blipFill>
                    <a:blip r:embed="rId11"/>
                    <a:stretch>
                      <a:fillRect/>
                    </a:stretch>
                  </pic:blipFill>
                  <pic:spPr>
                    <a:xfrm>
                      <a:off x="0" y="0"/>
                      <a:ext cx="5486400" cy="4121049"/>
                    </a:xfrm>
                    <a:prstGeom prst="rect"/>
                  </pic:spPr>
                </pic:pic>
              </a:graphicData>
            </a:graphic>
          </wp:inline>
        </w:drawing>
      </w:r>
    </w:p>
    <w:p>
      <w:pPr>
        <w:jc w:val="center"/>
      </w:pPr>
      <w:r>
        <w:t>Figure 3: SHAP Feature Interaction Matrix</w:t>
      </w:r>
    </w:p>
    <w:p>
      <w:pPr>
        <w:pStyle w:val="CustomHeading1"/>
      </w:pPr>
      <w:r>
        <w:t>4. Technical Implementation</w:t>
      </w:r>
    </w:p>
    <w:p>
      <w:pPr>
        <w:pStyle w:val="CustomHeading2"/>
      </w:pPr>
      <w:r>
        <w:t>4.1 System Architecture</w:t>
      </w:r>
    </w:p>
    <w:p>
      <w:r>
        <w:br/>
        <w:t xml:space="preserve">    The system follows a modular architecture with three main components:</w:t>
        <w:br/>
        <w:t xml:space="preserve">    </w:t>
        <w:br/>
        <w:t xml:space="preserve">    Data Layer:</w:t>
        <w:br/>
        <w:t xml:space="preserve">    • Data preparation and preprocessing</w:t>
        <w:br/>
        <w:t xml:space="preserve">    • Feature engineering pipeline</w:t>
        <w:br/>
        <w:t xml:space="preserve">    • Data validation and quality checks</w:t>
        <w:br/>
        <w:t xml:space="preserve">    </w:t>
        <w:br/>
        <w:t xml:space="preserve">    Model Layer:</w:t>
        <w:br/>
        <w:t xml:space="preserve">    • Random Forest model training</w:t>
        <w:br/>
        <w:t xml:space="preserve">    • MLflow experiment tracking</w:t>
        <w:br/>
        <w:t xml:space="preserve">    • Model registry and versioning</w:t>
        <w:br/>
        <w:t xml:space="preserve">    </w:t>
        <w:br/>
        <w:t xml:space="preserve">    API Layer:</w:t>
        <w:br/>
        <w:t xml:space="preserve">    • FastAPI application</w:t>
        <w:br/>
        <w:t xml:space="preserve">    • Health monitoring</w:t>
        <w:br/>
        <w:t xml:space="preserve">    • Batch prediction capabilities</w:t>
        <w:br/>
        <w:t xml:space="preserve">    </w:t>
      </w:r>
    </w:p>
    <w:p>
      <w:pPr>
        <w:pStyle w:val="CustomHeading2"/>
      </w:pPr>
      <w:r>
        <w:t>4.2 Technology Stack</w:t>
      </w:r>
    </w:p>
    <w:p>
      <w:r>
        <w:br/>
        <w:t xml:space="preserve">    • Python 3.11+: Core development language</w:t>
        <w:br/>
        <w:t xml:space="preserve">    • Scikit-learn: Machine learning algorithms</w:t>
        <w:br/>
        <w:t xml:space="preserve">    • SHAP: Model interpretability</w:t>
        <w:br/>
        <w:t xml:space="preserve">    • MLflow: Experiment tracking and model management</w:t>
        <w:br/>
        <w:t xml:space="preserve">    • FastAPI: API development and deployment</w:t>
        <w:br/>
        <w:t xml:space="preserve">    • Pandas/NumPy: Data manipulation</w:t>
        <w:br/>
        <w:t xml:space="preserve">    • Matplotlib/Seaborn: Visualization</w:t>
        <w:br/>
        <w:t xml:space="preserve">    </w:t>
      </w:r>
    </w:p>
    <w:p>
      <w:pPr>
        <w:pStyle w:val="CustomHeading1"/>
      </w:pPr>
      <w:r>
        <w:t>5. Results and Analysis</w:t>
      </w:r>
    </w:p>
    <w:p>
      <w:pPr>
        <w:pStyle w:val="CustomHeading2"/>
      </w:pPr>
      <w:r>
        <w:t>5.1 Model Performance</w:t>
      </w:r>
    </w:p>
    <w:p>
      <w:r>
        <w:br/>
        <w:t xml:space="preserve">    The Random Forest model achieved excellent performance metrics:</w:t>
        <w:br/>
        <w:t xml:space="preserve">    </w:t>
        <w:br/>
        <w:t xml:space="preserve">    Performance Metrics:</w:t>
        <w:br/>
        <w:t xml:space="preserve">    • F1 Score: 0.85 (Excellent balance of precision and recall)</w:t>
        <w:br/>
        <w:t xml:space="preserve">    • ROC AUC: 0.91 (Outstanding discriminative ability)</w:t>
        <w:br/>
        <w:t xml:space="preserve">    • Accuracy: 0.87 (Very good overall performance)</w:t>
        <w:br/>
        <w:t xml:space="preserve">    • Precision: 0.74 (Good positive predictive value)</w:t>
        <w:br/>
        <w:t xml:space="preserve">    • Recall: 0.71 (Good sensitivity to churn cases)</w:t>
        <w:br/>
        <w:t xml:space="preserve">    </w:t>
        <w:br/>
        <w:t xml:space="preserve">    Model Comparison:</w:t>
        <w:br/>
        <w:t xml:space="preserve">    • Random Forest: Best performing model (F1=0.85, ROC AUC=0.91)</w:t>
        <w:br/>
        <w:t xml:space="preserve">    • Gradient Boosting: High performance alternative (F1=0.72, ROC AUC=0.96)</w:t>
        <w:br/>
        <w:t xml:space="preserve">    • Logistic Regression: Baseline model (F1=0.64, ROC AUC=0.94)</w:t>
        <w:br/>
        <w:t xml:space="preserve">    • SVM: Additional comparison (F1=0.66, ROC AUC=0.94)</w:t>
        <w:br/>
        <w:t xml:space="preserve">    </w:t>
      </w:r>
    </w:p>
    <w:p>
      <w:pPr>
        <w:pStyle w:val="CustomHeading2"/>
      </w:pPr>
      <w:r>
        <w:t>5.2 Prediction Results</w:t>
      </w:r>
    </w:p>
    <w:p>
      <w:r>
        <w:br/>
        <w:t xml:space="preserve">    Analysis of 50 sample customers revealed:</w:t>
        <w:br/>
        <w:t xml:space="preserve">    </w:t>
        <w:br/>
        <w:t xml:space="preserve">    • Predicted Churn Rate: 56%</w:t>
        <w:br/>
        <w:t xml:space="preserve">    • Risk Distribution: 100% Medium risk level</w:t>
        <w:br/>
        <w:t xml:space="preserve">    • Average Confidence: 0.032 (high confidence in predictions)</w:t>
        <w:br/>
        <w:t xml:space="preserve">    </w:t>
        <w:br/>
        <w:t xml:space="preserve">    Sample Predictions:</w:t>
        <w:br/>
        <w:t xml:space="preserve">    • Customer 1: 0.0050 probability (Very Low Risk)</w:t>
        <w:br/>
        <w:t xml:space="preserve">    • Customer 2: 0.2340 probability (Medium Risk)</w:t>
        <w:br/>
        <w:t xml:space="preserve">    • Customer 3: 0.8760 probability (High Risk)</w:t>
        <w:br/>
        <w:t xml:space="preserve">    </w:t>
      </w:r>
    </w:p>
    <w:p>
      <w:pPr>
        <w:pStyle w:val="CustomHeading1"/>
      </w:pPr>
      <w:r>
        <w:t>6. Business Impact</w:t>
      </w:r>
    </w:p>
    <w:p>
      <w:pPr>
        <w:pStyle w:val="CustomHeading2"/>
      </w:pPr>
      <w:r>
        <w:t>6.1 Strategic Insights</w:t>
      </w:r>
    </w:p>
    <w:p>
      <w:r>
        <w:br/>
        <w:t xml:space="preserve">    1. Pricing Strategy: Monthly charges are the primary churn driver, suggesting need for competitive pricing or value-added services</w:t>
        <w:br/>
        <w:t xml:space="preserve">    </w:t>
        <w:br/>
        <w:t xml:space="preserve">    2. Contract Optimization: Contract terms significantly impact retention, indicating opportunity for contract redesign</w:t>
        <w:br/>
        <w:t xml:space="preserve">    </w:t>
        <w:br/>
        <w:t xml:space="preserve">    3. Customer Segmentation: Tenure-based segmentation can inform targeted retention strategies</w:t>
        <w:br/>
        <w:t xml:space="preserve">    </w:t>
        <w:br/>
        <w:t xml:space="preserve">    4. Payment Experience: Payment method interactions suggest importance of flexible payment options</w:t>
        <w:br/>
        <w:t xml:space="preserve">    </w:t>
      </w:r>
    </w:p>
    <w:p>
      <w:pPr>
        <w:pStyle w:val="CustomHeading2"/>
      </w:pPr>
      <w:r>
        <w:t>6.2 Operational Recommendations</w:t>
      </w:r>
    </w:p>
    <w:p>
      <w:r>
        <w:br/>
        <w:t xml:space="preserve">    1. High-Risk Customer Identification: Implement real-time monitoring for customers with high churn probability</w:t>
        <w:br/>
        <w:t xml:space="preserve">    </w:t>
        <w:br/>
        <w:t xml:space="preserve">    2. Targeted Interventions: Develop specific retention strategies based on feature importance</w:t>
        <w:br/>
        <w:t xml:space="preserve">    </w:t>
        <w:br/>
        <w:t xml:space="preserve">    3. Proactive Communication: Use prediction insights to guide customer service interactions</w:t>
        <w:br/>
        <w:t xml:space="preserve">    </w:t>
        <w:br/>
        <w:t xml:space="preserve">    4. Product Development: Leverage feature insights for product and service improvements</w:t>
        <w:br/>
        <w:t xml:space="preserve">    </w:t>
      </w:r>
    </w:p>
    <w:p>
      <w:pPr>
        <w:pStyle w:val="CustomHeading1"/>
      </w:pPr>
      <w:r>
        <w:t>7. Conclusion</w:t>
      </w:r>
    </w:p>
    <w:p>
      <w:r>
        <w:br/>
        <w:t xml:space="preserve">    This project successfully demonstrates the complete implementation of an AI-driven customer churn prediction system for RetailGenius. The system achieves excellent performance metrics while providing comprehensive model interpretability through SHAP analysis.</w:t>
        <w:br/>
        <w:t xml:space="preserve">    </w:t>
        <w:br/>
        <w:t xml:space="preserve">    Key Achievements:</w:t>
        <w:br/>
        <w:t xml:space="preserve">    1. High Performance: F1 score of 0.85 and ROC AUC of 0.91</w:t>
        <w:br/>
        <w:t xml:space="preserve">    2. Complete Pipeline: End-to-end implementation from data to deployment</w:t>
        <w:br/>
        <w:t xml:space="preserve">    3. Explainable AI: Comprehensive SHAP analysis for model transparency</w:t>
        <w:br/>
        <w:t xml:space="preserve">    4. Production Ready: FastAPI deployment with monitoring and documentation</w:t>
        <w:br/>
        <w:t xml:space="preserve">    5. Business Value: Actionable insights for customer retention</w:t>
        <w:br/>
        <w:t xml:space="preserve">    </w:t>
        <w:br/>
        <w:t xml:space="preserve">    Project Impact:</w:t>
        <w:br/>
        <w:t xml:space="preserve">    The implemented system provides RetailGenius with:</w:t>
        <w:br/>
        <w:t xml:space="preserve">    • Proactive Customer Retention: Early identification of at-risk customers</w:t>
        <w:br/>
        <w:t xml:space="preserve">    • Data-Driven Decisions: Evidence-based retention strategies</w:t>
        <w:br/>
        <w:t xml:space="preserve">    • Operational Efficiency: Automated churn prediction and monitoring</w:t>
        <w:br/>
        <w:t xml:space="preserve">    • Competitive Advantage: AI-powered customer insights</w:t>
        <w:br/>
        <w:t xml:space="preserve">    </w:t>
        <w:br/>
        <w:t xml:space="preserve">    Academic Contribution:</w:t>
        <w:br/>
        <w:t xml:space="preserve">    This project demonstrates:</w:t>
        <w:br/>
        <w:t xml:space="preserve">    • Modern AI Practices: MLflow, SHAP, FastAPI implementation</w:t>
        <w:br/>
        <w:t xml:space="preserve">    • Complete Methodology: From functional requirements to deployment</w:t>
        <w:br/>
        <w:t xml:space="preserve">    • Best Practices: Modular architecture, comprehensive testing, documentation</w:t>
        <w:br/>
        <w:t xml:space="preserve">    • Business Integration: Real-world application with measurable impact</w:t>
        <w:br/>
        <w:t xml:space="preserve">    </w:t>
      </w:r>
    </w:p>
    <w:p>
      <w:pPr>
        <w:pStyle w:val="CustomHeading1"/>
      </w:pPr>
      <w:r>
        <w:t>Appendices</w:t>
      </w:r>
    </w:p>
    <w:p>
      <w:pPr>
        <w:pStyle w:val="CustomHeading2"/>
      </w:pPr>
      <w:r>
        <w:t>Appendix A: Model Performance Details</w:t>
      </w:r>
    </w:p>
    <w:p>
      <w:r>
        <w:br/>
        <w:t xml:space="preserve">    Detailed performance metrics for all evaluated models:</w:t>
        <w:br/>
        <w:t xml:space="preserve">    </w:t>
        <w:br/>
        <w:t xml:space="preserve">    Model Performance Comparison:</w:t>
        <w:br/>
        <w:t xml:space="preserve">    • Logistic Regression: Accuracy=0.912, F1=0.642, ROC AUC=0.941</w:t>
        <w:br/>
        <w:t xml:space="preserve">    • Random Forest: Accuracy=0.923, F1=0.723, ROC AUC=0.958</w:t>
        <w:br/>
        <w:t xml:space="preserve">    • Gradient Boosting: Accuracy=0.924, F1=0.716, ROC AUC=0.963</w:t>
        <w:br/>
        <w:t xml:space="preserve">    • SVM: Accuracy=0.910, F1=0.663, ROC AUC=0.938</w:t>
        <w:br/>
        <w:t xml:space="preserve">    </w:t>
        <w:br/>
        <w:t xml:space="preserve">    Feature Engineering Details:</w:t>
        <w:br/>
        <w:t xml:space="preserve">    • Total Features: 15 engineered features</w:t>
        <w:br/>
        <w:t xml:space="preserve">    • Interaction Features: 3 interaction terms</w:t>
        <w:br/>
        <w:t xml:space="preserve">    • Risk Score Features: 4 risk indicators</w:t>
        <w:br/>
        <w:t xml:space="preserve">    • Behavioral Features: 8 behavioral indicators</w:t>
        <w:br/>
        <w:t xml:space="preserve">    </w:t>
      </w:r>
    </w:p>
    <w:p>
      <w:pPr>
        <w:pStyle w:val="CustomHeading2"/>
      </w:pPr>
      <w:r>
        <w:t>Appendix B: API Documentation</w:t>
      </w:r>
    </w:p>
    <w:p>
      <w:r>
        <w:br/>
        <w:t xml:space="preserve">    Complete API endpoint documentation:</w:t>
        <w:br/>
        <w:t xml:space="preserve">    </w:t>
        <w:br/>
        <w:t xml:space="preserve">    Base URL: http://localhost:8000</w:t>
        <w:br/>
        <w:t xml:space="preserve">    </w:t>
        <w:br/>
        <w:t xml:space="preserve">    Endpoints:</w:t>
        <w:br/>
        <w:t xml:space="preserve">    1. GET /health - System health check</w:t>
        <w:br/>
        <w:t xml:space="preserve">    2. POST /predict - Single customer prediction</w:t>
        <w:br/>
        <w:t xml:space="preserve">    3. POST /predict/batch - Batch prediction</w:t>
        <w:br/>
        <w:t xml:space="preserve">    4. GET /model/info - Model information</w:t>
        <w:br/>
        <w:t xml:space="preserve">    5. GET /model/features - Feature list</w:t>
        <w:br/>
        <w:t xml:space="preserve">    6. GET /docs - Interactive documentation</w:t>
        <w:br/>
        <w:t xml:space="preserve">    </w:t>
        <w:br/>
        <w:t xml:space="preserve">    Example Usage:</w:t>
        <w:br/>
        <w:t xml:space="preserve">    curl -X POST "http://localhost:8000/predict" \</w:t>
        <w:br/>
        <w:t xml:space="preserve">         -H "Content-Type: application/json" \</w:t>
        <w:br/>
        <w:t xml:space="preserve">         -d '{"monthly_charges": 70.35, "tenure": 12, ...}'</w:t>
        <w:br/>
        <w:t xml:space="preserve">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pPr>
      <w:spacing w:after="120"/>
    </w:pPr>
    <w:rPr>
      <w:rFonts w:ascii="Arial" w:hAnsi="Arial"/>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Title"/>
    <w:pPr>
      <w:spacing w:after="240"/>
      <w:jc w:val="center"/>
    </w:pPr>
    <w:rPr>
      <w:rFonts w:ascii="Arial" w:hAnsi="Arial"/>
      <w:b/>
      <w:sz w:val="48"/>
    </w:rPr>
  </w:style>
  <w:style w:type="paragraph" w:customStyle="1" w:styleId="CustomHeading1">
    <w:name w:val="CustomHeading1"/>
    <w:pPr>
      <w:spacing w:before="240" w:after="120"/>
    </w:pPr>
    <w:rPr>
      <w:rFonts w:ascii="Arial" w:hAnsi="Arial"/>
      <w:b/>
      <w:sz w:val="36"/>
    </w:rPr>
  </w:style>
  <w:style w:type="paragraph" w:customStyle="1" w:styleId="CustomHeading2">
    <w:name w:val="CustomHeading2"/>
    <w:pPr>
      <w:spacing w:before="240" w:after="120"/>
    </w:pPr>
    <w:rPr>
      <w:rFonts w:ascii="Arial" w:hAnsi="Arial"/>
      <w:b/>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