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</w:t>
      </w:r>
    </w:p>
    <w:p>
      <w:r>
        <w:t xml:space="preserve">Halos follow a universal profile (Nasim et al., 2026). </w:t>
      </w:r>
      <w:r>
        <w:t xml:space="preserve">Nasim et al. (2026, p. 3) then argued otherwise, but see (Lee &amp; Park, 2024, pp. 10-12; Moore, 1999). </w:t>
      </w:r>
      <w:r>
        <w:rPr>
          <w:i/>
        </w:rPr>
        <w:t>Unknown one (Ghost, 1800) stays.</w:t>
      </w:r>
    </w:p>
    <w:p>
      <w:r>
        <w:t>Split run: (Nasim</w:t>
      </w:r>
      <w:r>
        <w:t xml:space="preserve"> et al., 2026)</w:t>
      </w:r>
    </w:p>
    <w:p>
      <w:r>
        <w:t>[[bibliography]]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