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9D3BE" w14:textId="77777777" w:rsidR="005463E6" w:rsidRPr="005463E6" w:rsidRDefault="005463E6" w:rsidP="005463E6">
      <w:pPr>
        <w:spacing w:before="100" w:beforeAutospacing="1" w:after="100" w:afterAutospacing="1" w:line="240" w:lineRule="auto"/>
        <w:outlineLvl w:val="2"/>
        <w:rPr>
          <w:rFonts w:ascii="Times New Roman" w:eastAsia="Times New Roman" w:hAnsi="Times New Roman" w:cs="Times New Roman"/>
          <w:b/>
          <w:bCs/>
          <w:sz w:val="27"/>
          <w:szCs w:val="27"/>
        </w:rPr>
      </w:pPr>
      <w:r w:rsidRPr="005463E6">
        <w:rPr>
          <w:rFonts w:ascii="Times New Roman" w:eastAsia="Times New Roman" w:hAnsi="Times New Roman" w:cs="Times New Roman"/>
          <w:b/>
          <w:bCs/>
          <w:sz w:val="27"/>
          <w:szCs w:val="27"/>
        </w:rPr>
        <w:t>Analysis of the 'ALL Expenses' Dashboard</w:t>
      </w:r>
    </w:p>
    <w:p w14:paraId="6D5CC509" w14:textId="77777777" w:rsidR="005463E6" w:rsidRPr="005463E6" w:rsidRDefault="005463E6" w:rsidP="005463E6">
      <w:p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b/>
          <w:bCs/>
          <w:sz w:val="24"/>
          <w:szCs w:val="24"/>
        </w:rPr>
        <w:t>Key Findings:</w:t>
      </w:r>
    </w:p>
    <w:p w14:paraId="1AFFE022" w14:textId="77777777" w:rsidR="005463E6" w:rsidRPr="005463E6" w:rsidRDefault="005463E6" w:rsidP="005463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b/>
          <w:bCs/>
          <w:sz w:val="24"/>
          <w:szCs w:val="24"/>
        </w:rPr>
        <w:t>Expense Distribution:</w:t>
      </w:r>
    </w:p>
    <w:p w14:paraId="6546478C" w14:textId="77777777" w:rsidR="005463E6" w:rsidRPr="005463E6" w:rsidRDefault="005463E6" w:rsidP="00546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b/>
          <w:bCs/>
          <w:sz w:val="24"/>
          <w:szCs w:val="24"/>
        </w:rPr>
        <w:t>Mileage Car - Business mileage</w:t>
      </w:r>
      <w:r w:rsidRPr="005463E6">
        <w:rPr>
          <w:rFonts w:ascii="Times New Roman" w:eastAsia="Times New Roman" w:hAnsi="Times New Roman" w:cs="Times New Roman"/>
          <w:sz w:val="24"/>
          <w:szCs w:val="24"/>
        </w:rPr>
        <w:t xml:space="preserve"> is the predominant expense type, significantly surpassing other categories in total reimbursed amount, as shown in the Pie Chart. This suggests a major focus on business travel costs.</w:t>
      </w:r>
    </w:p>
    <w:p w14:paraId="5433C5D6" w14:textId="77777777" w:rsidR="005463E6" w:rsidRPr="005463E6" w:rsidRDefault="005463E6" w:rsidP="00546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b/>
          <w:bCs/>
          <w:sz w:val="24"/>
          <w:szCs w:val="24"/>
        </w:rPr>
        <w:t>Hotel charges</w:t>
      </w:r>
      <w:r w:rsidRPr="005463E6">
        <w:rPr>
          <w:rFonts w:ascii="Times New Roman" w:eastAsia="Times New Roman" w:hAnsi="Times New Roman" w:cs="Times New Roman"/>
          <w:sz w:val="24"/>
          <w:szCs w:val="24"/>
        </w:rPr>
        <w:t xml:space="preserve"> and </w:t>
      </w:r>
      <w:r w:rsidRPr="005463E6">
        <w:rPr>
          <w:rFonts w:ascii="Times New Roman" w:eastAsia="Times New Roman" w:hAnsi="Times New Roman" w:cs="Times New Roman"/>
          <w:b/>
          <w:bCs/>
          <w:sz w:val="24"/>
          <w:szCs w:val="24"/>
        </w:rPr>
        <w:t>Other</w:t>
      </w:r>
      <w:r w:rsidRPr="005463E6">
        <w:rPr>
          <w:rFonts w:ascii="Times New Roman" w:eastAsia="Times New Roman" w:hAnsi="Times New Roman" w:cs="Times New Roman"/>
          <w:sz w:val="24"/>
          <w:szCs w:val="24"/>
        </w:rPr>
        <w:t xml:space="preserve"> expenses also represent substantial portions of the total expenses.</w:t>
      </w:r>
    </w:p>
    <w:p w14:paraId="613985DF" w14:textId="77777777" w:rsidR="005463E6" w:rsidRPr="005463E6" w:rsidRDefault="005463E6" w:rsidP="005463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b/>
          <w:bCs/>
          <w:sz w:val="24"/>
          <w:szCs w:val="24"/>
        </w:rPr>
        <w:t>Reimbursement Trends:</w:t>
      </w:r>
    </w:p>
    <w:p w14:paraId="76D1A1C3" w14:textId="77777777" w:rsidR="005463E6" w:rsidRPr="005463E6" w:rsidRDefault="005463E6" w:rsidP="00546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sz w:val="24"/>
          <w:szCs w:val="24"/>
        </w:rPr>
        <w:t xml:space="preserve">The </w:t>
      </w:r>
      <w:r w:rsidRPr="005463E6">
        <w:rPr>
          <w:rFonts w:ascii="Times New Roman" w:eastAsia="Times New Roman" w:hAnsi="Times New Roman" w:cs="Times New Roman"/>
          <w:b/>
          <w:bCs/>
          <w:sz w:val="24"/>
          <w:szCs w:val="24"/>
        </w:rPr>
        <w:t>Line Chart</w:t>
      </w:r>
      <w:r w:rsidRPr="005463E6">
        <w:rPr>
          <w:rFonts w:ascii="Times New Roman" w:eastAsia="Times New Roman" w:hAnsi="Times New Roman" w:cs="Times New Roman"/>
          <w:sz w:val="24"/>
          <w:szCs w:val="24"/>
        </w:rPr>
        <w:t xml:space="preserve"> reveals a peak in reimbursable amounts in June 2024, followed by a notable decrease in July 2024. This fluctuation indicates possible seasonal variations or changes in expense patterns.</w:t>
      </w:r>
    </w:p>
    <w:p w14:paraId="6337A94D" w14:textId="77777777" w:rsidR="005463E6" w:rsidRPr="005463E6" w:rsidRDefault="005463E6" w:rsidP="005463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b/>
          <w:bCs/>
          <w:sz w:val="24"/>
          <w:szCs w:val="24"/>
        </w:rPr>
        <w:t>Employee Claims:</w:t>
      </w:r>
    </w:p>
    <w:p w14:paraId="6966EBBA" w14:textId="77777777" w:rsidR="005463E6" w:rsidRPr="005463E6" w:rsidRDefault="005463E6" w:rsidP="00546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sz w:val="24"/>
          <w:szCs w:val="24"/>
        </w:rPr>
        <w:t xml:space="preserve">The </w:t>
      </w:r>
      <w:proofErr w:type="spellStart"/>
      <w:r w:rsidRPr="005463E6">
        <w:rPr>
          <w:rFonts w:ascii="Times New Roman" w:eastAsia="Times New Roman" w:hAnsi="Times New Roman" w:cs="Times New Roman"/>
          <w:b/>
          <w:bCs/>
          <w:sz w:val="24"/>
          <w:szCs w:val="24"/>
        </w:rPr>
        <w:t>Treemap</w:t>
      </w:r>
      <w:proofErr w:type="spellEnd"/>
      <w:r w:rsidRPr="005463E6">
        <w:rPr>
          <w:rFonts w:ascii="Times New Roman" w:eastAsia="Times New Roman" w:hAnsi="Times New Roman" w:cs="Times New Roman"/>
          <w:sz w:val="24"/>
          <w:szCs w:val="24"/>
        </w:rPr>
        <w:t xml:space="preserve"> highlights that a few employees account for disproportionately high reimbursable amounts. This may indicate high-value claims or frequent claim submissions by specific individuals.</w:t>
      </w:r>
    </w:p>
    <w:p w14:paraId="2C6E28F8" w14:textId="77777777" w:rsidR="005463E6" w:rsidRPr="005463E6" w:rsidRDefault="005463E6" w:rsidP="005463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b/>
          <w:bCs/>
          <w:sz w:val="24"/>
          <w:szCs w:val="24"/>
        </w:rPr>
        <w:t>Cost Center Impact:</w:t>
      </w:r>
    </w:p>
    <w:p w14:paraId="1926893D" w14:textId="77777777" w:rsidR="005463E6" w:rsidRPr="005463E6" w:rsidRDefault="005463E6" w:rsidP="00546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sz w:val="24"/>
          <w:szCs w:val="24"/>
        </w:rPr>
        <w:t xml:space="preserve">The </w:t>
      </w:r>
      <w:r w:rsidRPr="005463E6">
        <w:rPr>
          <w:rFonts w:ascii="Times New Roman" w:eastAsia="Times New Roman" w:hAnsi="Times New Roman" w:cs="Times New Roman"/>
          <w:b/>
          <w:bCs/>
          <w:sz w:val="24"/>
          <w:szCs w:val="24"/>
        </w:rPr>
        <w:t>Stacked Bar Chart</w:t>
      </w:r>
      <w:r w:rsidRPr="005463E6">
        <w:rPr>
          <w:rFonts w:ascii="Times New Roman" w:eastAsia="Times New Roman" w:hAnsi="Times New Roman" w:cs="Times New Roman"/>
          <w:sz w:val="24"/>
          <w:szCs w:val="24"/>
        </w:rPr>
        <w:t xml:space="preserve"> shows that certain cost centers, like </w:t>
      </w:r>
      <w:r w:rsidRPr="005463E6">
        <w:rPr>
          <w:rFonts w:ascii="Times New Roman" w:eastAsia="Times New Roman" w:hAnsi="Times New Roman" w:cs="Times New Roman"/>
          <w:b/>
          <w:bCs/>
          <w:sz w:val="24"/>
          <w:szCs w:val="24"/>
        </w:rPr>
        <w:t>Cost Center Code 98429</w:t>
      </w:r>
      <w:r w:rsidRPr="005463E6">
        <w:rPr>
          <w:rFonts w:ascii="Times New Roman" w:eastAsia="Times New Roman" w:hAnsi="Times New Roman" w:cs="Times New Roman"/>
          <w:sz w:val="24"/>
          <w:szCs w:val="24"/>
        </w:rPr>
        <w:t>, have higher reimbursable amounts, pointing to specific departments or projects with significant expenses.</w:t>
      </w:r>
    </w:p>
    <w:p w14:paraId="766BA626" w14:textId="77777777" w:rsidR="005463E6" w:rsidRPr="005463E6" w:rsidRDefault="005463E6" w:rsidP="005463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b/>
          <w:bCs/>
          <w:sz w:val="24"/>
          <w:szCs w:val="24"/>
        </w:rPr>
        <w:t>Expense Correlation:</w:t>
      </w:r>
    </w:p>
    <w:p w14:paraId="1AD1FA77" w14:textId="77777777" w:rsidR="005463E6" w:rsidRPr="005463E6" w:rsidRDefault="005463E6" w:rsidP="00546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sz w:val="24"/>
          <w:szCs w:val="24"/>
        </w:rPr>
        <w:t xml:space="preserve">The </w:t>
      </w:r>
      <w:r w:rsidRPr="005463E6">
        <w:rPr>
          <w:rFonts w:ascii="Times New Roman" w:eastAsia="Times New Roman" w:hAnsi="Times New Roman" w:cs="Times New Roman"/>
          <w:b/>
          <w:bCs/>
          <w:sz w:val="24"/>
          <w:szCs w:val="24"/>
        </w:rPr>
        <w:t>Scatter Plot</w:t>
      </w:r>
      <w:r w:rsidRPr="005463E6">
        <w:rPr>
          <w:rFonts w:ascii="Times New Roman" w:eastAsia="Times New Roman" w:hAnsi="Times New Roman" w:cs="Times New Roman"/>
          <w:sz w:val="24"/>
          <w:szCs w:val="24"/>
        </w:rPr>
        <w:t xml:space="preserve"> demonstrates a wide range of reimbursable amounts for various trip distances, with some high-cost outliers for shorter trips. This suggests that trip distance does not always correlate directly with the reimbursed amount.</w:t>
      </w:r>
    </w:p>
    <w:p w14:paraId="0482680C" w14:textId="77777777" w:rsidR="005463E6" w:rsidRPr="005463E6" w:rsidRDefault="005463E6" w:rsidP="005463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b/>
          <w:bCs/>
          <w:sz w:val="24"/>
          <w:szCs w:val="24"/>
        </w:rPr>
        <w:t>Overall Reimbursable Amount:</w:t>
      </w:r>
    </w:p>
    <w:p w14:paraId="19DE4C69" w14:textId="77777777" w:rsidR="005463E6" w:rsidRPr="005463E6" w:rsidRDefault="005463E6" w:rsidP="005463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463E6">
        <w:rPr>
          <w:rFonts w:ascii="Times New Roman" w:eastAsia="Times New Roman" w:hAnsi="Times New Roman" w:cs="Times New Roman"/>
          <w:sz w:val="24"/>
          <w:szCs w:val="24"/>
        </w:rPr>
        <w:t>The total reimbursable amount is £56,492.61, providing a comprehensive view of the overall expense claims processed.</w:t>
      </w:r>
    </w:p>
    <w:p w14:paraId="367B6CC5" w14:textId="061738DB" w:rsidR="00E44168" w:rsidRDefault="005463E6">
      <w:r>
        <w:br/>
      </w:r>
    </w:p>
    <w:p w14:paraId="43ECCC66" w14:textId="6E6A50A6" w:rsidR="00DE2FD4" w:rsidRDefault="00DE2FD4"/>
    <w:p w14:paraId="7FA4EA36" w14:textId="74BA07D5" w:rsidR="00DE2FD4" w:rsidRDefault="00DE2FD4"/>
    <w:p w14:paraId="1FCB7E14" w14:textId="5CB076F1" w:rsidR="00DE2FD4" w:rsidRDefault="00DE2FD4"/>
    <w:p w14:paraId="78CFE5CC" w14:textId="5AAFB2AD" w:rsidR="00DE2FD4" w:rsidRDefault="00DE2FD4"/>
    <w:p w14:paraId="21668286" w14:textId="74AA02D4" w:rsidR="00DE2FD4" w:rsidRDefault="00DE2FD4"/>
    <w:p w14:paraId="393B690A" w14:textId="37397F5F" w:rsidR="00DE2FD4" w:rsidRDefault="00DE2FD4"/>
    <w:p w14:paraId="33D83814" w14:textId="08EC2592" w:rsidR="00DE2FD4" w:rsidRDefault="00DE2FD4"/>
    <w:p w14:paraId="6669FE65" w14:textId="0B5156EA" w:rsidR="00DE2FD4" w:rsidRDefault="00DE2FD4"/>
    <w:p w14:paraId="4A8009E7" w14:textId="2D08B3EB" w:rsidR="00DE2FD4" w:rsidRDefault="00DE2FD4"/>
    <w:p w14:paraId="7B3FB65C" w14:textId="77777777" w:rsidR="00DE2FD4" w:rsidRPr="00DE2FD4" w:rsidRDefault="00DE2FD4" w:rsidP="00DE2FD4">
      <w:pPr>
        <w:spacing w:before="100" w:beforeAutospacing="1" w:after="100" w:afterAutospacing="1" w:line="240" w:lineRule="auto"/>
        <w:outlineLvl w:val="2"/>
        <w:rPr>
          <w:rFonts w:ascii="Times New Roman" w:eastAsia="Times New Roman" w:hAnsi="Times New Roman" w:cs="Times New Roman"/>
          <w:b/>
          <w:bCs/>
          <w:sz w:val="27"/>
          <w:szCs w:val="27"/>
        </w:rPr>
      </w:pPr>
      <w:r w:rsidRPr="00DE2FD4">
        <w:rPr>
          <w:rFonts w:ascii="Times New Roman" w:eastAsia="Times New Roman" w:hAnsi="Times New Roman" w:cs="Times New Roman"/>
          <w:b/>
          <w:bCs/>
          <w:sz w:val="27"/>
          <w:szCs w:val="27"/>
        </w:rPr>
        <w:lastRenderedPageBreak/>
        <w:t>Analysis of Accounts Receivable Reports</w:t>
      </w:r>
    </w:p>
    <w:p w14:paraId="5643DD5C" w14:textId="77777777" w:rsidR="00DE2FD4" w:rsidRPr="00DE2FD4" w:rsidRDefault="00DE2FD4" w:rsidP="00DE2FD4">
      <w:p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b/>
          <w:bCs/>
          <w:sz w:val="24"/>
          <w:szCs w:val="24"/>
        </w:rPr>
        <w:t>Key Findings:</w:t>
      </w:r>
    </w:p>
    <w:p w14:paraId="048FE8AB" w14:textId="77777777" w:rsidR="00DE2FD4" w:rsidRPr="00DE2FD4" w:rsidRDefault="00DE2FD4" w:rsidP="00DE2F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b/>
          <w:bCs/>
          <w:sz w:val="24"/>
          <w:szCs w:val="24"/>
        </w:rPr>
        <w:t>Unpaid Reason Distribution:</w:t>
      </w:r>
    </w:p>
    <w:p w14:paraId="1FDD9E39" w14:textId="77777777" w:rsidR="00DE2FD4" w:rsidRPr="00DE2FD4" w:rsidRDefault="00DE2FD4" w:rsidP="00DE2F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sz w:val="24"/>
          <w:szCs w:val="24"/>
        </w:rPr>
        <w:t>The Pie Chart for the credit report shows a substantial portion of outstanding balances attributed to "Sheriff Officer" and "Inv Paid," indicating these reasons are significant contributors to overdue amounts. For the debit report, "Sheriff Officer" and "Write Off" dominate, suggesting similar patterns of major outstanding amounts linked to these reasons.</w:t>
      </w:r>
    </w:p>
    <w:p w14:paraId="140BA9BB" w14:textId="77777777" w:rsidR="00DE2FD4" w:rsidRPr="00DE2FD4" w:rsidRDefault="00DE2FD4" w:rsidP="00DE2F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b/>
          <w:bCs/>
          <w:sz w:val="24"/>
          <w:szCs w:val="24"/>
        </w:rPr>
        <w:t>Balance Trends and Correlations:</w:t>
      </w:r>
    </w:p>
    <w:p w14:paraId="1E7B272E" w14:textId="77777777" w:rsidR="00DE2FD4" w:rsidRPr="00DE2FD4" w:rsidRDefault="00DE2FD4" w:rsidP="00DE2F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sz w:val="24"/>
          <w:szCs w:val="24"/>
        </w:rPr>
        <w:t>The Scatter Plot from the credit report reveals a broad range of outstanding balances, with many transactions showing zero outstanding balances despite varying original transaction amounts. This indicates that a significant number of transactions are settled promptly. In contrast, the debit report shows a wider spread of outstanding balances, with high values for both original transaction amounts and outstanding balances, pointing to more variable and possibly unresolved transaction issues.</w:t>
      </w:r>
    </w:p>
    <w:p w14:paraId="759AC4AF" w14:textId="77777777" w:rsidR="00DE2FD4" w:rsidRPr="00DE2FD4" w:rsidRDefault="00DE2FD4" w:rsidP="00DE2F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b/>
          <w:bCs/>
          <w:sz w:val="24"/>
          <w:szCs w:val="24"/>
        </w:rPr>
        <w:t>Profile Class Financial Impact:</w:t>
      </w:r>
    </w:p>
    <w:p w14:paraId="4D785786" w14:textId="77777777" w:rsidR="00DE2FD4" w:rsidRPr="00DE2FD4" w:rsidRDefault="00DE2FD4" w:rsidP="00DE2F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sz w:val="24"/>
          <w:szCs w:val="24"/>
        </w:rPr>
        <w:t>The Clustered Bar Chart from the credit report highlights that "Standing Order" and "Social Care" have the highest negative customer balances. Similarly, the debit report shows "Other Public Bodies" and "General" with the highest positive balances, indicating these profile classes are significantly impacted financially, either as major creditors or debtors.</w:t>
      </w:r>
    </w:p>
    <w:p w14:paraId="1CC28387" w14:textId="77777777" w:rsidR="00DE2FD4" w:rsidRPr="00DE2FD4" w:rsidRDefault="00DE2FD4" w:rsidP="00DE2F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b/>
          <w:bCs/>
          <w:sz w:val="24"/>
          <w:szCs w:val="24"/>
        </w:rPr>
        <w:t>Transaction Volume Trends:</w:t>
      </w:r>
    </w:p>
    <w:p w14:paraId="6D3C8F55" w14:textId="77777777" w:rsidR="00DE2FD4" w:rsidRPr="00DE2FD4" w:rsidRDefault="00DE2FD4" w:rsidP="00DE2F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sz w:val="24"/>
          <w:szCs w:val="24"/>
        </w:rPr>
        <w:t>The Line Chart for the credit report demonstrates that June had the highest transaction count, suggesting increased activity or specific seasonal factors in that month. The debit report's line chart shows March with the highest transaction count, highlighting another peak period but with more variability in transaction volume throughout the year.</w:t>
      </w:r>
    </w:p>
    <w:p w14:paraId="4753A00C" w14:textId="77777777" w:rsidR="00DE2FD4" w:rsidRPr="00DE2FD4" w:rsidRDefault="00DE2FD4" w:rsidP="00DE2F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b/>
          <w:bCs/>
          <w:sz w:val="24"/>
          <w:szCs w:val="24"/>
        </w:rPr>
        <w:t>Overall Financial Summary:</w:t>
      </w:r>
    </w:p>
    <w:p w14:paraId="6E2FC30D" w14:textId="77777777" w:rsidR="00DE2FD4" w:rsidRPr="00DE2FD4" w:rsidRDefault="00DE2FD4" w:rsidP="00DE2FD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sz w:val="24"/>
          <w:szCs w:val="24"/>
        </w:rPr>
        <w:t>For the credit report, the total customer balance stands at -£108,117.08, with a total outstanding balance of £23,270.81 and 549 transactions. The debit report has a much higher total customer balance of £5,343,623.65 and an outstanding balance of £5,368,864.88 across 4,400 transactions. These figures illustrate a significantly larger scale of financial activity and outstanding amounts in the debit report compared to the credit report.</w:t>
      </w:r>
    </w:p>
    <w:p w14:paraId="395AA9A2" w14:textId="77777777" w:rsidR="00DE2FD4" w:rsidRPr="00DE2FD4" w:rsidRDefault="00DE2FD4" w:rsidP="00DE2FD4">
      <w:pPr>
        <w:spacing w:before="100" w:beforeAutospacing="1" w:after="100" w:afterAutospacing="1" w:line="240" w:lineRule="auto"/>
        <w:rPr>
          <w:rFonts w:ascii="Times New Roman" w:eastAsia="Times New Roman" w:hAnsi="Times New Roman" w:cs="Times New Roman"/>
          <w:sz w:val="24"/>
          <w:szCs w:val="24"/>
        </w:rPr>
      </w:pPr>
      <w:r w:rsidRPr="00DE2FD4">
        <w:rPr>
          <w:rFonts w:ascii="Times New Roman" w:eastAsia="Times New Roman" w:hAnsi="Times New Roman" w:cs="Times New Roman"/>
          <w:sz w:val="24"/>
          <w:szCs w:val="24"/>
        </w:rPr>
        <w:t>Overall, the analysis shows that while both reports have significant outstanding balances and transaction volumes, the debit report reflects a much larger scale of financial operations and outstanding issues. Both reports indicate that specific unpaid reasons and profile classes play major roles in the financial discrepancies observed.</w:t>
      </w:r>
    </w:p>
    <w:p w14:paraId="41EAFF69" w14:textId="662A7282" w:rsidR="00DE2FD4" w:rsidRDefault="00DE2FD4"/>
    <w:p w14:paraId="0577CA15" w14:textId="5F904DD6" w:rsidR="00DE2FD4" w:rsidRDefault="00DE2FD4"/>
    <w:p w14:paraId="03DDA89F" w14:textId="77777777" w:rsidR="00CE7C80" w:rsidRDefault="00CE7C80" w:rsidP="00CE7C80">
      <w:pPr>
        <w:pStyle w:val="Heading3"/>
      </w:pPr>
      <w:r>
        <w:lastRenderedPageBreak/>
        <w:t>Analysis of the 'Daily Account Balances' Dashboard</w:t>
      </w:r>
    </w:p>
    <w:p w14:paraId="699A9F7F" w14:textId="77777777" w:rsidR="00CE7C80" w:rsidRDefault="00CE7C80" w:rsidP="00CE7C80">
      <w:pPr>
        <w:pStyle w:val="Heading4"/>
      </w:pPr>
      <w:r>
        <w:t>Key Findings:</w:t>
      </w:r>
    </w:p>
    <w:p w14:paraId="6BE5ACC4" w14:textId="77777777" w:rsidR="00CE7C80" w:rsidRDefault="00CE7C80" w:rsidP="00CE7C80">
      <w:pPr>
        <w:pStyle w:val="NormalWeb"/>
        <w:numPr>
          <w:ilvl w:val="0"/>
          <w:numId w:val="3"/>
        </w:numPr>
      </w:pPr>
      <w:r>
        <w:rPr>
          <w:rStyle w:val="Strong"/>
        </w:rPr>
        <w:t>Monthly Ledger Variations</w:t>
      </w:r>
      <w:r>
        <w:t>:</w:t>
      </w:r>
    </w:p>
    <w:p w14:paraId="6521CF0A" w14:textId="77777777" w:rsidR="00CE7C80" w:rsidRDefault="00CE7C80" w:rsidP="00CE7C80">
      <w:pPr>
        <w:numPr>
          <w:ilvl w:val="1"/>
          <w:numId w:val="3"/>
        </w:numPr>
        <w:spacing w:before="100" w:beforeAutospacing="1" w:after="100" w:afterAutospacing="1" w:line="240" w:lineRule="auto"/>
      </w:pPr>
      <w:r>
        <w:rPr>
          <w:rStyle w:val="Strong"/>
        </w:rPr>
        <w:t>May</w:t>
      </w:r>
      <w:r>
        <w:t xml:space="preserve"> consistently shows the highest values across all ledger categories. Specifically, the 'Today's Ledger' amount peaks at £108,464,723.05, which is substantially higher compared to other months. In contrast, </w:t>
      </w:r>
      <w:r>
        <w:rPr>
          <w:rStyle w:val="Strong"/>
        </w:rPr>
        <w:t>July</w:t>
      </w:r>
      <w:r>
        <w:t xml:space="preserve"> has the lowest figures with 'Today's Ledger' amounting to £12,740,855.90, reflecting a significant decline of 751.31% from May.</w:t>
      </w:r>
    </w:p>
    <w:p w14:paraId="5D10ABF1" w14:textId="77777777" w:rsidR="00CE7C80" w:rsidRDefault="00CE7C80" w:rsidP="00CE7C80">
      <w:pPr>
        <w:pStyle w:val="NormalWeb"/>
        <w:numPr>
          <w:ilvl w:val="0"/>
          <w:numId w:val="3"/>
        </w:numPr>
      </w:pPr>
      <w:r>
        <w:rPr>
          <w:rStyle w:val="Strong"/>
        </w:rPr>
        <w:t>Trends in Ledger Balances</w:t>
      </w:r>
      <w:r>
        <w:t>:</w:t>
      </w:r>
    </w:p>
    <w:p w14:paraId="63A1194F" w14:textId="77777777" w:rsidR="00CE7C80" w:rsidRDefault="00CE7C80" w:rsidP="00CE7C80">
      <w:pPr>
        <w:numPr>
          <w:ilvl w:val="1"/>
          <w:numId w:val="3"/>
        </w:numPr>
        <w:spacing w:before="100" w:beforeAutospacing="1" w:after="100" w:afterAutospacing="1" w:line="240" w:lineRule="auto"/>
      </w:pPr>
      <w:r>
        <w:t xml:space="preserve">The line chart illustrates a clear peak in </w:t>
      </w:r>
      <w:r>
        <w:rPr>
          <w:rStyle w:val="Strong"/>
        </w:rPr>
        <w:t>May</w:t>
      </w:r>
      <w:r>
        <w:t xml:space="preserve"> for 'Today's Ledger', with subsequent months showing a downward trend. This decline continues through </w:t>
      </w:r>
      <w:r>
        <w:rPr>
          <w:rStyle w:val="Strong"/>
        </w:rPr>
        <w:t>June</w:t>
      </w:r>
      <w:r>
        <w:t xml:space="preserve"> and </w:t>
      </w:r>
      <w:r>
        <w:rPr>
          <w:rStyle w:val="Strong"/>
        </w:rPr>
        <w:t>July</w:t>
      </w:r>
      <w:r>
        <w:t>, indicating potential seasonal fluctuations or changes in account activities. The correlation between 'Today's Ledger' and 'Last Night's Ledger' suggests that higher values in one typically correspond with higher values in the other.</w:t>
      </w:r>
    </w:p>
    <w:p w14:paraId="3654E6F5" w14:textId="77777777" w:rsidR="00CE7C80" w:rsidRDefault="00CE7C80" w:rsidP="00CE7C80">
      <w:pPr>
        <w:pStyle w:val="NormalWeb"/>
        <w:numPr>
          <w:ilvl w:val="0"/>
          <w:numId w:val="3"/>
        </w:numPr>
      </w:pPr>
      <w:r>
        <w:rPr>
          <w:rStyle w:val="Strong"/>
        </w:rPr>
        <w:t>Comparative Ledger Analysis</w:t>
      </w:r>
      <w:r>
        <w:t>:</w:t>
      </w:r>
    </w:p>
    <w:p w14:paraId="722D171F" w14:textId="77777777" w:rsidR="00CE7C80" w:rsidRDefault="00CE7C80" w:rsidP="00CE7C80">
      <w:pPr>
        <w:numPr>
          <w:ilvl w:val="1"/>
          <w:numId w:val="3"/>
        </w:numPr>
        <w:spacing w:before="100" w:beforeAutospacing="1" w:after="100" w:afterAutospacing="1" w:line="240" w:lineRule="auto"/>
      </w:pPr>
      <w:r>
        <w:t xml:space="preserve">The stacked area chart reveals that </w:t>
      </w:r>
      <w:r>
        <w:rPr>
          <w:rStyle w:val="Strong"/>
        </w:rPr>
        <w:t>May</w:t>
      </w:r>
      <w:r>
        <w:t xml:space="preserve"> not only leads in 'Today's Ledger' but also shows substantial figures in 'Last Night's Ledger' and 'Start </w:t>
      </w:r>
      <w:proofErr w:type="gramStart"/>
      <w:r>
        <w:t>Of</w:t>
      </w:r>
      <w:proofErr w:type="gramEnd"/>
      <w:r>
        <w:t xml:space="preserve"> Day Ledger'. This is in contrast to </w:t>
      </w:r>
      <w:r>
        <w:rPr>
          <w:rStyle w:val="Strong"/>
        </w:rPr>
        <w:t>June</w:t>
      </w:r>
      <w:r>
        <w:t xml:space="preserve"> and </w:t>
      </w:r>
      <w:r>
        <w:rPr>
          <w:rStyle w:val="Strong"/>
        </w:rPr>
        <w:t>July</w:t>
      </w:r>
      <w:r>
        <w:t xml:space="preserve">, where the ledger amounts are notably lower. The chart demonstrates that the 'Today's Ledger' and 'Last Night's Ledger' figures are positively correlated, with larger amounts in these ledgers often occurring together. </w:t>
      </w:r>
      <w:r>
        <w:rPr>
          <w:rStyle w:val="Strong"/>
        </w:rPr>
        <w:t>June</w:t>
      </w:r>
      <w:r>
        <w:t xml:space="preserve"> shows the highest divergence between 'Today's Cleared' and 'Last Night's Cleared', highlighting a notable variance in cleared amounts for that month.</w:t>
      </w:r>
    </w:p>
    <w:p w14:paraId="46DD0376" w14:textId="77777777" w:rsidR="00CE7C80" w:rsidRDefault="00CE7C80" w:rsidP="00CE7C80">
      <w:pPr>
        <w:pStyle w:val="NormalWeb"/>
        <w:numPr>
          <w:ilvl w:val="0"/>
          <w:numId w:val="3"/>
        </w:numPr>
      </w:pPr>
      <w:r>
        <w:rPr>
          <w:rStyle w:val="Strong"/>
        </w:rPr>
        <w:t>Detailed Data Overview</w:t>
      </w:r>
      <w:r>
        <w:t>:</w:t>
      </w:r>
    </w:p>
    <w:p w14:paraId="27DAA1CE" w14:textId="77777777" w:rsidR="00CE7C80" w:rsidRDefault="00CE7C80" w:rsidP="00CE7C80">
      <w:pPr>
        <w:numPr>
          <w:ilvl w:val="1"/>
          <w:numId w:val="3"/>
        </w:numPr>
        <w:spacing w:before="100" w:beforeAutospacing="1" w:after="100" w:afterAutospacing="1" w:line="240" w:lineRule="auto"/>
      </w:pPr>
      <w:r>
        <w:t xml:space="preserve">The table presents an extensive view of the account balances, showing 'Account Identifier', 'Balance date', and various aggregated amounts. </w:t>
      </w:r>
      <w:r>
        <w:rPr>
          <w:rStyle w:val="Strong"/>
        </w:rPr>
        <w:t>May</w:t>
      </w:r>
      <w:r>
        <w:t xml:space="preserve"> represents a significant portion of the total values, accounting for 53.35% of 'Today's Ledger'. The table data underscores that </w:t>
      </w:r>
      <w:r>
        <w:rPr>
          <w:rStyle w:val="Strong"/>
        </w:rPr>
        <w:t>May</w:t>
      </w:r>
      <w:r>
        <w:t xml:space="preserve"> also had the highest figures for 'Last Night's Ledger' and 'Start </w:t>
      </w:r>
      <w:proofErr w:type="gramStart"/>
      <w:r>
        <w:t>Of</w:t>
      </w:r>
      <w:proofErr w:type="gramEnd"/>
      <w:r>
        <w:t xml:space="preserve"> Day Ledger'. The divergence in cleared amounts is most pronounced in </w:t>
      </w:r>
      <w:r>
        <w:rPr>
          <w:rStyle w:val="Strong"/>
        </w:rPr>
        <w:t>June</w:t>
      </w:r>
      <w:r>
        <w:t>, where 'Today's Cleared' exceeded 'Last Night's Cleared' by £25,227,429.11.</w:t>
      </w:r>
    </w:p>
    <w:p w14:paraId="097E30CF" w14:textId="77777777" w:rsidR="00CE7C80" w:rsidRDefault="00CE7C80" w:rsidP="00CE7C80">
      <w:pPr>
        <w:pStyle w:val="NormalWeb"/>
      </w:pPr>
      <w:r>
        <w:t xml:space="preserve">These insights provide a comprehensive understanding of the fluctuations in account balances over the observed months, highlighting </w:t>
      </w:r>
      <w:r>
        <w:rPr>
          <w:rStyle w:val="Strong"/>
        </w:rPr>
        <w:t>May</w:t>
      </w:r>
      <w:r>
        <w:t xml:space="preserve"> as the period with the highest activity. The analysis also reveals important correlations and variations in ledger balances, offering a clear view of monthly financial trends and discrepancies.</w:t>
      </w:r>
    </w:p>
    <w:p w14:paraId="3E06EC26" w14:textId="5D3DB53F" w:rsidR="00DE2FD4" w:rsidRDefault="00DE2FD4"/>
    <w:p w14:paraId="235F0C1A" w14:textId="10600F99" w:rsidR="00C93D3F" w:rsidRDefault="00C93D3F"/>
    <w:p w14:paraId="5043255E" w14:textId="3AFD573F" w:rsidR="00C93D3F" w:rsidRDefault="00C93D3F"/>
    <w:p w14:paraId="2408EC65" w14:textId="0561B6BC" w:rsidR="00C93D3F" w:rsidRDefault="00C93D3F"/>
    <w:p w14:paraId="10AC0E2F" w14:textId="33A8EA48" w:rsidR="00C93D3F" w:rsidRDefault="00C93D3F"/>
    <w:p w14:paraId="72309163" w14:textId="4C467CDF" w:rsidR="00C93D3F" w:rsidRDefault="00C93D3F"/>
    <w:p w14:paraId="4731653B" w14:textId="4D0569B1" w:rsidR="00C93D3F" w:rsidRDefault="00C93D3F"/>
    <w:p w14:paraId="0388F6F4" w14:textId="77777777" w:rsidR="00C93D3F" w:rsidRDefault="00C93D3F" w:rsidP="00C93D3F">
      <w:pPr>
        <w:pStyle w:val="Heading3"/>
      </w:pPr>
      <w:r>
        <w:lastRenderedPageBreak/>
        <w:t>Analysis of the 'HR Help Desk' Dashboard</w:t>
      </w:r>
    </w:p>
    <w:p w14:paraId="38769D66" w14:textId="77777777" w:rsidR="00C93D3F" w:rsidRDefault="00C93D3F" w:rsidP="00C93D3F">
      <w:pPr>
        <w:pStyle w:val="Heading4"/>
      </w:pPr>
      <w:r>
        <w:t>Key Findings:</w:t>
      </w:r>
    </w:p>
    <w:p w14:paraId="398112B8" w14:textId="77777777" w:rsidR="00C93D3F" w:rsidRDefault="00C93D3F" w:rsidP="00C93D3F">
      <w:pPr>
        <w:pStyle w:val="NormalWeb"/>
        <w:numPr>
          <w:ilvl w:val="0"/>
          <w:numId w:val="4"/>
        </w:numPr>
      </w:pPr>
      <w:r>
        <w:rPr>
          <w:rStyle w:val="Strong"/>
        </w:rPr>
        <w:t>Request Distribution</w:t>
      </w:r>
      <w:r>
        <w:t>:</w:t>
      </w:r>
    </w:p>
    <w:p w14:paraId="27B7ED52" w14:textId="77777777" w:rsidR="00C93D3F" w:rsidRDefault="00C93D3F" w:rsidP="00C93D3F">
      <w:pPr>
        <w:numPr>
          <w:ilvl w:val="1"/>
          <w:numId w:val="4"/>
        </w:numPr>
        <w:spacing w:before="100" w:beforeAutospacing="1" w:after="100" w:afterAutospacing="1" w:line="240" w:lineRule="auto"/>
      </w:pPr>
      <w:r>
        <w:rPr>
          <w:rStyle w:val="Strong"/>
        </w:rPr>
        <w:t>Finance - General Ledger</w:t>
      </w:r>
      <w:r>
        <w:t xml:space="preserve"> in May accounted for 18.29% of the average time to resolve issues. This category has a substantial impact on overall resolution times, indicating a concentration of workload in this area. The highest volume of requests was handled by agent </w:t>
      </w:r>
      <w:r>
        <w:rPr>
          <w:rStyle w:val="Strong"/>
        </w:rPr>
        <w:t>300000008405020</w:t>
      </w:r>
      <w:r>
        <w:t>, which managed 264 requests, representing 7.71% of the total. The distribution of requests among agents ranges from 1 to 264, showing variability in workload.</w:t>
      </w:r>
    </w:p>
    <w:p w14:paraId="56181969" w14:textId="77777777" w:rsidR="00C93D3F" w:rsidRDefault="00C93D3F" w:rsidP="00C93D3F">
      <w:pPr>
        <w:pStyle w:val="NormalWeb"/>
        <w:numPr>
          <w:ilvl w:val="0"/>
          <w:numId w:val="4"/>
        </w:numPr>
      </w:pPr>
      <w:r>
        <w:rPr>
          <w:rStyle w:val="Strong"/>
        </w:rPr>
        <w:t>Resolution Time Trends</w:t>
      </w:r>
      <w:r>
        <w:t>:</w:t>
      </w:r>
    </w:p>
    <w:p w14:paraId="7593BAF1" w14:textId="77777777" w:rsidR="00C93D3F" w:rsidRDefault="00C93D3F" w:rsidP="00C93D3F">
      <w:pPr>
        <w:numPr>
          <w:ilvl w:val="1"/>
          <w:numId w:val="4"/>
        </w:numPr>
        <w:spacing w:before="100" w:beforeAutospacing="1" w:after="100" w:afterAutospacing="1" w:line="240" w:lineRule="auto"/>
      </w:pPr>
      <w:r>
        <w:t xml:space="preserve">In May, </w:t>
      </w:r>
      <w:r>
        <w:rPr>
          <w:rStyle w:val="Strong"/>
        </w:rPr>
        <w:t>Finance - General Ledger</w:t>
      </w:r>
      <w:r>
        <w:t xml:space="preserve"> also made up 17.93% of the average resolution time. The data reveals a peak in request volume for </w:t>
      </w:r>
      <w:r>
        <w:rPr>
          <w:rStyle w:val="Strong"/>
        </w:rPr>
        <w:t>300000008405020</w:t>
      </w:r>
      <w:r>
        <w:t>, with significant differences in request counts across agents. The positive correlation between the number of requests and the count of queue names indicates that higher request volumes are often associated with a higher number of issues in queues.</w:t>
      </w:r>
    </w:p>
    <w:p w14:paraId="3F779BAC" w14:textId="77777777" w:rsidR="00C93D3F" w:rsidRDefault="00C93D3F" w:rsidP="00C93D3F">
      <w:pPr>
        <w:pStyle w:val="NormalWeb"/>
        <w:numPr>
          <w:ilvl w:val="0"/>
          <w:numId w:val="4"/>
        </w:numPr>
      </w:pPr>
      <w:r>
        <w:rPr>
          <w:rStyle w:val="Strong"/>
        </w:rPr>
        <w:t>Workload Analysis</w:t>
      </w:r>
      <w:r>
        <w:t>:</w:t>
      </w:r>
    </w:p>
    <w:p w14:paraId="6A9BF384" w14:textId="77777777" w:rsidR="00C93D3F" w:rsidRDefault="00C93D3F" w:rsidP="00C93D3F">
      <w:pPr>
        <w:numPr>
          <w:ilvl w:val="1"/>
          <w:numId w:val="4"/>
        </w:numPr>
        <w:spacing w:before="100" w:beforeAutospacing="1" w:after="100" w:afterAutospacing="1" w:line="240" w:lineRule="auto"/>
      </w:pPr>
      <w:r>
        <w:t xml:space="preserve">The analysis shows that </w:t>
      </w:r>
      <w:r>
        <w:rPr>
          <w:rStyle w:val="Strong"/>
        </w:rPr>
        <w:t>300000008405020</w:t>
      </w:r>
      <w:r>
        <w:t xml:space="preserve"> consistently has the highest number of requests across different metrics. This suggests that this agent manages a disproportionate share of the workload. The overall request volume varies significantly among agents, which implies that some agents handle much higher volumes of requests than others.</w:t>
      </w:r>
    </w:p>
    <w:p w14:paraId="7BDA0D94" w14:textId="77777777" w:rsidR="00C93D3F" w:rsidRDefault="00C93D3F" w:rsidP="00C93D3F">
      <w:pPr>
        <w:pStyle w:val="NormalWeb"/>
        <w:numPr>
          <w:ilvl w:val="0"/>
          <w:numId w:val="4"/>
        </w:numPr>
      </w:pPr>
      <w:r>
        <w:rPr>
          <w:rStyle w:val="Strong"/>
        </w:rPr>
        <w:t>Correlation and Impact</w:t>
      </w:r>
      <w:r>
        <w:t>:</w:t>
      </w:r>
    </w:p>
    <w:p w14:paraId="7747E5EA" w14:textId="77777777" w:rsidR="00C93D3F" w:rsidRDefault="00C93D3F" w:rsidP="00C93D3F">
      <w:pPr>
        <w:numPr>
          <w:ilvl w:val="1"/>
          <w:numId w:val="4"/>
        </w:numPr>
        <w:spacing w:before="100" w:beforeAutospacing="1" w:after="100" w:afterAutospacing="1" w:line="240" w:lineRule="auto"/>
      </w:pPr>
      <w:r>
        <w:t>There is a positive correlation between the total number of requests and the count of queue names, highlighting that agents with higher request volumes tend to deal with a greater number of issues. This correlation underscores the need for a balanced distribution of requests to avoid overwhelming individual agents and to improve overall efficiency.</w:t>
      </w:r>
    </w:p>
    <w:p w14:paraId="1C4C4BA7" w14:textId="77777777" w:rsidR="00C93D3F" w:rsidRDefault="00C93D3F" w:rsidP="00C93D3F">
      <w:pPr>
        <w:pStyle w:val="Heading4"/>
      </w:pPr>
      <w:r>
        <w:t>Summary:</w:t>
      </w:r>
    </w:p>
    <w:p w14:paraId="35FF1312" w14:textId="77777777" w:rsidR="00C93D3F" w:rsidRDefault="00C93D3F" w:rsidP="00C93D3F">
      <w:pPr>
        <w:pStyle w:val="NormalWeb"/>
      </w:pPr>
      <w:r>
        <w:t xml:space="preserve">The 'HR Help Desk' dashboard reveals key insights into request distribution and resolution times. The concentration of requests in specific categories and among certain agents indicates areas where process improvements and workload management strategies could be beneficial. The significant volume handled by </w:t>
      </w:r>
      <w:r>
        <w:rPr>
          <w:rStyle w:val="Strong"/>
        </w:rPr>
        <w:t>300000008405020</w:t>
      </w:r>
      <w:r>
        <w:t xml:space="preserve"> and the variability in request distribution among agents suggest that addressing these issues could lead to more effective handling of help desk requests and better overall performance.</w:t>
      </w:r>
    </w:p>
    <w:p w14:paraId="63B47C4C" w14:textId="158B655F" w:rsidR="00C93D3F" w:rsidRDefault="00C93D3F"/>
    <w:p w14:paraId="1FBC9A19" w14:textId="2170677B" w:rsidR="00C93D3F" w:rsidRDefault="00C93D3F"/>
    <w:p w14:paraId="703EAE93" w14:textId="2FBC35E3" w:rsidR="00C93D3F" w:rsidRDefault="00C93D3F"/>
    <w:p w14:paraId="626C224D" w14:textId="696CBFD5" w:rsidR="00C93D3F" w:rsidRDefault="00C93D3F"/>
    <w:p w14:paraId="0C0842BF" w14:textId="33F5503C" w:rsidR="00C93D3F" w:rsidRDefault="00C93D3F"/>
    <w:p w14:paraId="03F4B5A0" w14:textId="77777777" w:rsidR="009A5080" w:rsidRDefault="009A5080" w:rsidP="009A5080">
      <w:pPr>
        <w:pStyle w:val="Heading3"/>
      </w:pPr>
      <w:r>
        <w:lastRenderedPageBreak/>
        <w:t>Analysis Report on Invoice Data</w:t>
      </w:r>
    </w:p>
    <w:p w14:paraId="5DE87591" w14:textId="77777777" w:rsidR="009A5080" w:rsidRDefault="009A5080" w:rsidP="009A5080">
      <w:pPr>
        <w:pStyle w:val="NormalWeb"/>
      </w:pPr>
      <w:r>
        <w:t>The invoice data analysis reveals key insights into financial discrepancies, individual responsibilities, and temporal trends in invoicing. Significant discrepancies are identified in categories such as "Billed Quantity Exceeds Received Quantity" and "Variance Between Invoice and Schedule Amount." These categories reflect substantial financial amounts, with "Billed Quantity Exceeds Received Quantity" totaling $1,325,152.26 and "Variance Between Invoice and Schedule Amount" at $838,902.57. Addressing these discrepancies can enhance process accuracy and improve the invoicing system.</w:t>
      </w:r>
    </w:p>
    <w:p w14:paraId="39F32F97" w14:textId="77777777" w:rsidR="009A5080" w:rsidRDefault="009A5080" w:rsidP="009A5080">
      <w:pPr>
        <w:pStyle w:val="NormalWeb"/>
      </w:pPr>
      <w:r>
        <w:t xml:space="preserve">The distribution of financial responsibility among individuals varies notably. For instance, Aileen Powell manages the highest amount of $19,341.07, while Aimee </w:t>
      </w:r>
      <w:proofErr w:type="spellStart"/>
      <w:r>
        <w:t>Howarth</w:t>
      </w:r>
      <w:proofErr w:type="spellEnd"/>
      <w:r>
        <w:t xml:space="preserve"> handles $53,477.69. This uneven distribution suggests a need for review and adjustment to ensure equitable workload allocation and operational efficiency.</w:t>
      </w:r>
    </w:p>
    <w:p w14:paraId="41758D9F" w14:textId="77777777" w:rsidR="009A5080" w:rsidRDefault="009A5080" w:rsidP="009A5080">
      <w:pPr>
        <w:pStyle w:val="NormalWeb"/>
      </w:pPr>
      <w:r>
        <w:t>Temporal trends indicate that July is the peak period, with the highest Sum of Amount at $1,373,041.20. This amount is approximately 572,000.50% higher than the lowest month, April, which has a Sum of Amount of $240. July accounts for 42.31% of the total Sum of Amount across the months analyzed. This peak suggests a need for enhanced financial planning and resource allocation during high-activity periods.</w:t>
      </w:r>
    </w:p>
    <w:p w14:paraId="55C6D777" w14:textId="77777777" w:rsidR="009A5080" w:rsidRDefault="009A5080" w:rsidP="009A5080">
      <w:pPr>
        <w:pStyle w:val="NormalWeb"/>
      </w:pPr>
      <w:r>
        <w:t>High-value invoices, particularly those processed in July, should be closely monitored to ensure accuracy and timely handling. This focus on high-value transactions can help manage significant financial impacts and preempt potential issues.</w:t>
      </w:r>
    </w:p>
    <w:p w14:paraId="4844CDBE" w14:textId="77777777" w:rsidR="009A5080" w:rsidRDefault="009A5080" w:rsidP="009A5080">
      <w:pPr>
        <w:pStyle w:val="NormalWeb"/>
      </w:pPr>
      <w:r>
        <w:t>In summary, the analysis provides valuable insights into invoicing discrepancies, responsibility distribution, and temporal trends. Recommendations include improving process controls, adjusting workload distribution, planning for peak periods, and closely monitoring high-value invoices to optimize financial management and operational efficiency.</w:t>
      </w:r>
    </w:p>
    <w:p w14:paraId="6513E623" w14:textId="0F3F0E16" w:rsidR="00C93D3F" w:rsidRDefault="00C93D3F"/>
    <w:p w14:paraId="010C2B93" w14:textId="4AF0681D" w:rsidR="00D40DD3" w:rsidRDefault="00D40DD3"/>
    <w:p w14:paraId="03D705D8" w14:textId="6B07DE39" w:rsidR="00D40DD3" w:rsidRDefault="00D40DD3"/>
    <w:p w14:paraId="27E517BC" w14:textId="1ACC57D9" w:rsidR="00D40DD3" w:rsidRDefault="00D40DD3"/>
    <w:p w14:paraId="2C52DD6D" w14:textId="02055DEB" w:rsidR="00D40DD3" w:rsidRDefault="00D40DD3"/>
    <w:p w14:paraId="22F0A025" w14:textId="043C5F86" w:rsidR="00D40DD3" w:rsidRDefault="00D40DD3"/>
    <w:p w14:paraId="1B294504" w14:textId="194959CF" w:rsidR="00D40DD3" w:rsidRDefault="00D40DD3"/>
    <w:p w14:paraId="2E072C3F" w14:textId="643942C1" w:rsidR="00D40DD3" w:rsidRDefault="00D40DD3"/>
    <w:p w14:paraId="03C2C61A" w14:textId="62367AB5" w:rsidR="00D40DD3" w:rsidRDefault="00D40DD3"/>
    <w:p w14:paraId="5F0E527C" w14:textId="437F4BFE" w:rsidR="00D40DD3" w:rsidRDefault="00D40DD3"/>
    <w:p w14:paraId="0A2221FD" w14:textId="77777777" w:rsidR="00D40DD3" w:rsidRPr="00D40DD3" w:rsidRDefault="00D40DD3" w:rsidP="00D40DD3">
      <w:pPr>
        <w:pStyle w:val="Heading1"/>
        <w:rPr>
          <w:rFonts w:eastAsia="Times New Roman"/>
        </w:rPr>
      </w:pPr>
      <w:r w:rsidRPr="00D40DD3">
        <w:rPr>
          <w:rFonts w:eastAsia="Times New Roman"/>
        </w:rPr>
        <w:lastRenderedPageBreak/>
        <w:t>The analysis of the mailbox data reveals several important insights.</w:t>
      </w:r>
    </w:p>
    <w:p w14:paraId="5A7EA879" w14:textId="77777777" w:rsidR="00D40DD3" w:rsidRPr="00D40DD3" w:rsidRDefault="00D40DD3" w:rsidP="00D40DD3">
      <w:pPr>
        <w:spacing w:before="100" w:beforeAutospacing="1" w:after="100" w:afterAutospacing="1" w:line="240" w:lineRule="auto"/>
        <w:rPr>
          <w:rFonts w:ascii="Times New Roman" w:eastAsia="Times New Roman" w:hAnsi="Times New Roman" w:cs="Times New Roman"/>
          <w:sz w:val="24"/>
          <w:szCs w:val="24"/>
        </w:rPr>
      </w:pPr>
      <w:r w:rsidRPr="00D40DD3">
        <w:rPr>
          <w:rFonts w:ascii="Times New Roman" w:eastAsia="Times New Roman" w:hAnsi="Times New Roman" w:cs="Times New Roman"/>
          <w:sz w:val="24"/>
          <w:szCs w:val="24"/>
        </w:rPr>
        <w:t xml:space="preserve">The </w:t>
      </w:r>
      <w:r w:rsidRPr="00D40DD3">
        <w:rPr>
          <w:rFonts w:ascii="Times New Roman" w:eastAsia="Times New Roman" w:hAnsi="Times New Roman" w:cs="Times New Roman"/>
          <w:b/>
          <w:bCs/>
          <w:sz w:val="24"/>
          <w:szCs w:val="24"/>
        </w:rPr>
        <w:t>line chart depicting the sum of Accounts Payable Mailbox</w:t>
      </w:r>
      <w:r w:rsidRPr="00D40DD3">
        <w:rPr>
          <w:rFonts w:ascii="Times New Roman" w:eastAsia="Times New Roman" w:hAnsi="Times New Roman" w:cs="Times New Roman"/>
          <w:sz w:val="24"/>
          <w:szCs w:val="24"/>
        </w:rPr>
        <w:t xml:space="preserve"> shows that June had the highest sum at 538, which was significantly higher than the sums recorded in May and July. Specifically, June's sum was 78.74% greater than that of May, which had the lowest sum at 301. The data indicates that June contributed 43.53% of the total sum across the available months. This notable peak in June suggests that there might have been specific factors or activities during this period that led to an increased volume of accounts payable. The variation in the data underscores the importance of monitoring monthly trends to identify patterns or anomalies that might affect financial operations.</w:t>
      </w:r>
    </w:p>
    <w:p w14:paraId="48120153" w14:textId="77777777" w:rsidR="00D40DD3" w:rsidRPr="00D40DD3" w:rsidRDefault="00D40DD3" w:rsidP="00D40DD3">
      <w:pPr>
        <w:spacing w:before="100" w:beforeAutospacing="1" w:after="100" w:afterAutospacing="1" w:line="240" w:lineRule="auto"/>
        <w:rPr>
          <w:rFonts w:ascii="Times New Roman" w:eastAsia="Times New Roman" w:hAnsi="Times New Roman" w:cs="Times New Roman"/>
          <w:sz w:val="24"/>
          <w:szCs w:val="24"/>
        </w:rPr>
      </w:pPr>
      <w:r w:rsidRPr="00D40DD3">
        <w:rPr>
          <w:rFonts w:ascii="Times New Roman" w:eastAsia="Times New Roman" w:hAnsi="Times New Roman" w:cs="Times New Roman"/>
          <w:sz w:val="24"/>
          <w:szCs w:val="24"/>
        </w:rPr>
        <w:t xml:space="preserve">In contrast, the </w:t>
      </w:r>
      <w:r w:rsidRPr="00D40DD3">
        <w:rPr>
          <w:rFonts w:ascii="Times New Roman" w:eastAsia="Times New Roman" w:hAnsi="Times New Roman" w:cs="Times New Roman"/>
          <w:b/>
          <w:bCs/>
          <w:sz w:val="24"/>
          <w:szCs w:val="24"/>
        </w:rPr>
        <w:t>line chart for Backlog: Earliest Unread</w:t>
      </w:r>
      <w:r w:rsidRPr="00D40DD3">
        <w:rPr>
          <w:rFonts w:ascii="Times New Roman" w:eastAsia="Times New Roman" w:hAnsi="Times New Roman" w:cs="Times New Roman"/>
          <w:sz w:val="24"/>
          <w:szCs w:val="24"/>
        </w:rPr>
        <w:t xml:space="preserve"> presents a challenge due to a significant amount of missing data, indicated by </w:t>
      </w:r>
      <w:proofErr w:type="spellStart"/>
      <w:r w:rsidRPr="00D40DD3">
        <w:rPr>
          <w:rFonts w:ascii="Courier New" w:eastAsia="Times New Roman" w:hAnsi="Courier New" w:cs="Courier New"/>
          <w:sz w:val="20"/>
          <w:szCs w:val="20"/>
        </w:rPr>
        <w:t>NaT</w:t>
      </w:r>
      <w:proofErr w:type="spellEnd"/>
      <w:r w:rsidRPr="00D40DD3">
        <w:rPr>
          <w:rFonts w:ascii="Times New Roman" w:eastAsia="Times New Roman" w:hAnsi="Times New Roman" w:cs="Times New Roman"/>
          <w:sz w:val="24"/>
          <w:szCs w:val="24"/>
        </w:rPr>
        <w:t xml:space="preserve"> values. This inconsistency in data availability limits the ability to analyze trends effectively. However, the chart shows that the most frequently recorded backlog date was June 24, 2024, which appeared 16 times in the dataset. This suggests that June had a higher concentration of backlog entries, though the lack of comprehensive data points prevents a more detailed analysis.</w:t>
      </w:r>
    </w:p>
    <w:p w14:paraId="75C99F0C" w14:textId="77777777" w:rsidR="00D40DD3" w:rsidRPr="00D40DD3" w:rsidRDefault="00D40DD3" w:rsidP="00D40DD3">
      <w:pPr>
        <w:spacing w:before="100" w:beforeAutospacing="1" w:after="100" w:afterAutospacing="1" w:line="240" w:lineRule="auto"/>
        <w:rPr>
          <w:rFonts w:ascii="Times New Roman" w:eastAsia="Times New Roman" w:hAnsi="Times New Roman" w:cs="Times New Roman"/>
          <w:sz w:val="24"/>
          <w:szCs w:val="24"/>
        </w:rPr>
      </w:pPr>
      <w:r w:rsidRPr="00D40DD3">
        <w:rPr>
          <w:rFonts w:ascii="Times New Roman" w:eastAsia="Times New Roman" w:hAnsi="Times New Roman" w:cs="Times New Roman"/>
          <w:sz w:val="24"/>
          <w:szCs w:val="24"/>
        </w:rPr>
        <w:t xml:space="preserve">The </w:t>
      </w:r>
      <w:r w:rsidRPr="00D40DD3">
        <w:rPr>
          <w:rFonts w:ascii="Times New Roman" w:eastAsia="Times New Roman" w:hAnsi="Times New Roman" w:cs="Times New Roman"/>
          <w:b/>
          <w:bCs/>
          <w:sz w:val="24"/>
          <w:szCs w:val="24"/>
        </w:rPr>
        <w:t>pie chart illustrating mailbox categories</w:t>
      </w:r>
      <w:r w:rsidRPr="00D40DD3">
        <w:rPr>
          <w:rFonts w:ascii="Times New Roman" w:eastAsia="Times New Roman" w:hAnsi="Times New Roman" w:cs="Times New Roman"/>
          <w:sz w:val="24"/>
          <w:szCs w:val="24"/>
        </w:rPr>
        <w:t xml:space="preserve"> provides a clear distribution of values among different categories. The </w:t>
      </w:r>
      <w:r w:rsidRPr="00D40DD3">
        <w:rPr>
          <w:rFonts w:ascii="Courier New" w:eastAsia="Times New Roman" w:hAnsi="Courier New" w:cs="Courier New"/>
          <w:sz w:val="20"/>
          <w:szCs w:val="20"/>
        </w:rPr>
        <w:t>Creditors Mailbox</w:t>
      </w:r>
      <w:r w:rsidRPr="00D40DD3">
        <w:rPr>
          <w:rFonts w:ascii="Times New Roman" w:eastAsia="Times New Roman" w:hAnsi="Times New Roman" w:cs="Times New Roman"/>
          <w:sz w:val="24"/>
          <w:szCs w:val="24"/>
        </w:rPr>
        <w:t xml:space="preserve"> category has the highest value at 159,414.0, making it the most significant contributor compared to other categories. The </w:t>
      </w:r>
      <w:r w:rsidRPr="00D40DD3">
        <w:rPr>
          <w:rFonts w:ascii="Courier New" w:eastAsia="Times New Roman" w:hAnsi="Courier New" w:cs="Courier New"/>
          <w:sz w:val="20"/>
          <w:szCs w:val="20"/>
        </w:rPr>
        <w:t>Creditors Manual Mailbox</w:t>
      </w:r>
      <w:r w:rsidRPr="00D40DD3">
        <w:rPr>
          <w:rFonts w:ascii="Times New Roman" w:eastAsia="Times New Roman" w:hAnsi="Times New Roman" w:cs="Times New Roman"/>
          <w:sz w:val="24"/>
          <w:szCs w:val="24"/>
        </w:rPr>
        <w:t xml:space="preserve"> follows with 13,723.0, while </w:t>
      </w:r>
      <w:r w:rsidRPr="00D40DD3">
        <w:rPr>
          <w:rFonts w:ascii="Courier New" w:eastAsia="Times New Roman" w:hAnsi="Courier New" w:cs="Courier New"/>
          <w:sz w:val="20"/>
          <w:szCs w:val="20"/>
        </w:rPr>
        <w:t>Creditors Creations Mailbox</w:t>
      </w:r>
      <w:r w:rsidRPr="00D40DD3">
        <w:rPr>
          <w:rFonts w:ascii="Times New Roman" w:eastAsia="Times New Roman" w:hAnsi="Times New Roman" w:cs="Times New Roman"/>
          <w:sz w:val="24"/>
          <w:szCs w:val="24"/>
        </w:rPr>
        <w:t xml:space="preserve"> and </w:t>
      </w:r>
      <w:r w:rsidRPr="00D40DD3">
        <w:rPr>
          <w:rFonts w:ascii="Courier New" w:eastAsia="Times New Roman" w:hAnsi="Courier New" w:cs="Courier New"/>
          <w:sz w:val="20"/>
          <w:szCs w:val="20"/>
        </w:rPr>
        <w:t>Accounts Payable Mailbox</w:t>
      </w:r>
      <w:r w:rsidRPr="00D40DD3">
        <w:rPr>
          <w:rFonts w:ascii="Times New Roman" w:eastAsia="Times New Roman" w:hAnsi="Times New Roman" w:cs="Times New Roman"/>
          <w:sz w:val="24"/>
          <w:szCs w:val="24"/>
        </w:rPr>
        <w:t xml:space="preserve"> have relatively lower values of 5,275.0 and 1,236.0, respectively. This distribution indicates that the </w:t>
      </w:r>
      <w:r w:rsidRPr="00D40DD3">
        <w:rPr>
          <w:rFonts w:ascii="Courier New" w:eastAsia="Times New Roman" w:hAnsi="Courier New" w:cs="Courier New"/>
          <w:sz w:val="20"/>
          <w:szCs w:val="20"/>
        </w:rPr>
        <w:t>Creditors Mailbox</w:t>
      </w:r>
      <w:r w:rsidRPr="00D40DD3">
        <w:rPr>
          <w:rFonts w:ascii="Times New Roman" w:eastAsia="Times New Roman" w:hAnsi="Times New Roman" w:cs="Times New Roman"/>
          <w:sz w:val="24"/>
          <w:szCs w:val="24"/>
        </w:rPr>
        <w:t xml:space="preserve"> category has the largest share of the total, which may reflect the volume of transactions or the importance of this mailbox in the overall financial workflow.</w:t>
      </w:r>
    </w:p>
    <w:p w14:paraId="52E77DA7" w14:textId="77777777" w:rsidR="00D40DD3" w:rsidRPr="00D40DD3" w:rsidRDefault="00D40DD3" w:rsidP="00D40DD3">
      <w:pPr>
        <w:spacing w:before="100" w:beforeAutospacing="1" w:after="100" w:afterAutospacing="1" w:line="240" w:lineRule="auto"/>
        <w:rPr>
          <w:rFonts w:ascii="Times New Roman" w:eastAsia="Times New Roman" w:hAnsi="Times New Roman" w:cs="Times New Roman"/>
          <w:sz w:val="24"/>
          <w:szCs w:val="24"/>
        </w:rPr>
      </w:pPr>
      <w:r w:rsidRPr="00D40DD3">
        <w:rPr>
          <w:rFonts w:ascii="Times New Roman" w:eastAsia="Times New Roman" w:hAnsi="Times New Roman" w:cs="Times New Roman"/>
          <w:sz w:val="24"/>
          <w:szCs w:val="24"/>
        </w:rPr>
        <w:t xml:space="preserve">Overall, the analysis of the data highlights key periods of activity and the relative importance of different mailbox categories. The high values recorded in June for Accounts Payable Mailbox and the significant proportion of </w:t>
      </w:r>
      <w:r w:rsidRPr="00D40DD3">
        <w:rPr>
          <w:rFonts w:ascii="Courier New" w:eastAsia="Times New Roman" w:hAnsi="Courier New" w:cs="Courier New"/>
          <w:sz w:val="20"/>
          <w:szCs w:val="20"/>
        </w:rPr>
        <w:t>Creditors Mailbox</w:t>
      </w:r>
      <w:r w:rsidRPr="00D40DD3">
        <w:rPr>
          <w:rFonts w:ascii="Times New Roman" w:eastAsia="Times New Roman" w:hAnsi="Times New Roman" w:cs="Times New Roman"/>
          <w:sz w:val="24"/>
          <w:szCs w:val="24"/>
        </w:rPr>
        <w:t xml:space="preserve"> among categories suggest areas that may warrant further investigation to understand underlying causes and implications. The inconsistent data for the Backlog: Earliest Unread category points to potential data quality issues that could impact the ability to make informed decisions.</w:t>
      </w:r>
    </w:p>
    <w:p w14:paraId="05932D2A" w14:textId="3F72C46E" w:rsidR="00D40DD3" w:rsidRDefault="00D40DD3"/>
    <w:p w14:paraId="30E69856" w14:textId="196EF60F" w:rsidR="004B03FA" w:rsidRDefault="004B03FA"/>
    <w:p w14:paraId="50E2569E" w14:textId="1621DBF2" w:rsidR="004B03FA" w:rsidRDefault="004B03FA"/>
    <w:p w14:paraId="2BFF7FA6" w14:textId="03D0C7A5" w:rsidR="004B03FA" w:rsidRDefault="004B03FA"/>
    <w:p w14:paraId="7B87AB3A" w14:textId="1EC0C94F" w:rsidR="004B03FA" w:rsidRDefault="004B03FA"/>
    <w:p w14:paraId="6A7E8B9B" w14:textId="13BEAF19" w:rsidR="004B03FA" w:rsidRDefault="004B03FA"/>
    <w:p w14:paraId="15501A3E" w14:textId="3D0B6CED" w:rsidR="004B03FA" w:rsidRDefault="004B03FA"/>
    <w:p w14:paraId="2A8CFE58" w14:textId="77777777" w:rsidR="00634346" w:rsidRPr="00634346" w:rsidRDefault="00634346" w:rsidP="00634346">
      <w:pPr>
        <w:pStyle w:val="Heading1"/>
        <w:rPr>
          <w:rFonts w:eastAsia="Times New Roman"/>
        </w:rPr>
      </w:pPr>
      <w:r w:rsidRPr="00634346">
        <w:rPr>
          <w:rFonts w:eastAsia="Times New Roman"/>
        </w:rPr>
        <w:lastRenderedPageBreak/>
        <w:t xml:space="preserve">The analysis of the cost </w:t>
      </w:r>
      <w:proofErr w:type="spellStart"/>
      <w:r w:rsidRPr="00634346">
        <w:rPr>
          <w:rFonts w:eastAsia="Times New Roman"/>
        </w:rPr>
        <w:t>centre</w:t>
      </w:r>
      <w:proofErr w:type="spellEnd"/>
      <w:r w:rsidRPr="00634346">
        <w:rPr>
          <w:rFonts w:eastAsia="Times New Roman"/>
        </w:rPr>
        <w:t xml:space="preserve"> budget data reveals key insights:</w:t>
      </w:r>
    </w:p>
    <w:p w14:paraId="20507D82"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sz w:val="24"/>
          <w:szCs w:val="24"/>
        </w:rPr>
        <w:t xml:space="preserve">The stacked column chart depicting the sum of Revised Budget £ shows that </w:t>
      </w:r>
      <w:r w:rsidRPr="004C29BF">
        <w:rPr>
          <w:rFonts w:ascii="Times New Roman" w:eastAsia="Times New Roman" w:hAnsi="Times New Roman" w:cs="Times New Roman"/>
          <w:b/>
          <w:bCs/>
          <w:sz w:val="24"/>
          <w:szCs w:val="24"/>
        </w:rPr>
        <w:t>Cost of Services (Excluding HSCP)</w:t>
      </w:r>
      <w:r w:rsidRPr="004C29BF">
        <w:rPr>
          <w:rFonts w:ascii="Times New Roman" w:eastAsia="Times New Roman" w:hAnsi="Times New Roman" w:cs="Times New Roman"/>
          <w:sz w:val="24"/>
          <w:szCs w:val="24"/>
        </w:rPr>
        <w:t xml:space="preserve"> had the highest sum at £250,247. This value was substantially higher, by 628.97%, than the lowest sum in the top 5 cost </w:t>
      </w:r>
      <w:proofErr w:type="spellStart"/>
      <w:r w:rsidRPr="004C29BF">
        <w:rPr>
          <w:rFonts w:ascii="Times New Roman" w:eastAsia="Times New Roman" w:hAnsi="Times New Roman" w:cs="Times New Roman"/>
          <w:sz w:val="24"/>
          <w:szCs w:val="24"/>
        </w:rPr>
        <w:t>centres</w:t>
      </w:r>
      <w:proofErr w:type="spellEnd"/>
      <w:r w:rsidRPr="004C29BF">
        <w:rPr>
          <w:rFonts w:ascii="Times New Roman" w:eastAsia="Times New Roman" w:hAnsi="Times New Roman" w:cs="Times New Roman"/>
          <w:sz w:val="24"/>
          <w:szCs w:val="24"/>
        </w:rPr>
        <w:t xml:space="preserve">, </w:t>
      </w:r>
      <w:r w:rsidRPr="004C29BF">
        <w:rPr>
          <w:rFonts w:ascii="Times New Roman" w:eastAsia="Times New Roman" w:hAnsi="Times New Roman" w:cs="Times New Roman"/>
          <w:b/>
          <w:bCs/>
          <w:sz w:val="24"/>
          <w:szCs w:val="24"/>
        </w:rPr>
        <w:t>Environment &amp; Place</w:t>
      </w:r>
      <w:r w:rsidRPr="004C29BF">
        <w:rPr>
          <w:rFonts w:ascii="Times New Roman" w:eastAsia="Times New Roman" w:hAnsi="Times New Roman" w:cs="Times New Roman"/>
          <w:sz w:val="24"/>
          <w:szCs w:val="24"/>
        </w:rPr>
        <w:t xml:space="preserve">, which had £34,329. Notably, </w:t>
      </w:r>
      <w:r w:rsidRPr="004C29BF">
        <w:rPr>
          <w:rFonts w:ascii="Times New Roman" w:eastAsia="Times New Roman" w:hAnsi="Times New Roman" w:cs="Times New Roman"/>
          <w:b/>
          <w:bCs/>
          <w:sz w:val="24"/>
          <w:szCs w:val="24"/>
        </w:rPr>
        <w:t>Cost of Services (Excluding HSCP)</w:t>
      </w:r>
      <w:r w:rsidRPr="004C29BF">
        <w:rPr>
          <w:rFonts w:ascii="Times New Roman" w:eastAsia="Times New Roman" w:hAnsi="Times New Roman" w:cs="Times New Roman"/>
          <w:sz w:val="24"/>
          <w:szCs w:val="24"/>
        </w:rPr>
        <w:t xml:space="preserve"> accounted for 51.09% of the total sum of Revised Budget £ across all cost </w:t>
      </w:r>
      <w:proofErr w:type="spellStart"/>
      <w:r w:rsidRPr="004C29BF">
        <w:rPr>
          <w:rFonts w:ascii="Times New Roman" w:eastAsia="Times New Roman" w:hAnsi="Times New Roman" w:cs="Times New Roman"/>
          <w:sz w:val="24"/>
          <w:szCs w:val="24"/>
        </w:rPr>
        <w:t>centres</w:t>
      </w:r>
      <w:proofErr w:type="spellEnd"/>
      <w:r w:rsidRPr="004C29BF">
        <w:rPr>
          <w:rFonts w:ascii="Times New Roman" w:eastAsia="Times New Roman" w:hAnsi="Times New Roman" w:cs="Times New Roman"/>
          <w:sz w:val="24"/>
          <w:szCs w:val="24"/>
        </w:rPr>
        <w:t xml:space="preserve">. The data highlights that the top 5 cost </w:t>
      </w:r>
      <w:proofErr w:type="spellStart"/>
      <w:r w:rsidRPr="004C29BF">
        <w:rPr>
          <w:rFonts w:ascii="Times New Roman" w:eastAsia="Times New Roman" w:hAnsi="Times New Roman" w:cs="Times New Roman"/>
          <w:sz w:val="24"/>
          <w:szCs w:val="24"/>
        </w:rPr>
        <w:t>centres</w:t>
      </w:r>
      <w:proofErr w:type="spellEnd"/>
      <w:r w:rsidRPr="004C29BF">
        <w:rPr>
          <w:rFonts w:ascii="Times New Roman" w:eastAsia="Times New Roman" w:hAnsi="Times New Roman" w:cs="Times New Roman"/>
          <w:sz w:val="24"/>
          <w:szCs w:val="24"/>
        </w:rPr>
        <w:t xml:space="preserve"> have a significant range in their Revised Budget £, from £34,329 to £250,247, indicating varied financial scopes across cost </w:t>
      </w:r>
      <w:proofErr w:type="spellStart"/>
      <w:r w:rsidRPr="004C29BF">
        <w:rPr>
          <w:rFonts w:ascii="Times New Roman" w:eastAsia="Times New Roman" w:hAnsi="Times New Roman" w:cs="Times New Roman"/>
          <w:sz w:val="24"/>
          <w:szCs w:val="24"/>
        </w:rPr>
        <w:t>centres</w:t>
      </w:r>
      <w:proofErr w:type="spellEnd"/>
      <w:r w:rsidRPr="004C29BF">
        <w:rPr>
          <w:rFonts w:ascii="Times New Roman" w:eastAsia="Times New Roman" w:hAnsi="Times New Roman" w:cs="Times New Roman"/>
          <w:sz w:val="24"/>
          <w:szCs w:val="24"/>
        </w:rPr>
        <w:t>.</w:t>
      </w:r>
    </w:p>
    <w:p w14:paraId="4AEB9933"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sz w:val="24"/>
          <w:szCs w:val="24"/>
        </w:rPr>
        <w:t xml:space="preserve">In contrast, the stacked column chart for the bottom 5 cost </w:t>
      </w:r>
      <w:proofErr w:type="spellStart"/>
      <w:r w:rsidRPr="004C29BF">
        <w:rPr>
          <w:rFonts w:ascii="Times New Roman" w:eastAsia="Times New Roman" w:hAnsi="Times New Roman" w:cs="Times New Roman"/>
          <w:sz w:val="24"/>
          <w:szCs w:val="24"/>
        </w:rPr>
        <w:t>centres</w:t>
      </w:r>
      <w:proofErr w:type="spellEnd"/>
      <w:r w:rsidRPr="004C29BF">
        <w:rPr>
          <w:rFonts w:ascii="Times New Roman" w:eastAsia="Times New Roman" w:hAnsi="Times New Roman" w:cs="Times New Roman"/>
          <w:sz w:val="24"/>
          <w:szCs w:val="24"/>
        </w:rPr>
        <w:t xml:space="preserve"> by Revised Budget £ shows that </w:t>
      </w:r>
      <w:r w:rsidRPr="004C29BF">
        <w:rPr>
          <w:rFonts w:ascii="Times New Roman" w:eastAsia="Times New Roman" w:hAnsi="Times New Roman" w:cs="Times New Roman"/>
          <w:b/>
          <w:bCs/>
          <w:sz w:val="24"/>
          <w:szCs w:val="24"/>
        </w:rPr>
        <w:t>Finance Income</w:t>
      </w:r>
      <w:r w:rsidRPr="004C29BF">
        <w:rPr>
          <w:rFonts w:ascii="Times New Roman" w:eastAsia="Times New Roman" w:hAnsi="Times New Roman" w:cs="Times New Roman"/>
          <w:sz w:val="24"/>
          <w:szCs w:val="24"/>
        </w:rPr>
        <w:t xml:space="preserve"> had the lowest value at -£227,603. This negative figure suggests substantial budget cuts or reduced allocations. The negative sums in the bottom 5 cost </w:t>
      </w:r>
      <w:proofErr w:type="spellStart"/>
      <w:r w:rsidRPr="004C29BF">
        <w:rPr>
          <w:rFonts w:ascii="Times New Roman" w:eastAsia="Times New Roman" w:hAnsi="Times New Roman" w:cs="Times New Roman"/>
          <w:sz w:val="24"/>
          <w:szCs w:val="24"/>
        </w:rPr>
        <w:t>centres</w:t>
      </w:r>
      <w:proofErr w:type="spellEnd"/>
      <w:r w:rsidRPr="004C29BF">
        <w:rPr>
          <w:rFonts w:ascii="Times New Roman" w:eastAsia="Times New Roman" w:hAnsi="Times New Roman" w:cs="Times New Roman"/>
          <w:sz w:val="24"/>
          <w:szCs w:val="24"/>
        </w:rPr>
        <w:t xml:space="preserve">, including </w:t>
      </w:r>
      <w:r w:rsidRPr="004C29BF">
        <w:rPr>
          <w:rFonts w:ascii="Times New Roman" w:eastAsia="Times New Roman" w:hAnsi="Times New Roman" w:cs="Times New Roman"/>
          <w:b/>
          <w:bCs/>
          <w:sz w:val="24"/>
          <w:szCs w:val="24"/>
        </w:rPr>
        <w:t xml:space="preserve">General Revenue Grant &amp; </w:t>
      </w:r>
      <w:proofErr w:type="gramStart"/>
      <w:r w:rsidRPr="004C29BF">
        <w:rPr>
          <w:rFonts w:ascii="Times New Roman" w:eastAsia="Times New Roman" w:hAnsi="Times New Roman" w:cs="Times New Roman"/>
          <w:b/>
          <w:bCs/>
          <w:sz w:val="24"/>
          <w:szCs w:val="24"/>
        </w:rPr>
        <w:t>Non Domestic</w:t>
      </w:r>
      <w:proofErr w:type="gramEnd"/>
      <w:r w:rsidRPr="004C29BF">
        <w:rPr>
          <w:rFonts w:ascii="Times New Roman" w:eastAsia="Times New Roman" w:hAnsi="Times New Roman" w:cs="Times New Roman"/>
          <w:b/>
          <w:bCs/>
          <w:sz w:val="24"/>
          <w:szCs w:val="24"/>
        </w:rPr>
        <w:t xml:space="preserve"> Rates Income</w:t>
      </w:r>
      <w:r w:rsidRPr="004C29BF">
        <w:rPr>
          <w:rFonts w:ascii="Times New Roman" w:eastAsia="Times New Roman" w:hAnsi="Times New Roman" w:cs="Times New Roman"/>
          <w:sz w:val="24"/>
          <w:szCs w:val="24"/>
        </w:rPr>
        <w:t xml:space="preserve"> and </w:t>
      </w:r>
      <w:r w:rsidRPr="004C29BF">
        <w:rPr>
          <w:rFonts w:ascii="Times New Roman" w:eastAsia="Times New Roman" w:hAnsi="Times New Roman" w:cs="Times New Roman"/>
          <w:b/>
          <w:bCs/>
          <w:sz w:val="24"/>
          <w:szCs w:val="24"/>
        </w:rPr>
        <w:t>Council Tax Income</w:t>
      </w:r>
      <w:r w:rsidRPr="004C29BF">
        <w:rPr>
          <w:rFonts w:ascii="Times New Roman" w:eastAsia="Times New Roman" w:hAnsi="Times New Roman" w:cs="Times New Roman"/>
          <w:sz w:val="24"/>
          <w:szCs w:val="24"/>
        </w:rPr>
        <w:t>, reflect a trend of underfunding or adjustments that reduced their budgets significantly. The range from -£227,603 to -£53 indicates a severe variation in budget allocations.</w:t>
      </w:r>
    </w:p>
    <w:p w14:paraId="4B61237A"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sz w:val="24"/>
          <w:szCs w:val="24"/>
        </w:rPr>
        <w:t xml:space="preserve">The clustered column chart for Full Year Variance reveals that </w:t>
      </w:r>
      <w:r w:rsidRPr="004C29BF">
        <w:rPr>
          <w:rFonts w:ascii="Times New Roman" w:eastAsia="Times New Roman" w:hAnsi="Times New Roman" w:cs="Times New Roman"/>
          <w:b/>
          <w:bCs/>
          <w:sz w:val="24"/>
          <w:szCs w:val="24"/>
        </w:rPr>
        <w:t>Council Tax Income</w:t>
      </w:r>
      <w:r w:rsidRPr="004C29BF">
        <w:rPr>
          <w:rFonts w:ascii="Times New Roman" w:eastAsia="Times New Roman" w:hAnsi="Times New Roman" w:cs="Times New Roman"/>
          <w:sz w:val="24"/>
          <w:szCs w:val="24"/>
        </w:rPr>
        <w:t xml:space="preserve"> had the highest variance at £3,981, indicating a favorable performance or higher than expected revenue. Other top cost </w:t>
      </w:r>
      <w:proofErr w:type="spellStart"/>
      <w:r w:rsidRPr="004C29BF">
        <w:rPr>
          <w:rFonts w:ascii="Times New Roman" w:eastAsia="Times New Roman" w:hAnsi="Times New Roman" w:cs="Times New Roman"/>
          <w:sz w:val="24"/>
          <w:szCs w:val="24"/>
        </w:rPr>
        <w:t>centres</w:t>
      </w:r>
      <w:proofErr w:type="spellEnd"/>
      <w:r w:rsidRPr="004C29BF">
        <w:rPr>
          <w:rFonts w:ascii="Times New Roman" w:eastAsia="Times New Roman" w:hAnsi="Times New Roman" w:cs="Times New Roman"/>
          <w:sz w:val="24"/>
          <w:szCs w:val="24"/>
        </w:rPr>
        <w:t xml:space="preserve"> include </w:t>
      </w:r>
      <w:r w:rsidRPr="004C29BF">
        <w:rPr>
          <w:rFonts w:ascii="Times New Roman" w:eastAsia="Times New Roman" w:hAnsi="Times New Roman" w:cs="Times New Roman"/>
          <w:b/>
          <w:bCs/>
          <w:sz w:val="24"/>
          <w:szCs w:val="24"/>
        </w:rPr>
        <w:t>Finance Income</w:t>
      </w:r>
      <w:r w:rsidRPr="004C29BF">
        <w:rPr>
          <w:rFonts w:ascii="Times New Roman" w:eastAsia="Times New Roman" w:hAnsi="Times New Roman" w:cs="Times New Roman"/>
          <w:sz w:val="24"/>
          <w:szCs w:val="24"/>
        </w:rPr>
        <w:t xml:space="preserve"> and </w:t>
      </w:r>
      <w:r w:rsidRPr="004C29BF">
        <w:rPr>
          <w:rFonts w:ascii="Times New Roman" w:eastAsia="Times New Roman" w:hAnsi="Times New Roman" w:cs="Times New Roman"/>
          <w:b/>
          <w:bCs/>
          <w:sz w:val="24"/>
          <w:szCs w:val="24"/>
        </w:rPr>
        <w:t>Regeneration and Economic Growth</w:t>
      </w:r>
      <w:r w:rsidRPr="004C29BF">
        <w:rPr>
          <w:rFonts w:ascii="Times New Roman" w:eastAsia="Times New Roman" w:hAnsi="Times New Roman" w:cs="Times New Roman"/>
          <w:sz w:val="24"/>
          <w:szCs w:val="24"/>
        </w:rPr>
        <w:t>, with positive variances of £2,183 and £1,504 respectively. These positive variances highlight areas with better financial outcomes compared to projections.</w:t>
      </w:r>
    </w:p>
    <w:p w14:paraId="689AD303"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sz w:val="24"/>
          <w:szCs w:val="24"/>
        </w:rPr>
        <w:t xml:space="preserve">Conversely, the clustered column chart for the bottom 5 cost </w:t>
      </w:r>
      <w:proofErr w:type="spellStart"/>
      <w:r w:rsidRPr="004C29BF">
        <w:rPr>
          <w:rFonts w:ascii="Times New Roman" w:eastAsia="Times New Roman" w:hAnsi="Times New Roman" w:cs="Times New Roman"/>
          <w:sz w:val="24"/>
          <w:szCs w:val="24"/>
        </w:rPr>
        <w:t>centres</w:t>
      </w:r>
      <w:proofErr w:type="spellEnd"/>
      <w:r w:rsidRPr="004C29BF">
        <w:rPr>
          <w:rFonts w:ascii="Times New Roman" w:eastAsia="Times New Roman" w:hAnsi="Times New Roman" w:cs="Times New Roman"/>
          <w:sz w:val="24"/>
          <w:szCs w:val="24"/>
        </w:rPr>
        <w:t xml:space="preserve"> by Full Year Variance shows </w:t>
      </w:r>
      <w:r w:rsidRPr="004C29BF">
        <w:rPr>
          <w:rFonts w:ascii="Times New Roman" w:eastAsia="Times New Roman" w:hAnsi="Times New Roman" w:cs="Times New Roman"/>
          <w:b/>
          <w:bCs/>
          <w:sz w:val="24"/>
          <w:szCs w:val="24"/>
        </w:rPr>
        <w:t>Cost of Services (Excluding HSCP</w:t>
      </w:r>
      <w:r w:rsidRPr="004C29BF">
        <w:rPr>
          <w:rFonts w:ascii="Times New Roman" w:eastAsia="Times New Roman" w:hAnsi="Times New Roman" w:cs="Times New Roman"/>
          <w:sz w:val="24"/>
          <w:szCs w:val="24"/>
        </w:rPr>
        <w:t xml:space="preserve"> with the lowest variance at -£92,037. This significant negative variance points to considerable budget shortfalls or overspending. Other cost </w:t>
      </w:r>
      <w:proofErr w:type="spellStart"/>
      <w:r w:rsidRPr="004C29BF">
        <w:rPr>
          <w:rFonts w:ascii="Times New Roman" w:eastAsia="Times New Roman" w:hAnsi="Times New Roman" w:cs="Times New Roman"/>
          <w:sz w:val="24"/>
          <w:szCs w:val="24"/>
        </w:rPr>
        <w:t>centres</w:t>
      </w:r>
      <w:proofErr w:type="spellEnd"/>
      <w:r w:rsidRPr="004C29BF">
        <w:rPr>
          <w:rFonts w:ascii="Times New Roman" w:eastAsia="Times New Roman" w:hAnsi="Times New Roman" w:cs="Times New Roman"/>
          <w:sz w:val="24"/>
          <w:szCs w:val="24"/>
        </w:rPr>
        <w:t xml:space="preserve"> like </w:t>
      </w:r>
      <w:r w:rsidRPr="004C29BF">
        <w:rPr>
          <w:rFonts w:ascii="Times New Roman" w:eastAsia="Times New Roman" w:hAnsi="Times New Roman" w:cs="Times New Roman"/>
          <w:b/>
          <w:bCs/>
          <w:sz w:val="24"/>
          <w:szCs w:val="24"/>
        </w:rPr>
        <w:t>Net (Surplus/Deficit for Year (Excluding HSCP)</w:t>
      </w:r>
      <w:r w:rsidRPr="004C29BF">
        <w:rPr>
          <w:rFonts w:ascii="Times New Roman" w:eastAsia="Times New Roman" w:hAnsi="Times New Roman" w:cs="Times New Roman"/>
          <w:sz w:val="24"/>
          <w:szCs w:val="24"/>
        </w:rPr>
        <w:t xml:space="preserve"> and </w:t>
      </w:r>
      <w:r w:rsidRPr="004C29BF">
        <w:rPr>
          <w:rFonts w:ascii="Times New Roman" w:eastAsia="Times New Roman" w:hAnsi="Times New Roman" w:cs="Times New Roman"/>
          <w:b/>
          <w:bCs/>
          <w:sz w:val="24"/>
          <w:szCs w:val="24"/>
        </w:rPr>
        <w:t>Schools &amp; Learning</w:t>
      </w:r>
      <w:r w:rsidRPr="004C29BF">
        <w:rPr>
          <w:rFonts w:ascii="Times New Roman" w:eastAsia="Times New Roman" w:hAnsi="Times New Roman" w:cs="Times New Roman"/>
          <w:sz w:val="24"/>
          <w:szCs w:val="24"/>
        </w:rPr>
        <w:t xml:space="preserve"> also show large negative variances, indicating potential budget management issues.</w:t>
      </w:r>
    </w:p>
    <w:p w14:paraId="169E162D"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sz w:val="24"/>
          <w:szCs w:val="24"/>
        </w:rPr>
        <w:t xml:space="preserve">The scatter plot of </w:t>
      </w:r>
      <w:r w:rsidRPr="004C29BF">
        <w:rPr>
          <w:rFonts w:ascii="Courier New" w:eastAsia="Times New Roman" w:hAnsi="Courier New" w:cs="Courier New"/>
          <w:sz w:val="20"/>
          <w:szCs w:val="20"/>
        </w:rPr>
        <w:t>% Variance</w:t>
      </w:r>
      <w:r w:rsidRPr="004C29BF">
        <w:rPr>
          <w:rFonts w:ascii="Times New Roman" w:eastAsia="Times New Roman" w:hAnsi="Times New Roman" w:cs="Times New Roman"/>
          <w:sz w:val="24"/>
          <w:szCs w:val="24"/>
        </w:rPr>
        <w:t xml:space="preserve"> versus </w:t>
      </w:r>
      <w:r w:rsidRPr="004C29BF">
        <w:rPr>
          <w:rFonts w:ascii="Courier New" w:eastAsia="Times New Roman" w:hAnsi="Courier New" w:cs="Courier New"/>
          <w:sz w:val="20"/>
          <w:szCs w:val="20"/>
        </w:rPr>
        <w:t>Full Year Variance</w:t>
      </w:r>
      <w:r w:rsidRPr="004C29BF">
        <w:rPr>
          <w:rFonts w:ascii="Times New Roman" w:eastAsia="Times New Roman" w:hAnsi="Times New Roman" w:cs="Times New Roman"/>
          <w:sz w:val="24"/>
          <w:szCs w:val="24"/>
        </w:rPr>
        <w:t xml:space="preserve"> provides descriptive statistics showing that the average </w:t>
      </w:r>
      <w:r w:rsidRPr="004C29BF">
        <w:rPr>
          <w:rFonts w:ascii="Courier New" w:eastAsia="Times New Roman" w:hAnsi="Courier New" w:cs="Courier New"/>
          <w:sz w:val="20"/>
          <w:szCs w:val="20"/>
        </w:rPr>
        <w:t>% Variance</w:t>
      </w:r>
      <w:r w:rsidRPr="004C29BF">
        <w:rPr>
          <w:rFonts w:ascii="Times New Roman" w:eastAsia="Times New Roman" w:hAnsi="Times New Roman" w:cs="Times New Roman"/>
          <w:sz w:val="24"/>
          <w:szCs w:val="24"/>
        </w:rPr>
        <w:t xml:space="preserve"> is -0.92%, with a wide range from -50.84% to 1.43%. This suggests a general trend of negative variance across cost </w:t>
      </w:r>
      <w:proofErr w:type="spellStart"/>
      <w:r w:rsidRPr="004C29BF">
        <w:rPr>
          <w:rFonts w:ascii="Times New Roman" w:eastAsia="Times New Roman" w:hAnsi="Times New Roman" w:cs="Times New Roman"/>
          <w:sz w:val="24"/>
          <w:szCs w:val="24"/>
        </w:rPr>
        <w:t>centres</w:t>
      </w:r>
      <w:proofErr w:type="spellEnd"/>
      <w:r w:rsidRPr="004C29BF">
        <w:rPr>
          <w:rFonts w:ascii="Times New Roman" w:eastAsia="Times New Roman" w:hAnsi="Times New Roman" w:cs="Times New Roman"/>
          <w:sz w:val="24"/>
          <w:szCs w:val="24"/>
        </w:rPr>
        <w:t xml:space="preserve">, with substantial variability. The average </w:t>
      </w:r>
      <w:r w:rsidRPr="004C29BF">
        <w:rPr>
          <w:rFonts w:ascii="Courier New" w:eastAsia="Times New Roman" w:hAnsi="Courier New" w:cs="Courier New"/>
          <w:sz w:val="20"/>
          <w:szCs w:val="20"/>
        </w:rPr>
        <w:t>Full Year Variance</w:t>
      </w:r>
      <w:r w:rsidRPr="004C29BF">
        <w:rPr>
          <w:rFonts w:ascii="Times New Roman" w:eastAsia="Times New Roman" w:hAnsi="Times New Roman" w:cs="Times New Roman"/>
          <w:sz w:val="24"/>
          <w:szCs w:val="24"/>
        </w:rPr>
        <w:t xml:space="preserve"> is -£5,335, with values ranging from -£92,037 to £3,981. The high standard deviation underscores the variability in financial performance across cost </w:t>
      </w:r>
      <w:proofErr w:type="spellStart"/>
      <w:r w:rsidRPr="004C29BF">
        <w:rPr>
          <w:rFonts w:ascii="Times New Roman" w:eastAsia="Times New Roman" w:hAnsi="Times New Roman" w:cs="Times New Roman"/>
          <w:sz w:val="24"/>
          <w:szCs w:val="24"/>
        </w:rPr>
        <w:t>centres</w:t>
      </w:r>
      <w:proofErr w:type="spellEnd"/>
      <w:r w:rsidRPr="004C29BF">
        <w:rPr>
          <w:rFonts w:ascii="Times New Roman" w:eastAsia="Times New Roman" w:hAnsi="Times New Roman" w:cs="Times New Roman"/>
          <w:sz w:val="24"/>
          <w:szCs w:val="24"/>
        </w:rPr>
        <w:t>.</w:t>
      </w:r>
    </w:p>
    <w:p w14:paraId="49C56808"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sz w:val="24"/>
          <w:szCs w:val="24"/>
        </w:rPr>
        <w:t xml:space="preserve">Overall, the analysis highlights significant budgetary disparities and variances among cost </w:t>
      </w:r>
      <w:proofErr w:type="spellStart"/>
      <w:r w:rsidRPr="004C29BF">
        <w:rPr>
          <w:rFonts w:ascii="Times New Roman" w:eastAsia="Times New Roman" w:hAnsi="Times New Roman" w:cs="Times New Roman"/>
          <w:sz w:val="24"/>
          <w:szCs w:val="24"/>
        </w:rPr>
        <w:t>centres</w:t>
      </w:r>
      <w:proofErr w:type="spellEnd"/>
      <w:r w:rsidRPr="004C29BF">
        <w:rPr>
          <w:rFonts w:ascii="Times New Roman" w:eastAsia="Times New Roman" w:hAnsi="Times New Roman" w:cs="Times New Roman"/>
          <w:sz w:val="24"/>
          <w:szCs w:val="24"/>
        </w:rPr>
        <w:t xml:space="preserve">. The large sums in the top cost </w:t>
      </w:r>
      <w:proofErr w:type="spellStart"/>
      <w:r w:rsidRPr="004C29BF">
        <w:rPr>
          <w:rFonts w:ascii="Times New Roman" w:eastAsia="Times New Roman" w:hAnsi="Times New Roman" w:cs="Times New Roman"/>
          <w:sz w:val="24"/>
          <w:szCs w:val="24"/>
        </w:rPr>
        <w:t>centres</w:t>
      </w:r>
      <w:proofErr w:type="spellEnd"/>
      <w:r w:rsidRPr="004C29BF">
        <w:rPr>
          <w:rFonts w:ascii="Times New Roman" w:eastAsia="Times New Roman" w:hAnsi="Times New Roman" w:cs="Times New Roman"/>
          <w:sz w:val="24"/>
          <w:szCs w:val="24"/>
        </w:rPr>
        <w:t xml:space="preserve"> and substantial negative values in the bottom cost </w:t>
      </w:r>
      <w:proofErr w:type="spellStart"/>
      <w:r w:rsidRPr="004C29BF">
        <w:rPr>
          <w:rFonts w:ascii="Times New Roman" w:eastAsia="Times New Roman" w:hAnsi="Times New Roman" w:cs="Times New Roman"/>
          <w:sz w:val="24"/>
          <w:szCs w:val="24"/>
        </w:rPr>
        <w:t>centres</w:t>
      </w:r>
      <w:proofErr w:type="spellEnd"/>
      <w:r w:rsidRPr="004C29BF">
        <w:rPr>
          <w:rFonts w:ascii="Times New Roman" w:eastAsia="Times New Roman" w:hAnsi="Times New Roman" w:cs="Times New Roman"/>
          <w:sz w:val="24"/>
          <w:szCs w:val="24"/>
        </w:rPr>
        <w:t xml:space="preserve"> suggest areas for further investigation to understand the underlying causes of these financial trends. The variability in </w:t>
      </w:r>
      <w:r w:rsidRPr="004C29BF">
        <w:rPr>
          <w:rFonts w:ascii="Courier New" w:eastAsia="Times New Roman" w:hAnsi="Courier New" w:cs="Courier New"/>
          <w:sz w:val="20"/>
          <w:szCs w:val="20"/>
        </w:rPr>
        <w:t>% Variance</w:t>
      </w:r>
      <w:r w:rsidRPr="004C29BF">
        <w:rPr>
          <w:rFonts w:ascii="Times New Roman" w:eastAsia="Times New Roman" w:hAnsi="Times New Roman" w:cs="Times New Roman"/>
          <w:sz w:val="24"/>
          <w:szCs w:val="24"/>
        </w:rPr>
        <w:t xml:space="preserve"> and </w:t>
      </w:r>
      <w:r w:rsidRPr="004C29BF">
        <w:rPr>
          <w:rFonts w:ascii="Courier New" w:eastAsia="Times New Roman" w:hAnsi="Courier New" w:cs="Courier New"/>
          <w:sz w:val="20"/>
          <w:szCs w:val="20"/>
        </w:rPr>
        <w:t>Full Year Variance</w:t>
      </w:r>
      <w:r w:rsidRPr="004C29BF">
        <w:rPr>
          <w:rFonts w:ascii="Times New Roman" w:eastAsia="Times New Roman" w:hAnsi="Times New Roman" w:cs="Times New Roman"/>
          <w:sz w:val="24"/>
          <w:szCs w:val="24"/>
        </w:rPr>
        <w:t xml:space="preserve"> points to potential challenges in budget management and financial forecasting that may need addressing.</w:t>
      </w:r>
    </w:p>
    <w:p w14:paraId="3DF68407"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sz w:val="24"/>
          <w:szCs w:val="24"/>
        </w:rPr>
        <w:t>The analysis of the aging and balance data reveals the following key insights:</w:t>
      </w:r>
    </w:p>
    <w:p w14:paraId="3533DB82"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1. Aging Bucket Analysis</w:t>
      </w:r>
    </w:p>
    <w:p w14:paraId="2178D156" w14:textId="77777777" w:rsidR="004C29BF" w:rsidRPr="004C29BF" w:rsidRDefault="004C29BF" w:rsidP="004C29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lastRenderedPageBreak/>
        <w:t>Stacked Bar Chart: Aging Bucket vs. SUMOF Original Balance</w:t>
      </w:r>
      <w:r w:rsidRPr="004C29BF">
        <w:rPr>
          <w:rFonts w:ascii="Times New Roman" w:eastAsia="Times New Roman" w:hAnsi="Times New Roman" w:cs="Times New Roman"/>
          <w:sz w:val="24"/>
          <w:szCs w:val="24"/>
        </w:rPr>
        <w:br/>
        <w:t xml:space="preserve">The data shows that the </w:t>
      </w:r>
      <w:r w:rsidRPr="004C29BF">
        <w:rPr>
          <w:rFonts w:ascii="Courier New" w:eastAsia="Times New Roman" w:hAnsi="Courier New" w:cs="Courier New"/>
          <w:sz w:val="20"/>
          <w:szCs w:val="20"/>
        </w:rPr>
        <w:t>91-120 Days</w:t>
      </w:r>
      <w:r w:rsidRPr="004C29BF">
        <w:rPr>
          <w:rFonts w:ascii="Times New Roman" w:eastAsia="Times New Roman" w:hAnsi="Times New Roman" w:cs="Times New Roman"/>
          <w:sz w:val="24"/>
          <w:szCs w:val="24"/>
        </w:rPr>
        <w:t xml:space="preserve"> bucket has the highest sum of original balance at £2,458,639.20, significantly higher than the </w:t>
      </w:r>
      <w:r w:rsidRPr="004C29BF">
        <w:rPr>
          <w:rFonts w:ascii="Courier New" w:eastAsia="Times New Roman" w:hAnsi="Courier New" w:cs="Courier New"/>
          <w:sz w:val="20"/>
          <w:szCs w:val="20"/>
        </w:rPr>
        <w:t>61-90 Days</w:t>
      </w:r>
      <w:r w:rsidRPr="004C29BF">
        <w:rPr>
          <w:rFonts w:ascii="Times New Roman" w:eastAsia="Times New Roman" w:hAnsi="Times New Roman" w:cs="Times New Roman"/>
          <w:sz w:val="24"/>
          <w:szCs w:val="24"/>
        </w:rPr>
        <w:t xml:space="preserve"> bucket with the lowest balance of £292,358.15. This indicates a substantial disparity in balances across different aging buckets. The range from £292,358.15 to £2,458,639.20 highlights major differences in overdue amounts.</w:t>
      </w:r>
    </w:p>
    <w:p w14:paraId="3303922E" w14:textId="77777777" w:rsidR="004C29BF" w:rsidRPr="004C29BF" w:rsidRDefault="004C29BF" w:rsidP="004C29B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Pie Chart: Aging Bucket Distribution</w:t>
      </w:r>
      <w:r w:rsidRPr="004C29BF">
        <w:rPr>
          <w:rFonts w:ascii="Times New Roman" w:eastAsia="Times New Roman" w:hAnsi="Times New Roman" w:cs="Times New Roman"/>
          <w:sz w:val="24"/>
          <w:szCs w:val="24"/>
        </w:rPr>
        <w:br/>
        <w:t xml:space="preserve">The pie chart corroborates the stacked bar chart, showing that </w:t>
      </w:r>
      <w:r w:rsidRPr="004C29BF">
        <w:rPr>
          <w:rFonts w:ascii="Courier New" w:eastAsia="Times New Roman" w:hAnsi="Courier New" w:cs="Courier New"/>
          <w:sz w:val="20"/>
          <w:szCs w:val="20"/>
        </w:rPr>
        <w:t>91-120 Days</w:t>
      </w:r>
      <w:r w:rsidRPr="004C29BF">
        <w:rPr>
          <w:rFonts w:ascii="Times New Roman" w:eastAsia="Times New Roman" w:hAnsi="Times New Roman" w:cs="Times New Roman"/>
          <w:sz w:val="24"/>
          <w:szCs w:val="24"/>
        </w:rPr>
        <w:t xml:space="preserve"> accounts for the largest share of the total original balance. This distribution indicates that a significant portion of the balance is concentrated in the overdue buckets, particularly </w:t>
      </w:r>
      <w:r w:rsidRPr="004C29BF">
        <w:rPr>
          <w:rFonts w:ascii="Courier New" w:eastAsia="Times New Roman" w:hAnsi="Courier New" w:cs="Courier New"/>
          <w:sz w:val="20"/>
          <w:szCs w:val="20"/>
        </w:rPr>
        <w:t>91-120 Days</w:t>
      </w:r>
      <w:r w:rsidRPr="004C29BF">
        <w:rPr>
          <w:rFonts w:ascii="Times New Roman" w:eastAsia="Times New Roman" w:hAnsi="Times New Roman" w:cs="Times New Roman"/>
          <w:sz w:val="24"/>
          <w:szCs w:val="24"/>
        </w:rPr>
        <w:t>, which suggests a focus area for debt collection efforts.</w:t>
      </w:r>
    </w:p>
    <w:p w14:paraId="2B0BC28F"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2. Customer Analysis</w:t>
      </w:r>
    </w:p>
    <w:p w14:paraId="7D33A53D" w14:textId="77777777" w:rsidR="004C29BF" w:rsidRPr="004C29BF" w:rsidRDefault="004C29BF" w:rsidP="004C29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Clustered Column Chart: Top 10 Customers by Amount Remaining</w:t>
      </w:r>
      <w:r w:rsidRPr="004C29BF">
        <w:rPr>
          <w:rFonts w:ascii="Times New Roman" w:eastAsia="Times New Roman" w:hAnsi="Times New Roman" w:cs="Times New Roman"/>
          <w:sz w:val="24"/>
          <w:szCs w:val="24"/>
        </w:rPr>
        <w:br/>
        <w:t>The highest amount remaining is with Customer 30110 at £1,290,883.72, showing a notable disparity compared to the lowest top 10 customer, Customer 6079, with £97,172.20. The range from £97,172.20 to £1,290,883.72 underscores significant variation in outstanding amounts among top customers, highlighting areas where collections could be prioritized.</w:t>
      </w:r>
    </w:p>
    <w:p w14:paraId="41570554"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3. Profile Analysis</w:t>
      </w:r>
    </w:p>
    <w:p w14:paraId="42743E35" w14:textId="77777777" w:rsidR="004C29BF" w:rsidRPr="004C29BF" w:rsidRDefault="004C29BF" w:rsidP="004C29B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C29BF">
        <w:rPr>
          <w:rFonts w:ascii="Times New Roman" w:eastAsia="Times New Roman" w:hAnsi="Times New Roman" w:cs="Times New Roman"/>
          <w:b/>
          <w:bCs/>
          <w:sz w:val="24"/>
          <w:szCs w:val="24"/>
        </w:rPr>
        <w:t>Treemap</w:t>
      </w:r>
      <w:proofErr w:type="spellEnd"/>
      <w:r w:rsidRPr="004C29BF">
        <w:rPr>
          <w:rFonts w:ascii="Times New Roman" w:eastAsia="Times New Roman" w:hAnsi="Times New Roman" w:cs="Times New Roman"/>
          <w:b/>
          <w:bCs/>
          <w:sz w:val="24"/>
          <w:szCs w:val="24"/>
        </w:rPr>
        <w:t>: Top 5 Profiles by SUMOF Original Balance</w:t>
      </w:r>
      <w:r w:rsidRPr="004C29BF">
        <w:rPr>
          <w:rFonts w:ascii="Times New Roman" w:eastAsia="Times New Roman" w:hAnsi="Times New Roman" w:cs="Times New Roman"/>
          <w:sz w:val="24"/>
          <w:szCs w:val="24"/>
        </w:rPr>
        <w:br/>
      </w:r>
      <w:r w:rsidRPr="004C29BF">
        <w:rPr>
          <w:rFonts w:ascii="Courier New" w:eastAsia="Times New Roman" w:hAnsi="Courier New" w:cs="Courier New"/>
          <w:sz w:val="20"/>
          <w:szCs w:val="20"/>
        </w:rPr>
        <w:t>Other Public Bodies</w:t>
      </w:r>
      <w:r w:rsidRPr="004C29BF">
        <w:rPr>
          <w:rFonts w:ascii="Times New Roman" w:eastAsia="Times New Roman" w:hAnsi="Times New Roman" w:cs="Times New Roman"/>
          <w:sz w:val="24"/>
          <w:szCs w:val="24"/>
        </w:rPr>
        <w:t xml:space="preserve"> has the largest original balance at £5,022,004.18, far exceeding the balance of other profiles. The smallest balance among the top 5 is for </w:t>
      </w:r>
      <w:r w:rsidRPr="004C29BF">
        <w:rPr>
          <w:rFonts w:ascii="Courier New" w:eastAsia="Times New Roman" w:hAnsi="Courier New" w:cs="Courier New"/>
          <w:sz w:val="20"/>
          <w:szCs w:val="20"/>
        </w:rPr>
        <w:t>Cemeteries</w:t>
      </w:r>
      <w:r w:rsidRPr="004C29BF">
        <w:rPr>
          <w:rFonts w:ascii="Times New Roman" w:eastAsia="Times New Roman" w:hAnsi="Times New Roman" w:cs="Times New Roman"/>
          <w:sz w:val="24"/>
          <w:szCs w:val="24"/>
        </w:rPr>
        <w:t xml:space="preserve"> at £262,186.55. This distribution shows a major concentration of balances within a few profiles, pointing to potential high-impact areas for financial management.</w:t>
      </w:r>
    </w:p>
    <w:p w14:paraId="0083572B"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4. Due Date Analysis</w:t>
      </w:r>
    </w:p>
    <w:p w14:paraId="49B3ACEA" w14:textId="77777777" w:rsidR="004C29BF" w:rsidRPr="004C29BF" w:rsidRDefault="004C29BF" w:rsidP="004C29B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Line Chart: Due Date vs. SUMOF Collected and SUMOF Original Balance</w:t>
      </w:r>
      <w:r w:rsidRPr="004C29BF">
        <w:rPr>
          <w:rFonts w:ascii="Times New Roman" w:eastAsia="Times New Roman" w:hAnsi="Times New Roman" w:cs="Times New Roman"/>
          <w:sz w:val="24"/>
          <w:szCs w:val="24"/>
        </w:rPr>
        <w:br/>
        <w:t>The line chart shows that the sum of collected amounts and original balances exhibit considerable variability over time. There are instances where the original balance far exceeds the collected amount, indicating periods of significant collection shortfalls. This suggests a trend of lower collections compared to the balances due.</w:t>
      </w:r>
    </w:p>
    <w:p w14:paraId="0CFD71DE"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Overall Summary</w:t>
      </w:r>
    </w:p>
    <w:p w14:paraId="7205FCF4"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sz w:val="24"/>
          <w:szCs w:val="24"/>
        </w:rPr>
        <w:t>The analysis underscores substantial variations in balances and collections across different categories:</w:t>
      </w:r>
    </w:p>
    <w:p w14:paraId="6AC61C64" w14:textId="77777777" w:rsidR="004C29BF" w:rsidRPr="004C29BF" w:rsidRDefault="004C29BF" w:rsidP="004C29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Aging Buckets</w:t>
      </w:r>
      <w:r w:rsidRPr="004C29BF">
        <w:rPr>
          <w:rFonts w:ascii="Times New Roman" w:eastAsia="Times New Roman" w:hAnsi="Times New Roman" w:cs="Times New Roman"/>
          <w:sz w:val="24"/>
          <w:szCs w:val="24"/>
        </w:rPr>
        <w:t xml:space="preserve">: Major disparities in original balances highlight the need for targeted collection efforts, especially in buckets like </w:t>
      </w:r>
      <w:r w:rsidRPr="004C29BF">
        <w:rPr>
          <w:rFonts w:ascii="Courier New" w:eastAsia="Times New Roman" w:hAnsi="Courier New" w:cs="Courier New"/>
          <w:sz w:val="20"/>
          <w:szCs w:val="20"/>
        </w:rPr>
        <w:t>91-120 Days</w:t>
      </w:r>
      <w:r w:rsidRPr="004C29BF">
        <w:rPr>
          <w:rFonts w:ascii="Times New Roman" w:eastAsia="Times New Roman" w:hAnsi="Times New Roman" w:cs="Times New Roman"/>
          <w:sz w:val="24"/>
          <w:szCs w:val="24"/>
        </w:rPr>
        <w:t>.</w:t>
      </w:r>
    </w:p>
    <w:p w14:paraId="4D3C1CFE" w14:textId="77777777" w:rsidR="004C29BF" w:rsidRPr="004C29BF" w:rsidRDefault="004C29BF" w:rsidP="004C29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Customers</w:t>
      </w:r>
      <w:r w:rsidRPr="004C29BF">
        <w:rPr>
          <w:rFonts w:ascii="Times New Roman" w:eastAsia="Times New Roman" w:hAnsi="Times New Roman" w:cs="Times New Roman"/>
          <w:sz w:val="24"/>
          <w:szCs w:val="24"/>
        </w:rPr>
        <w:t>: Significant differences in amounts remaining suggest a need for focused collection strategies for high-balance customers.</w:t>
      </w:r>
    </w:p>
    <w:p w14:paraId="16310F12" w14:textId="77777777" w:rsidR="004C29BF" w:rsidRPr="004C29BF" w:rsidRDefault="004C29BF" w:rsidP="004C29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lastRenderedPageBreak/>
        <w:t>Profiles</w:t>
      </w:r>
      <w:r w:rsidRPr="004C29BF">
        <w:rPr>
          <w:rFonts w:ascii="Times New Roman" w:eastAsia="Times New Roman" w:hAnsi="Times New Roman" w:cs="Times New Roman"/>
          <w:sz w:val="24"/>
          <w:szCs w:val="24"/>
        </w:rPr>
        <w:t xml:space="preserve">: High concentration of balances in </w:t>
      </w:r>
      <w:r w:rsidRPr="004C29BF">
        <w:rPr>
          <w:rFonts w:ascii="Courier New" w:eastAsia="Times New Roman" w:hAnsi="Courier New" w:cs="Courier New"/>
          <w:sz w:val="20"/>
          <w:szCs w:val="20"/>
        </w:rPr>
        <w:t>Other Public Bodies</w:t>
      </w:r>
      <w:r w:rsidRPr="004C29BF">
        <w:rPr>
          <w:rFonts w:ascii="Times New Roman" w:eastAsia="Times New Roman" w:hAnsi="Times New Roman" w:cs="Times New Roman"/>
          <w:sz w:val="24"/>
          <w:szCs w:val="24"/>
        </w:rPr>
        <w:t xml:space="preserve"> indicates key areas for financial oversight.</w:t>
      </w:r>
    </w:p>
    <w:p w14:paraId="731BF45C" w14:textId="77777777" w:rsidR="004C29BF" w:rsidRPr="004C29BF" w:rsidRDefault="004C29BF" w:rsidP="004C29B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b/>
          <w:bCs/>
          <w:sz w:val="24"/>
          <w:szCs w:val="24"/>
        </w:rPr>
        <w:t>Due Dates</w:t>
      </w:r>
      <w:r w:rsidRPr="004C29BF">
        <w:rPr>
          <w:rFonts w:ascii="Times New Roman" w:eastAsia="Times New Roman" w:hAnsi="Times New Roman" w:cs="Times New Roman"/>
          <w:sz w:val="24"/>
          <w:szCs w:val="24"/>
        </w:rPr>
        <w:t>: Variability in collections relative to original balances points to periods of underperformance in debt recovery.</w:t>
      </w:r>
    </w:p>
    <w:p w14:paraId="127A70ED" w14:textId="77777777" w:rsidR="004C29BF" w:rsidRPr="004C29BF" w:rsidRDefault="004C29BF" w:rsidP="004C29BF">
      <w:pPr>
        <w:spacing w:before="100" w:beforeAutospacing="1" w:after="100" w:afterAutospacing="1" w:line="240" w:lineRule="auto"/>
        <w:rPr>
          <w:rFonts w:ascii="Times New Roman" w:eastAsia="Times New Roman" w:hAnsi="Times New Roman" w:cs="Times New Roman"/>
          <w:sz w:val="24"/>
          <w:szCs w:val="24"/>
        </w:rPr>
      </w:pPr>
      <w:r w:rsidRPr="004C29BF">
        <w:rPr>
          <w:rFonts w:ascii="Times New Roman" w:eastAsia="Times New Roman" w:hAnsi="Times New Roman" w:cs="Times New Roman"/>
          <w:sz w:val="24"/>
          <w:szCs w:val="24"/>
        </w:rPr>
        <w:t>Overall, the data highlights significant differences and variances, pointing to areas that require further investigation and strategic focus in financial management and collections.</w:t>
      </w:r>
    </w:p>
    <w:p w14:paraId="7A5EA6F9" w14:textId="2FD6E7BE" w:rsidR="004B03FA" w:rsidRDefault="004B03FA">
      <w:bookmarkStart w:id="0" w:name="_GoBack"/>
      <w:bookmarkEnd w:id="0"/>
    </w:p>
    <w:p w14:paraId="62852B21" w14:textId="77777777" w:rsidR="00634346" w:rsidRDefault="00634346"/>
    <w:sectPr w:rsidR="00634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7CF"/>
    <w:multiLevelType w:val="multilevel"/>
    <w:tmpl w:val="E9A03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6712C"/>
    <w:multiLevelType w:val="multilevel"/>
    <w:tmpl w:val="07E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C7816"/>
    <w:multiLevelType w:val="multilevel"/>
    <w:tmpl w:val="7556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44E86"/>
    <w:multiLevelType w:val="multilevel"/>
    <w:tmpl w:val="4776D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C0242"/>
    <w:multiLevelType w:val="multilevel"/>
    <w:tmpl w:val="A21E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816C5"/>
    <w:multiLevelType w:val="multilevel"/>
    <w:tmpl w:val="579A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630A2"/>
    <w:multiLevelType w:val="multilevel"/>
    <w:tmpl w:val="012C6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4D450A"/>
    <w:multiLevelType w:val="multilevel"/>
    <w:tmpl w:val="A442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322A7"/>
    <w:multiLevelType w:val="multilevel"/>
    <w:tmpl w:val="31D6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8"/>
  </w:num>
  <w:num w:numId="4">
    <w:abstractNumId w:val="6"/>
  </w:num>
  <w:num w:numId="5">
    <w:abstractNumId w:val="7"/>
  </w:num>
  <w:num w:numId="6">
    <w:abstractNumId w:val="1"/>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4C"/>
    <w:rsid w:val="00083B4C"/>
    <w:rsid w:val="00107F55"/>
    <w:rsid w:val="0037181C"/>
    <w:rsid w:val="004915E2"/>
    <w:rsid w:val="004B03FA"/>
    <w:rsid w:val="004C29BF"/>
    <w:rsid w:val="005463E6"/>
    <w:rsid w:val="00557874"/>
    <w:rsid w:val="00634346"/>
    <w:rsid w:val="009A5080"/>
    <w:rsid w:val="00B13563"/>
    <w:rsid w:val="00C93D3F"/>
    <w:rsid w:val="00CC35B5"/>
    <w:rsid w:val="00CE7C80"/>
    <w:rsid w:val="00D40DD3"/>
    <w:rsid w:val="00D927A7"/>
    <w:rsid w:val="00DE2FD4"/>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0688"/>
  <w15:chartTrackingRefBased/>
  <w15:docId w15:val="{86DE4AD2-2E2E-45DE-AAE5-DC3223A7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D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463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7C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63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63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3E6"/>
    <w:rPr>
      <w:b/>
      <w:bCs/>
    </w:rPr>
  </w:style>
  <w:style w:type="character" w:customStyle="1" w:styleId="Heading4Char">
    <w:name w:val="Heading 4 Char"/>
    <w:basedOn w:val="DefaultParagraphFont"/>
    <w:link w:val="Heading4"/>
    <w:uiPriority w:val="9"/>
    <w:semiHidden/>
    <w:rsid w:val="00CE7C8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40D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40D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79112">
      <w:bodyDiv w:val="1"/>
      <w:marLeft w:val="0"/>
      <w:marRight w:val="0"/>
      <w:marTop w:val="0"/>
      <w:marBottom w:val="0"/>
      <w:divBdr>
        <w:top w:val="none" w:sz="0" w:space="0" w:color="auto"/>
        <w:left w:val="none" w:sz="0" w:space="0" w:color="auto"/>
        <w:bottom w:val="none" w:sz="0" w:space="0" w:color="auto"/>
        <w:right w:val="none" w:sz="0" w:space="0" w:color="auto"/>
      </w:divBdr>
    </w:div>
    <w:div w:id="839198567">
      <w:bodyDiv w:val="1"/>
      <w:marLeft w:val="0"/>
      <w:marRight w:val="0"/>
      <w:marTop w:val="0"/>
      <w:marBottom w:val="0"/>
      <w:divBdr>
        <w:top w:val="none" w:sz="0" w:space="0" w:color="auto"/>
        <w:left w:val="none" w:sz="0" w:space="0" w:color="auto"/>
        <w:bottom w:val="none" w:sz="0" w:space="0" w:color="auto"/>
        <w:right w:val="none" w:sz="0" w:space="0" w:color="auto"/>
      </w:divBdr>
    </w:div>
    <w:div w:id="1022829111">
      <w:bodyDiv w:val="1"/>
      <w:marLeft w:val="0"/>
      <w:marRight w:val="0"/>
      <w:marTop w:val="0"/>
      <w:marBottom w:val="0"/>
      <w:divBdr>
        <w:top w:val="none" w:sz="0" w:space="0" w:color="auto"/>
        <w:left w:val="none" w:sz="0" w:space="0" w:color="auto"/>
        <w:bottom w:val="none" w:sz="0" w:space="0" w:color="auto"/>
        <w:right w:val="none" w:sz="0" w:space="0" w:color="auto"/>
      </w:divBdr>
    </w:div>
    <w:div w:id="1162427146">
      <w:bodyDiv w:val="1"/>
      <w:marLeft w:val="0"/>
      <w:marRight w:val="0"/>
      <w:marTop w:val="0"/>
      <w:marBottom w:val="0"/>
      <w:divBdr>
        <w:top w:val="none" w:sz="0" w:space="0" w:color="auto"/>
        <w:left w:val="none" w:sz="0" w:space="0" w:color="auto"/>
        <w:bottom w:val="none" w:sz="0" w:space="0" w:color="auto"/>
        <w:right w:val="none" w:sz="0" w:space="0" w:color="auto"/>
      </w:divBdr>
    </w:div>
    <w:div w:id="1414472139">
      <w:bodyDiv w:val="1"/>
      <w:marLeft w:val="0"/>
      <w:marRight w:val="0"/>
      <w:marTop w:val="0"/>
      <w:marBottom w:val="0"/>
      <w:divBdr>
        <w:top w:val="none" w:sz="0" w:space="0" w:color="auto"/>
        <w:left w:val="none" w:sz="0" w:space="0" w:color="auto"/>
        <w:bottom w:val="none" w:sz="0" w:space="0" w:color="auto"/>
        <w:right w:val="none" w:sz="0" w:space="0" w:color="auto"/>
      </w:divBdr>
    </w:div>
    <w:div w:id="1529492244">
      <w:bodyDiv w:val="1"/>
      <w:marLeft w:val="0"/>
      <w:marRight w:val="0"/>
      <w:marTop w:val="0"/>
      <w:marBottom w:val="0"/>
      <w:divBdr>
        <w:top w:val="none" w:sz="0" w:space="0" w:color="auto"/>
        <w:left w:val="none" w:sz="0" w:space="0" w:color="auto"/>
        <w:bottom w:val="none" w:sz="0" w:space="0" w:color="auto"/>
        <w:right w:val="none" w:sz="0" w:space="0" w:color="auto"/>
      </w:divBdr>
    </w:div>
    <w:div w:id="1721589229">
      <w:bodyDiv w:val="1"/>
      <w:marLeft w:val="0"/>
      <w:marRight w:val="0"/>
      <w:marTop w:val="0"/>
      <w:marBottom w:val="0"/>
      <w:divBdr>
        <w:top w:val="none" w:sz="0" w:space="0" w:color="auto"/>
        <w:left w:val="none" w:sz="0" w:space="0" w:color="auto"/>
        <w:bottom w:val="none" w:sz="0" w:space="0" w:color="auto"/>
        <w:right w:val="none" w:sz="0" w:space="0" w:color="auto"/>
      </w:divBdr>
    </w:div>
    <w:div w:id="2040159643">
      <w:bodyDiv w:val="1"/>
      <w:marLeft w:val="0"/>
      <w:marRight w:val="0"/>
      <w:marTop w:val="0"/>
      <w:marBottom w:val="0"/>
      <w:divBdr>
        <w:top w:val="none" w:sz="0" w:space="0" w:color="auto"/>
        <w:left w:val="none" w:sz="0" w:space="0" w:color="auto"/>
        <w:bottom w:val="none" w:sz="0" w:space="0" w:color="auto"/>
        <w:right w:val="none" w:sz="0" w:space="0" w:color="auto"/>
      </w:divBdr>
    </w:div>
    <w:div w:id="2075857934">
      <w:bodyDiv w:val="1"/>
      <w:marLeft w:val="0"/>
      <w:marRight w:val="0"/>
      <w:marTop w:val="0"/>
      <w:marBottom w:val="0"/>
      <w:divBdr>
        <w:top w:val="none" w:sz="0" w:space="0" w:color="auto"/>
        <w:left w:val="none" w:sz="0" w:space="0" w:color="auto"/>
        <w:bottom w:val="none" w:sz="0" w:space="0" w:color="auto"/>
        <w:right w:val="none" w:sz="0" w:space="0" w:color="auto"/>
      </w:divBdr>
    </w:div>
    <w:div w:id="208394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9</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cp:revision>
  <dcterms:created xsi:type="dcterms:W3CDTF">2024-09-10T18:37:00Z</dcterms:created>
  <dcterms:modified xsi:type="dcterms:W3CDTF">2024-09-10T21:22:00Z</dcterms:modified>
</cp:coreProperties>
</file>