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8F61" w14:textId="77777777" w:rsidR="00DC0003" w:rsidRDefault="00000000">
      <w:pPr>
        <w:pBdr>
          <w:top w:val="nil"/>
          <w:left w:val="nil"/>
          <w:bottom w:val="nil"/>
          <w:right w:val="nil"/>
          <w:between w:val="nil"/>
        </w:pBdr>
        <w:rPr>
          <w:color w:val="000000"/>
          <w:sz w:val="48"/>
          <w:szCs w:val="48"/>
        </w:rPr>
      </w:pPr>
      <w:r>
        <w:rPr>
          <w:color w:val="000000"/>
          <w:sz w:val="48"/>
          <w:szCs w:val="48"/>
        </w:rPr>
        <w:t xml:space="preserve">Deploying Distilled AI Models for Email Phishing Detection </w:t>
      </w:r>
    </w:p>
    <w:p w14:paraId="599C56D3" w14:textId="77777777" w:rsidR="00DC0003" w:rsidRDefault="00000000">
      <w:pPr>
        <w:pBdr>
          <w:top w:val="nil"/>
          <w:left w:val="nil"/>
          <w:bottom w:val="nil"/>
          <w:right w:val="nil"/>
          <w:between w:val="nil"/>
        </w:pBdr>
        <w:spacing w:before="240"/>
        <w:rPr>
          <w:color w:val="000000"/>
        </w:rPr>
      </w:pPr>
      <w:r>
        <w:rPr>
          <w:color w:val="000000"/>
          <w:vertAlign w:val="superscript"/>
        </w:rPr>
        <w:t>1</w:t>
      </w:r>
      <w:r>
        <w:rPr>
          <w:color w:val="000000"/>
        </w:rPr>
        <w:t xml:space="preserve">Nasrat Jahan, </w:t>
      </w:r>
      <w:r>
        <w:rPr>
          <w:color w:val="000000"/>
          <w:vertAlign w:val="superscript"/>
        </w:rPr>
        <w:t>2</w:t>
      </w:r>
      <w:r>
        <w:rPr>
          <w:color w:val="000000"/>
        </w:rPr>
        <w:t xml:space="preserve">Md. Rasheduzzaman Imran, </w:t>
      </w:r>
      <w:r>
        <w:rPr>
          <w:color w:val="000000"/>
          <w:vertAlign w:val="superscript"/>
        </w:rPr>
        <w:t>3</w:t>
      </w:r>
      <w:r>
        <w:rPr>
          <w:color w:val="000000"/>
        </w:rPr>
        <w:t>Md. Murad Jahan, *</w:t>
      </w:r>
      <w:r>
        <w:rPr>
          <w:color w:val="000000"/>
          <w:vertAlign w:val="superscript"/>
        </w:rPr>
        <w:t>4</w:t>
      </w:r>
      <w:r>
        <w:rPr>
          <w:color w:val="000000"/>
        </w:rPr>
        <w:t xml:space="preserve"> T. M. Shahriar Sazzad</w:t>
      </w:r>
    </w:p>
    <w:p w14:paraId="5DBBCDA5" w14:textId="77777777" w:rsidR="00DC0003" w:rsidRDefault="00000000">
      <w:pPr>
        <w:rPr>
          <w:sz w:val="18"/>
          <w:szCs w:val="18"/>
        </w:rPr>
      </w:pPr>
      <w:r>
        <w:rPr>
          <w:i/>
          <w:iCs/>
          <w:color w:val="000000"/>
          <w:sz w:val="18"/>
          <w:szCs w:val="18"/>
          <w:vertAlign w:val="superscript"/>
        </w:rPr>
        <w:t>1-</w:t>
      </w:r>
      <w:r>
        <w:rPr>
          <w:color w:val="000000"/>
          <w:sz w:val="18"/>
          <w:szCs w:val="18"/>
          <w:vertAlign w:val="superscript"/>
        </w:rPr>
        <w:t>3</w:t>
      </w:r>
      <w:r>
        <w:rPr>
          <w:color w:val="000000"/>
        </w:rPr>
        <w:t>Department of Information and Communication Technology, Bangladesh University of Professionals</w:t>
      </w:r>
    </w:p>
    <w:p w14:paraId="08CD097D" w14:textId="77777777" w:rsidR="00DC0003" w:rsidRDefault="00000000">
      <w:pPr>
        <w:rPr>
          <w:i/>
          <w:iCs/>
          <w:color w:val="000000"/>
        </w:rPr>
      </w:pPr>
      <w:r>
        <w:rPr>
          <w:color w:val="000000"/>
          <w:sz w:val="18"/>
          <w:szCs w:val="18"/>
          <w:vertAlign w:val="superscript"/>
        </w:rPr>
        <w:t>4</w:t>
      </w:r>
      <w:r>
        <w:rPr>
          <w:color w:val="000000"/>
        </w:rPr>
        <w:t>Department of Computer Science and Engineering, Military Institute of Science and Technology</w:t>
      </w:r>
    </w:p>
    <w:p w14:paraId="3CF1AC05" w14:textId="77777777" w:rsidR="00DC0003" w:rsidRDefault="00000000">
      <w:r>
        <w:rPr>
          <w:color w:val="000000"/>
        </w:rPr>
        <w:t xml:space="preserve">E-mail: </w:t>
      </w:r>
      <w:r>
        <w:rPr>
          <w:color w:val="000000"/>
          <w:vertAlign w:val="superscript"/>
        </w:rPr>
        <w:t>1</w:t>
      </w:r>
      <w:r>
        <w:rPr>
          <w:color w:val="000000"/>
        </w:rPr>
        <w:t xml:space="preserve">nasratj35@gmail.com, </w:t>
      </w:r>
      <w:r>
        <w:rPr>
          <w:color w:val="000000"/>
          <w:vertAlign w:val="superscript"/>
        </w:rPr>
        <w:t>2</w:t>
      </w:r>
      <w:r>
        <w:rPr>
          <w:color w:val="000000"/>
        </w:rPr>
        <w:t>rasheduzzamanimran@gmail.com,</w:t>
      </w:r>
      <w:r>
        <w:rPr>
          <w:color w:val="000000"/>
          <w:vertAlign w:val="superscript"/>
        </w:rPr>
        <w:t xml:space="preserve"> 3</w:t>
      </w:r>
      <w:r>
        <w:rPr>
          <w:color w:val="000000"/>
        </w:rPr>
        <w:t xml:space="preserve">muradjohn555@gmail.com, </w:t>
      </w:r>
      <w:r>
        <w:rPr>
          <w:color w:val="000000"/>
          <w:sz w:val="18"/>
          <w:szCs w:val="18"/>
          <w:vertAlign w:val="superscript"/>
        </w:rPr>
        <w:t>4</w:t>
      </w:r>
      <w:r>
        <w:rPr>
          <w:color w:val="000000"/>
          <w:sz w:val="18"/>
          <w:szCs w:val="18"/>
        </w:rPr>
        <w:t>*</w:t>
      </w:r>
      <w:r>
        <w:rPr>
          <w:color w:val="000000"/>
        </w:rPr>
        <w:t xml:space="preserve">shahriar@cse.mist.ac.bd </w:t>
      </w:r>
      <w:r>
        <w:rPr>
          <w:color w:val="000000"/>
          <w:sz w:val="16"/>
          <w:szCs w:val="16"/>
        </w:rPr>
        <w:t xml:space="preserve"> </w:t>
      </w:r>
      <w:r>
        <w:t xml:space="preserve"> </w:t>
      </w:r>
    </w:p>
    <w:p w14:paraId="1E610AB8" w14:textId="77777777" w:rsidR="00DC0003" w:rsidRDefault="00DC0003">
      <w:pPr>
        <w:sectPr w:rsidR="00DC0003">
          <w:headerReference w:type="default" r:id="rId7"/>
          <w:footerReference w:type="default" r:id="rId8"/>
          <w:headerReference w:type="first" r:id="rId9"/>
          <w:footerReference w:type="first" r:id="rId10"/>
          <w:pgSz w:w="11906" w:h="16838"/>
          <w:pgMar w:top="540" w:right="893" w:bottom="1440" w:left="893" w:header="720" w:footer="720" w:gutter="0"/>
          <w:pgNumType w:start="1"/>
          <w:cols w:space="720"/>
          <w:titlePg/>
        </w:sectPr>
      </w:pPr>
    </w:p>
    <w:p w14:paraId="0BE4F297" w14:textId="77777777" w:rsidR="00DC0003" w:rsidRDefault="00000000">
      <w:pPr>
        <w:pBdr>
          <w:top w:val="nil"/>
          <w:left w:val="nil"/>
          <w:bottom w:val="nil"/>
          <w:right w:val="nil"/>
          <w:between w:val="nil"/>
        </w:pBdr>
        <w:spacing w:after="200"/>
        <w:ind w:firstLine="272"/>
        <w:jc w:val="both"/>
        <w:rPr>
          <w:b/>
          <w:bCs/>
          <w:color w:val="000000"/>
          <w:sz w:val="18"/>
          <w:szCs w:val="18"/>
        </w:rPr>
      </w:pPr>
      <w:r>
        <w:rPr>
          <w:b/>
          <w:bCs/>
          <w:i/>
          <w:iCs/>
          <w:color w:val="000000"/>
          <w:sz w:val="18"/>
          <w:szCs w:val="18"/>
        </w:rPr>
        <w:t>Abstract</w:t>
      </w:r>
      <w:r>
        <w:rPr>
          <w:b/>
          <w:bCs/>
          <w:color w:val="000000"/>
          <w:sz w:val="18"/>
          <w:szCs w:val="18"/>
        </w:rPr>
        <w:t>—This paper presents a comprehensive framework for deploying knowledge-distilled AI models in enterprise email phishing detection systems. We propose an optimized knowledge distillation approach that transfers sophisticated detection capabilities from large BERT models to compact TinyBERT architectures, enabling high-accuracy real-time phishing detection while maintaining computational efficiency. Our system integrates advanced transformer-based natural language processing with traditional cybersecurity feature engineering and is deployed as a scalable containerized microservice using FastAPI and Docker. Experimental validation demonstrates that our approach achieves 95.7% detection accuracy while reducing model size by 85% and inference latency by 60% compared to conventional BERT models. The proposed methodology effectively addresses the critical challenge of balancing detection accuracy with computational efficiency in production environments, making it suitable for large-scale enterprise deployment. Index Terms Phishing Detection, Knowledge Distillation, BERT, Model Deployment, Cybersecurity, Natural Language Processing, Model Compression.</w:t>
      </w:r>
    </w:p>
    <w:p w14:paraId="693B31BE" w14:textId="77777777" w:rsidR="00DC0003" w:rsidRDefault="00DC0003">
      <w:pPr>
        <w:jc w:val="both"/>
        <w:rPr>
          <w:b/>
          <w:bCs/>
          <w:i/>
          <w:iCs/>
          <w:color w:val="000000"/>
          <w:sz w:val="18"/>
          <w:szCs w:val="18"/>
        </w:rPr>
      </w:pPr>
    </w:p>
    <w:p w14:paraId="1EF02A48" w14:textId="77777777" w:rsidR="00DC0003" w:rsidRDefault="00000000">
      <w:pPr>
        <w:pBdr>
          <w:top w:val="nil"/>
          <w:left w:val="nil"/>
          <w:bottom w:val="nil"/>
          <w:right w:val="nil"/>
          <w:between w:val="nil"/>
        </w:pBdr>
        <w:spacing w:after="120"/>
        <w:ind w:firstLine="274"/>
        <w:jc w:val="both"/>
        <w:rPr>
          <w:b/>
          <w:bCs/>
          <w:i/>
          <w:iCs/>
          <w:color w:val="000000"/>
          <w:sz w:val="18"/>
          <w:szCs w:val="18"/>
        </w:rPr>
      </w:pPr>
      <w:r>
        <w:rPr>
          <w:b/>
          <w:bCs/>
          <w:i/>
          <w:iCs/>
          <w:color w:val="000000"/>
          <w:sz w:val="18"/>
          <w:szCs w:val="18"/>
        </w:rPr>
        <w:t>Keywords—Phishing Detection, Knowledge Distillation, BERT, Model Deployment, Cybersecurity, NLP, Model Compression</w:t>
      </w:r>
    </w:p>
    <w:p w14:paraId="7E92C0FA" w14:textId="77777777" w:rsidR="00DC0003" w:rsidRDefault="00000000">
      <w:pPr>
        <w:pStyle w:val="Heading1"/>
        <w:numPr>
          <w:ilvl w:val="0"/>
          <w:numId w:val="2"/>
        </w:numPr>
        <w:spacing w:line="259" w:lineRule="auto"/>
      </w:pPr>
      <w:r>
        <w:rPr>
          <w:color w:val="000000"/>
        </w:rPr>
        <w:t>Introduction</w:t>
      </w:r>
    </w:p>
    <w:p w14:paraId="5F023932" w14:textId="77777777" w:rsidR="00DC0003" w:rsidRDefault="00000000">
      <w:pPr>
        <w:jc w:val="both"/>
      </w:pPr>
      <w:r>
        <w:t xml:space="preserve">    Email phishing remains one of the most significant and evolving cybersecurity threats in the digital landscape, with attackers continuously developing sophisticated social engineering tactics to bypass traditional detection mechanisms. The financial and operational impacts of successful phishing attacks have escalated dramatically, costing organizations billions annually in data breaches, system compromises, and reputational damage. While large pre-trained language models like BERT (Bidirectional Encoder Representations from Transformers) demonstrate superior accuracy in identifying sophisticated phishing content through deep contextual understanding, their substantial computational requirements, memory footprint, and inference latency make them impractical for real-time email filtering systems in resource-constrained production environments [1].</w:t>
      </w:r>
    </w:p>
    <w:p w14:paraId="73590F19" w14:textId="77777777" w:rsidR="00DC0003" w:rsidRDefault="00000000">
      <w:pPr>
        <w:jc w:val="both"/>
      </w:pPr>
      <w:r>
        <w:t xml:space="preserve">Knowledge distillation emerges as a particularly promising solution by enabling effective transfer of detection capabilities from computationally intensive teacher models to compact, efficient student models [2]. This innovative approach maintains high classification accuracy while significantly reducing computational demands, memory requirements, and energy consumption. Our research focuses on developing, optimizing, and deploying distilled AI models specifically engineered for email phishing detection in real-world production environments, with particular emphasis on </w:t>
      </w:r>
      <w:r>
        <w:t>meeting the stringent requirements of real-time processing constraints, scalability demands, and enterprise security standards.</w:t>
      </w:r>
    </w:p>
    <w:p w14:paraId="3AA52D6A" w14:textId="77777777" w:rsidR="00DC0003" w:rsidRDefault="00DC0003">
      <w:pPr>
        <w:jc w:val="both"/>
      </w:pPr>
    </w:p>
    <w:p w14:paraId="6DCC14BF" w14:textId="77777777" w:rsidR="00DC0003" w:rsidRDefault="00000000">
      <w:pPr>
        <w:jc w:val="both"/>
      </w:pPr>
      <w:r>
        <w:t>The primary contributions of this work include: (1) A comprehensive framework for knowledge distillation specifically tailored for phishing detection contexts, (2) Seamless integration of transformer-based natural language processing with traditional cybersecurity feature engineering, (3) A robust containerized deployment architecture designed for scalable enterprise deployment, and (4) Extensive empirical evaluation demonstrating significant efficiency gains without compromising detection accuracy, validated through comprehensive experimentation and comparative analysis with state-of-the-art approaches.</w:t>
      </w:r>
    </w:p>
    <w:p w14:paraId="4944CA0A" w14:textId="77777777" w:rsidR="00DC0003" w:rsidRDefault="00DC0003">
      <w:pPr>
        <w:jc w:val="both"/>
      </w:pPr>
    </w:p>
    <w:p w14:paraId="6F07B5C6" w14:textId="77777777" w:rsidR="00DC0003" w:rsidRDefault="00000000">
      <w:pPr>
        <w:jc w:val="both"/>
      </w:pPr>
      <w:r>
        <w:t>The rest of this article is structured as follows. Section II reviews existing literature on phishing detection, knowledge distillation, and deployment architectures. Section III details our proposed methodology, including system architecture and implementation. Section IV presents experimental results and discussion. Finally, Section V concludes the paper with future research directions.</w:t>
      </w:r>
    </w:p>
    <w:p w14:paraId="15D56C76" w14:textId="77777777" w:rsidR="00DC0003" w:rsidRDefault="00DC0003">
      <w:pPr>
        <w:jc w:val="both"/>
        <w:rPr>
          <w:color w:val="000000"/>
        </w:rPr>
      </w:pPr>
    </w:p>
    <w:p w14:paraId="37AEA457" w14:textId="77777777" w:rsidR="00DC0003" w:rsidRDefault="00000000">
      <w:pPr>
        <w:pStyle w:val="Heading1"/>
        <w:numPr>
          <w:ilvl w:val="0"/>
          <w:numId w:val="2"/>
        </w:numPr>
      </w:pPr>
      <w:r>
        <w:rPr>
          <w:color w:val="000000"/>
        </w:rPr>
        <w:t>Literature Review</w:t>
      </w:r>
    </w:p>
    <w:p w14:paraId="41E35D4B" w14:textId="77777777" w:rsidR="00DC0003" w:rsidRDefault="00000000">
      <w:pPr>
        <w:keepNext/>
        <w:keepLines/>
        <w:numPr>
          <w:ilvl w:val="0"/>
          <w:numId w:val="5"/>
        </w:numPr>
        <w:pBdr>
          <w:top w:val="nil"/>
          <w:left w:val="nil"/>
          <w:bottom w:val="nil"/>
          <w:right w:val="nil"/>
          <w:between w:val="nil"/>
        </w:pBdr>
        <w:tabs>
          <w:tab w:val="left" w:pos="216"/>
        </w:tabs>
        <w:spacing w:after="160" w:line="259" w:lineRule="auto"/>
        <w:jc w:val="both"/>
        <w:rPr>
          <w:i/>
          <w:iCs/>
          <w:color w:val="000000"/>
        </w:rPr>
      </w:pPr>
      <w:r>
        <w:rPr>
          <w:i/>
          <w:iCs/>
          <w:color w:val="000000"/>
        </w:rPr>
        <w:t>Traditional Phishing Detection Approaches</w:t>
      </w:r>
    </w:p>
    <w:p w14:paraId="4A7EEF38" w14:textId="77777777" w:rsidR="00DC0003" w:rsidRDefault="00000000">
      <w:pPr>
        <w:jc w:val="both"/>
      </w:pPr>
      <w:r>
        <w:rPr>
          <w:color w:val="000000"/>
        </w:rPr>
        <w:t xml:space="preserve">   Early phishing detection systems primarily employed three methodological categories that formed the foundation of email security protocols. List-based methods maintained extensive databases of known malicious URLs, IP addresses, and sender identities with sophisticated reputation scoring mechanisms [3]. These systems relied on continuously updated blacklists and whitelists, though they struggled with zero-day attacks and required constant maintenance. Heuristic-based approaches utilized complex rule engines and pattern matching algorithms to identify suspicious linguistic patterns, structural characteristics, and behavioral anomalies in email content [4]. Traditional machine learning approaches employed algorithms like Support Vector Machines (SVM), Random Forests, and Na¨ıve Bayes classifiers with carefully hand-crafted feature engineering, focusing on lexical features, header analysis, and URL characteristics [5].</w:t>
      </w:r>
    </w:p>
    <w:p w14:paraId="02AC238B" w14:textId="77777777" w:rsidR="00DC0003" w:rsidRDefault="00DC0003">
      <w:pPr>
        <w:jc w:val="both"/>
        <w:rPr>
          <w:color w:val="000000"/>
        </w:rPr>
      </w:pPr>
    </w:p>
    <w:p w14:paraId="20DC4A10" w14:textId="77777777" w:rsidR="00DC0003" w:rsidRDefault="00000000">
      <w:pPr>
        <w:numPr>
          <w:ilvl w:val="0"/>
          <w:numId w:val="5"/>
        </w:numPr>
        <w:pBdr>
          <w:top w:val="nil"/>
          <w:left w:val="nil"/>
          <w:bottom w:val="nil"/>
          <w:right w:val="nil"/>
          <w:between w:val="nil"/>
        </w:pBdr>
        <w:spacing w:after="160" w:line="259" w:lineRule="auto"/>
        <w:jc w:val="both"/>
        <w:rPr>
          <w:i/>
          <w:iCs/>
          <w:color w:val="000000"/>
        </w:rPr>
      </w:pPr>
      <w:r>
        <w:rPr>
          <w:i/>
          <w:iCs/>
          <w:color w:val="000000"/>
        </w:rPr>
        <w:t>Deep Learning in Phishing Detection</w:t>
      </w:r>
    </w:p>
    <w:p w14:paraId="3E1214FE" w14:textId="77777777" w:rsidR="00DC0003" w:rsidRDefault="00000000">
      <w:pPr>
        <w:jc w:val="both"/>
        <w:rPr>
          <w:i/>
          <w:iCs/>
        </w:rPr>
      </w:pPr>
      <w:r>
        <w:rPr>
          <w:color w:val="000000"/>
        </w:rPr>
        <w:t xml:space="preserve">   Recent advances in neural architectures have significantly improved phishing detection capabilities through automated feature learning and pattern recognition. Convolutional Neural Networks (CNNs) have been applied for spatial </w:t>
      </w:r>
      <w:r>
        <w:rPr>
          <w:color w:val="000000"/>
        </w:rPr>
        <w:lastRenderedPageBreak/>
        <w:t>pattern recognition in email content and structural analysis, effectively identifying visual and textual patterns indicative of phishing attempts [6]. Recurrent Neural Networks (RNNs) and Long Short-Term Memory (LSTM) networks have demonstrated strong performance in sequential pattern analysis of email text and temporal characteristics, capturing contextual dependencies across message content [7]. Transformer models, particularly BERT and its variants, have revolutionized the field through deep contextual understanding of email semantics and syntactic patterns, enabling sophisticated analysis of social engineering tactics [1]. Hybrid approaches combining multiple neural network architectures with ensemble methods have shown promising results in comprehensive threat detection, though often at the cost of increased computational complexity [8].</w:t>
      </w:r>
    </w:p>
    <w:p w14:paraId="56BC2233" w14:textId="77777777" w:rsidR="00DC0003" w:rsidRDefault="00DC0003">
      <w:pPr>
        <w:jc w:val="both"/>
      </w:pPr>
    </w:p>
    <w:p w14:paraId="0A78D4C6" w14:textId="77777777" w:rsidR="00DC0003" w:rsidRDefault="00000000">
      <w:pPr>
        <w:jc w:val="both"/>
        <w:rPr>
          <w:i/>
          <w:iCs/>
        </w:rPr>
      </w:pPr>
      <w:r>
        <w:t xml:space="preserve">  C. </w:t>
      </w:r>
      <w:r>
        <w:rPr>
          <w:i/>
          <w:iCs/>
        </w:rPr>
        <w:t>Model Optimization and Knowledge Distillation</w:t>
      </w:r>
    </w:p>
    <w:p w14:paraId="58876607" w14:textId="77777777" w:rsidR="00DC0003" w:rsidRDefault="00000000">
      <w:pPr>
        <w:jc w:val="both"/>
      </w:pPr>
      <w:r>
        <w:t xml:space="preserve">   Knowledge distillation has emerged as a powerful technique for model compression while preserving performance through carefully designed teacher-student learning paradigms. Neural architecture search methods have been developed to automatically design efficient network topologies optimized for specific tasks and hardware constraints. Quantization and pruning techniques have been extensively studied to reduce model precision and eliminate redundant parameters, achieving substantial reductions in model size and inference latency. Hardware-aware optimization using frameworks like ONNX Runtime and TensorRT has enabled accelerated inference on various deployment platforms, though integration with phishing detection systems remains challenging.</w:t>
      </w:r>
    </w:p>
    <w:p w14:paraId="5D61F9ED" w14:textId="77777777" w:rsidR="00DC0003" w:rsidRDefault="00DC0003">
      <w:pPr>
        <w:jc w:val="both"/>
      </w:pPr>
    </w:p>
    <w:p w14:paraId="12BDDBB5" w14:textId="77777777" w:rsidR="00DC0003" w:rsidRDefault="00000000">
      <w:pPr>
        <w:rPr>
          <w:b/>
          <w:bCs/>
          <w:i/>
          <w:iCs/>
          <w:color w:val="2E75B5"/>
        </w:rPr>
      </w:pPr>
      <w:r>
        <w:t xml:space="preserve">D. </w:t>
      </w:r>
      <w:r>
        <w:rPr>
          <w:i/>
          <w:iCs/>
        </w:rPr>
        <w:t>Deployment Architectures for Security Systems</w:t>
      </w:r>
    </w:p>
    <w:p w14:paraId="18A263BB" w14:textId="77777777" w:rsidR="00DC0003" w:rsidRDefault="00000000">
      <w:pPr>
        <w:jc w:val="both"/>
      </w:pPr>
      <w:r>
        <w:t xml:space="preserve">    Microservice architectures have gained prominence for their flexibility, scalability, and maintainability in security applications [11]. Containerization technologies, particularly Docker and Kubernetes, have become standard for deploying and managing machine learning models in production environments [12]. API-first designs using frameworks like FastAPI and Flask have enabled seamless integration with existing email infrastructure and security systems [13].</w:t>
      </w:r>
    </w:p>
    <w:p w14:paraId="28D8C085" w14:textId="77777777" w:rsidR="00DC0003" w:rsidRDefault="00DC0003"/>
    <w:p w14:paraId="1E5E8204" w14:textId="77777777" w:rsidR="00DC0003" w:rsidRDefault="00000000">
      <w:r>
        <w:t>III. METHODOLOGY</w:t>
      </w:r>
    </w:p>
    <w:p w14:paraId="2AAE82CF" w14:textId="77777777" w:rsidR="00DC0003" w:rsidRDefault="00DC0003"/>
    <w:p w14:paraId="03DD1140" w14:textId="77777777" w:rsidR="00DC0003" w:rsidRDefault="00000000">
      <w:pPr>
        <w:numPr>
          <w:ilvl w:val="0"/>
          <w:numId w:val="6"/>
        </w:numPr>
        <w:pBdr>
          <w:top w:val="nil"/>
          <w:left w:val="nil"/>
          <w:bottom w:val="nil"/>
          <w:right w:val="nil"/>
          <w:between w:val="nil"/>
        </w:pBdr>
        <w:spacing w:after="160" w:line="259" w:lineRule="auto"/>
        <w:rPr>
          <w:i/>
          <w:iCs/>
          <w:color w:val="000000"/>
        </w:rPr>
      </w:pPr>
      <w:r>
        <w:rPr>
          <w:i/>
          <w:iCs/>
          <w:color w:val="000000"/>
        </w:rPr>
        <w:t>System Architecture</w:t>
      </w:r>
    </w:p>
    <w:p w14:paraId="52EB73C1" w14:textId="77777777" w:rsidR="00DC0003" w:rsidRDefault="00000000">
      <w:pPr>
        <w:jc w:val="both"/>
        <w:rPr>
          <w:i/>
          <w:iCs/>
        </w:rPr>
      </w:pPr>
      <w:r>
        <w:t xml:space="preserve">        Our proposed phishing detection system consists of four interconnected components that work in harmony to provide comprehensive protection against email-based threats. The data processing pipeline handles comprehensive email parsing, text extraction, and multi-modal feature engineering. This sophisticated pipeline includes advanced URL analysis using real-time threat intelligence feeds (e.g., VirusTotal API), domain reputation checks against updated DNS-based blocklists, detailed header verification (SPF, DKIM, DMARC), and sophisticated linguistic feature extraction using modern embedding techniques such as FastText and GloVe[14]. The pipeline normalizes input data through Unicode standardization and encoding detection, handles multilingual content via language identification models, and </w:t>
      </w:r>
      <w:r>
        <w:t>extracts both traditional security features (e.g., URL length, suspicious keywords) and modern NLP representations for downstream model consumption [15].</w:t>
      </w:r>
    </w:p>
    <w:p w14:paraId="2DC49319" w14:textId="77777777" w:rsidR="00DC0003" w:rsidRDefault="00000000">
      <w:pPr>
        <w:jc w:val="both"/>
      </w:pPr>
      <w:r>
        <w:t>The knowledge distillation framework implements progressive model compression from BERT-base teacher to optimized TinyBERT student architecture, preserving detection accuracy while reducing model size by approximately 85% [16]. Our framework incorporates attention-based distillation as described by Jiao et al. (2020) and extends it with layer-adaptive distillation ratios to preserve critical phishing-related semantic information [17]. The hybrid classification engine combines distilled transformer semantic outputs with traditional cybersecurity features through attention-based fusion mechanisms for robust multidimensional threat detection. This engine employs sophisticated ensemble methods including gradient-boosted decision trees (LightGBM) and confidence calibration using temperature scaling to improve detection reliability and reduce false positives [18].</w:t>
      </w:r>
    </w:p>
    <w:p w14:paraId="694BF3B5" w14:textId="77777777" w:rsidR="00DC0003" w:rsidRDefault="00000000">
      <w:pPr>
        <w:jc w:val="both"/>
      </w:pPr>
      <w:r>
        <w:t>Finally, the deployment infrastructure implements containerized microservice architecture using FastAPI, Docker, and ONNX Runtime for optimized inference with auto-scaling capabilities managed through Kubernetes Horizontal Pod Autoscaler [12]. The infrastructure includes comprehensive monitoring via Prometheus and Grafana dashboards, structured logging with ELK stack, and alerting systems integrated with enterprise SIEM solutions to ensure operational reliability and facilitate rapid incident response [11].</w:t>
      </w:r>
    </w:p>
    <w:p w14:paraId="21D1477D" w14:textId="77777777" w:rsidR="00DC0003" w:rsidRDefault="00000000">
      <w:pPr>
        <w:jc w:val="both"/>
      </w:pPr>
      <w:r>
        <w:rPr>
          <w:noProof/>
        </w:rPr>
        <w:drawing>
          <wp:inline distT="0" distB="0" distL="0" distR="0" wp14:anchorId="1DD978BE" wp14:editId="3AF9DE0D">
            <wp:extent cx="2981325" cy="20383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981325" cy="2038350"/>
                    </a:xfrm>
                    <a:prstGeom prst="rect">
                      <a:avLst/>
                    </a:prstGeom>
                    <a:ln/>
                  </pic:spPr>
                </pic:pic>
              </a:graphicData>
            </a:graphic>
          </wp:inline>
        </w:drawing>
      </w:r>
    </w:p>
    <w:p w14:paraId="74B04CFD" w14:textId="77777777" w:rsidR="00DC0003" w:rsidRDefault="00000000">
      <w:pPr>
        <w:jc w:val="both"/>
      </w:pPr>
      <w:r>
        <w:rPr>
          <w:sz w:val="16"/>
          <w:szCs w:val="16"/>
        </w:rPr>
        <w:t>Fig. 1. Overall research methodology of the proposed method</w:t>
      </w:r>
    </w:p>
    <w:p w14:paraId="2A868A29" w14:textId="77777777" w:rsidR="00DC0003" w:rsidRDefault="00DC0003">
      <w:pPr>
        <w:jc w:val="both"/>
        <w:rPr>
          <w:i/>
          <w:iCs/>
        </w:rPr>
      </w:pPr>
    </w:p>
    <w:p w14:paraId="066F114D" w14:textId="77777777" w:rsidR="00DC0003" w:rsidRDefault="00000000">
      <w:r>
        <w:rPr>
          <w:i/>
          <w:iCs/>
        </w:rPr>
        <w:t>B. Implementation Approach</w:t>
      </w:r>
    </w:p>
    <w:p w14:paraId="6DF7789B" w14:textId="77777777" w:rsidR="00DC0003" w:rsidRDefault="00000000">
      <w:pPr>
        <w:jc w:val="both"/>
      </w:pPr>
      <w:r>
        <w:t xml:space="preserve">   The implementation follows a structured four-phase approach designed to ensure robustness, scalability, and maintainability. The data collection and curation phase involves gathering diverse datasets of phishing and legitimate emails from multiple sources including enterprise communications (anonymized), public phishing corpora (CSE-CIC-Phishing-2024, EMBER-2023), and simulated attack scenarios generated using adversarial text generation techniques [19]. This phase implements rigorous data cleaning (HTML stripping, token normalization), augmentation via back-translation and synonym replacement, and balancing procedures using SMOTE and adaptive sampling to ensure model robustness and generalization capability across diverse phishing tactics. </w:t>
      </w:r>
    </w:p>
    <w:p w14:paraId="49DAD702" w14:textId="77777777" w:rsidR="00DC0003" w:rsidRDefault="00DC0003">
      <w:pPr>
        <w:jc w:val="both"/>
      </w:pPr>
    </w:p>
    <w:p w14:paraId="6B773593" w14:textId="77777777" w:rsidR="00DC0003" w:rsidRDefault="00000000">
      <w:pPr>
        <w:jc w:val="both"/>
      </w:pPr>
      <w:r>
        <w:t>The model development and distillation phase includes fine-tuning the BERT teacher model on comprehensive phishing detection tasks using mixed precision training and gradient accumulation. This is followed by systematic distillation to an optimized TinyBERT student using progressive knowledge transfer with intermediate-sized models (e.g., 6-layer, 8-head) as stepping stones [17]. Multiple distillation strategies (response-based, feature-based, relation-based) are implemented, with the optimal approach selected through rigorous ablation studies and performance validation using cross-validation across temporal splits.</w:t>
      </w:r>
    </w:p>
    <w:p w14:paraId="574F3E0A" w14:textId="77777777" w:rsidR="00DC0003" w:rsidRDefault="00DC0003">
      <w:pPr>
        <w:jc w:val="both"/>
      </w:pPr>
    </w:p>
    <w:p w14:paraId="160BE65E" w14:textId="77777777" w:rsidR="00DC0003" w:rsidRDefault="00000000">
      <w:pPr>
        <w:jc w:val="both"/>
      </w:pPr>
      <w:r>
        <w:t>The system integration and API development phase focuses on developing RESTful API endpoints with robust JWT-based authentication, rate limiting via Redis, and comprehensive input validation using Pydantic models [13]. The application is containerized using Docker with multi-stage builds to minimize image size, and comprehensive health monitoring (readiness/liveness probes), metrics collection (OpenMetrics format), and automated scaling capabilities based on queue depth and latency percentiles are implemented [12].</w:t>
      </w:r>
    </w:p>
    <w:p w14:paraId="61916ABB" w14:textId="77777777" w:rsidR="00DC0003" w:rsidRDefault="00DC0003">
      <w:pPr>
        <w:jc w:val="both"/>
      </w:pPr>
    </w:p>
    <w:p w14:paraId="22B865D2" w14:textId="77777777" w:rsidR="00DC0003" w:rsidRDefault="00000000">
      <w:pPr>
        <w:jc w:val="both"/>
      </w:pPr>
      <w:r>
        <w:t>Finally, the performance evaluation and optimization phase involves conducting comprehensive testing including accuracy metrics (precision, recall, F1, AUC-ROC), latency (P50, P95, P99), throughput under concurrent load, resource utilization (CPU, memory, GPU), and security robustness metrics against adversarial examples [20]. Continuous optimization is implemented based on performance monitoring, A/B testing of model versions, and periodic retraining with newly labeled phishing samples.</w:t>
      </w:r>
    </w:p>
    <w:p w14:paraId="1726F39F" w14:textId="77777777" w:rsidR="00DC0003" w:rsidRDefault="00DC0003">
      <w:pPr>
        <w:jc w:val="both"/>
      </w:pPr>
    </w:p>
    <w:p w14:paraId="4C5CD56E" w14:textId="77777777" w:rsidR="00DC0003" w:rsidRDefault="00000000">
      <w:r>
        <w:rPr>
          <w:i/>
          <w:iCs/>
        </w:rPr>
        <w:t>C. Knowledge Distillation Technique</w:t>
      </w:r>
    </w:p>
    <w:p w14:paraId="2074BF6B" w14:textId="77777777" w:rsidR="00DC0003" w:rsidRDefault="00000000">
      <w:pPr>
        <w:jc w:val="both"/>
      </w:pPr>
      <w:r>
        <w:t xml:space="preserve">    Our knowledge distillation approach employs a multi-stage process that ensures optimal knowledge transfer while maintaining detection effectiveness. Attention transfer aligns attention patterns between teacher and student models using mean squared error loss on attention matrices to capture important feature relationships for phishing semantics, with particular focus on attention heads that specialize in detecting urgency markers and social engineering cues [17]. Hidden state matching minimizes cosine distance between intermediate layer representations using a combination of L2 loss and maximum mean discrepancy to preserve internal feature learning of phishing indicators across abstraction levels. Response-based distillation transfers final classification capabilities through softened probability distributions with adaptive temperature scaling (T=2.5) to maintain the relative ordering of phishing vs. legitimate probabilities while smoothing the decision boundary[2]. Progressive distillation implements gradual compression through intermediate teacher models (BERT-base → 8-layer BERT → 6-layer BERT → TinyBERT) for smoother knowledge transfer, with distillation loss weights annealed over training epochs to prioritize different knowledge types at appropriate training stages. Finally, task-specific adaptation incorporates phishing-specific auxiliary tasks during distillation including URL legitimacy prediction, </w:t>
      </w:r>
      <w:r>
        <w:t>sender authenticity scoring, and tone analysis to enhance the student model's domain-specific capabilities beyond simple classification.</w:t>
      </w:r>
    </w:p>
    <w:p w14:paraId="39E03946" w14:textId="77777777" w:rsidR="00DC0003" w:rsidRDefault="00DC0003">
      <w:pPr>
        <w:jc w:val="both"/>
      </w:pPr>
    </w:p>
    <w:p w14:paraId="6A01FE41" w14:textId="77777777" w:rsidR="00DC0003" w:rsidRDefault="00000000">
      <w:r>
        <w:rPr>
          <w:i/>
          <w:iCs/>
        </w:rPr>
        <w:t>D. Security and Privacy Considerations</w:t>
      </w:r>
    </w:p>
    <w:p w14:paraId="6983FCEC" w14:textId="77777777" w:rsidR="00DC0003" w:rsidRDefault="00000000">
      <w:pPr>
        <w:jc w:val="both"/>
      </w:pPr>
      <w:r>
        <w:t xml:space="preserve">    The deployment architecture incorporates several security and privacy safeguards. Input sanitization ensures all incoming email content undergoes strict sanitization to prevent injection attacks against the NLP pipeline, with HTML/script stripping and character encoding normalization. Model security includes implemented model watermarking to detect unauthorized model extraction attempts and gradient masking to protect against model inversion attacks that might attempt to reconstruct training data. Data privacy is maintained through in-memory email content processing without persistent storage of personally identifiable information (PII); for enterprise deployments requiring enhanced privacy, we support federated learning configurations where distillation can occur across organizational boundaries without sharing raw email data. Finally, audit trail implementation provides complete audit logging of all classification decisions with tamper-evident storage to support forensic analysis and regulatory compliance requirements (GDPR, CCPA).</w:t>
      </w:r>
    </w:p>
    <w:p w14:paraId="078AC680" w14:textId="77777777" w:rsidR="00DC0003" w:rsidRDefault="00DC0003">
      <w:pPr>
        <w:jc w:val="both"/>
      </w:pPr>
    </w:p>
    <w:p w14:paraId="71EDCB07" w14:textId="77777777" w:rsidR="00DC0003" w:rsidRDefault="00000000">
      <w:pPr>
        <w:keepNext/>
        <w:rPr>
          <w:sz w:val="16"/>
          <w:szCs w:val="16"/>
        </w:rPr>
      </w:pPr>
      <w:r>
        <w:rPr>
          <w:noProof/>
        </w:rPr>
        <w:drawing>
          <wp:inline distT="0" distB="0" distL="0" distR="0" wp14:anchorId="1EC86813" wp14:editId="094D6218">
            <wp:extent cx="3139440" cy="455609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139440" cy="4556098"/>
                    </a:xfrm>
                    <a:prstGeom prst="rect">
                      <a:avLst/>
                    </a:prstGeom>
                    <a:ln/>
                  </pic:spPr>
                </pic:pic>
              </a:graphicData>
            </a:graphic>
          </wp:inline>
        </w:drawing>
      </w:r>
    </w:p>
    <w:p w14:paraId="4A92C407" w14:textId="77777777" w:rsidR="00DC0003" w:rsidRDefault="00DC0003">
      <w:pPr>
        <w:keepNext/>
        <w:rPr>
          <w:sz w:val="16"/>
          <w:szCs w:val="16"/>
        </w:rPr>
      </w:pPr>
    </w:p>
    <w:p w14:paraId="7B771D60" w14:textId="77777777" w:rsidR="00DC0003" w:rsidRDefault="00000000">
      <w:pPr>
        <w:keepNext/>
        <w:rPr>
          <w:sz w:val="16"/>
          <w:szCs w:val="16"/>
        </w:rPr>
      </w:pPr>
      <w:r>
        <w:rPr>
          <w:sz w:val="16"/>
          <w:szCs w:val="16"/>
        </w:rPr>
        <w:t>Fig. 2. Architecture of proposed stacked classifier</w:t>
      </w:r>
    </w:p>
    <w:p w14:paraId="23AEEE1A" w14:textId="77777777" w:rsidR="00DC0003" w:rsidRDefault="00DC0003">
      <w:pPr>
        <w:jc w:val="both"/>
      </w:pPr>
    </w:p>
    <w:p w14:paraId="08F12999" w14:textId="77777777" w:rsidR="00DC0003" w:rsidRDefault="00DC0003">
      <w:pPr>
        <w:jc w:val="both"/>
      </w:pPr>
    </w:p>
    <w:p w14:paraId="26D5975E" w14:textId="77777777" w:rsidR="00DC0003" w:rsidRDefault="00000000">
      <w:pPr>
        <w:pStyle w:val="Heading1"/>
      </w:pPr>
      <w:r>
        <w:lastRenderedPageBreak/>
        <w:t>IV. Results and Discussions</w:t>
      </w:r>
    </w:p>
    <w:p w14:paraId="6B1CC13F" w14:textId="77777777" w:rsidR="00DC0003" w:rsidRDefault="00000000">
      <w:r>
        <w:rPr>
          <w:i/>
          <w:iCs/>
        </w:rPr>
        <w:t>A. Experimental Setup</w:t>
      </w:r>
    </w:p>
    <w:p w14:paraId="492E6E65" w14:textId="77777777" w:rsidR="00DC0003" w:rsidRDefault="00000000">
      <w:pPr>
        <w:jc w:val="both"/>
      </w:pPr>
      <w:r>
        <w:t xml:space="preserve">  </w:t>
      </w:r>
    </w:p>
    <w:p w14:paraId="154DF0BC" w14:textId="77777777" w:rsidR="00DC0003" w:rsidRDefault="00000000">
      <w:pPr>
        <w:jc w:val="both"/>
      </w:pPr>
      <w:r>
        <w:t xml:space="preserve">     We evaluated our proposed framework using comprehensive experimental protocols designed to assess both detection performance and operational efficiency. The evaluation environment consisted of multiple deployment scenarios including cloud infrastructure (AWS EC2 instances), on-premises servers, and edge computing configurations to simulate diverse enterprise environments. We utilized diverse datasets comprising over 100,000 legitimate and phishing emails with balanced class distribution and temporal variety to ensure realistic evaluation conditions. The datasets were partitioned using temporal splitting (80% training, 10% validation, 10% testing) to prevent data leakage and ensure evaluation robustness against emerging phishing patterns.</w:t>
      </w:r>
    </w:p>
    <w:p w14:paraId="6A19202E" w14:textId="77777777" w:rsidR="00DC0003" w:rsidRDefault="00DC0003">
      <w:pPr>
        <w:jc w:val="both"/>
        <w:rPr>
          <w:i/>
          <w:iCs/>
        </w:rPr>
      </w:pPr>
    </w:p>
    <w:p w14:paraId="60F47447" w14:textId="77777777" w:rsidR="00DC0003" w:rsidRDefault="00000000">
      <w:pPr>
        <w:rPr>
          <w:color w:val="000000"/>
          <w:sz w:val="18"/>
          <w:szCs w:val="18"/>
        </w:rPr>
      </w:pPr>
      <w:r>
        <w:rPr>
          <w:i/>
          <w:iCs/>
        </w:rPr>
        <w:t>B. Performance Comparison with Existing Works</w:t>
      </w:r>
    </w:p>
    <w:p w14:paraId="1D1DB364" w14:textId="77777777" w:rsidR="00DC0003" w:rsidRDefault="00000000">
      <w:pPr>
        <w:numPr>
          <w:ilvl w:val="0"/>
          <w:numId w:val="4"/>
        </w:numPr>
        <w:pBdr>
          <w:top w:val="nil"/>
          <w:left w:val="nil"/>
          <w:bottom w:val="nil"/>
          <w:right w:val="nil"/>
          <w:between w:val="nil"/>
        </w:pBdr>
        <w:spacing w:before="240" w:after="120" w:line="216" w:lineRule="auto"/>
      </w:pPr>
      <w:r>
        <w:rPr>
          <w:smallCaps/>
          <w:color w:val="000000"/>
          <w:sz w:val="16"/>
          <w:szCs w:val="16"/>
        </w:rPr>
        <w:t>PERFORMANCE COMPARISON WITH STATE-OF-THE-ART APPROACHES</w:t>
      </w:r>
    </w:p>
    <w:tbl>
      <w:tblPr>
        <w:tblStyle w:val="a"/>
        <w:tblW w:w="51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4"/>
        <w:gridCol w:w="864"/>
        <w:gridCol w:w="892"/>
        <w:gridCol w:w="866"/>
        <w:gridCol w:w="1263"/>
      </w:tblGrid>
      <w:tr w:rsidR="00DC0003" w14:paraId="08B49F70" w14:textId="77777777">
        <w:trPr>
          <w:trHeight w:val="54"/>
        </w:trPr>
        <w:tc>
          <w:tcPr>
            <w:tcW w:w="1304" w:type="dxa"/>
          </w:tcPr>
          <w:p w14:paraId="1777D6E0" w14:textId="77777777" w:rsidR="00DC0003" w:rsidRDefault="00000000">
            <w:pPr>
              <w:rPr>
                <w:color w:val="000000"/>
                <w:sz w:val="18"/>
                <w:szCs w:val="18"/>
              </w:rPr>
            </w:pPr>
            <w:r>
              <w:rPr>
                <w:color w:val="000000"/>
                <w:sz w:val="18"/>
                <w:szCs w:val="18"/>
              </w:rPr>
              <w:t>Approach</w:t>
            </w:r>
          </w:p>
        </w:tc>
        <w:tc>
          <w:tcPr>
            <w:tcW w:w="864" w:type="dxa"/>
          </w:tcPr>
          <w:p w14:paraId="6B7B1727" w14:textId="77777777" w:rsidR="00DC0003" w:rsidRDefault="00000000">
            <w:pPr>
              <w:rPr>
                <w:color w:val="000000"/>
                <w:sz w:val="18"/>
                <w:szCs w:val="18"/>
              </w:rPr>
            </w:pPr>
            <w:r>
              <w:rPr>
                <w:color w:val="000000"/>
                <w:sz w:val="18"/>
                <w:szCs w:val="18"/>
              </w:rPr>
              <w:t>Accuracy</w:t>
            </w:r>
          </w:p>
        </w:tc>
        <w:tc>
          <w:tcPr>
            <w:tcW w:w="892" w:type="dxa"/>
          </w:tcPr>
          <w:p w14:paraId="6C3433D1" w14:textId="77777777" w:rsidR="00DC0003" w:rsidRDefault="00000000">
            <w:pPr>
              <w:rPr>
                <w:color w:val="000000"/>
                <w:sz w:val="18"/>
                <w:szCs w:val="18"/>
              </w:rPr>
            </w:pPr>
            <w:r>
              <w:rPr>
                <w:color w:val="000000"/>
                <w:sz w:val="18"/>
                <w:szCs w:val="18"/>
              </w:rPr>
              <w:t>Precision</w:t>
            </w:r>
          </w:p>
        </w:tc>
        <w:tc>
          <w:tcPr>
            <w:tcW w:w="866" w:type="dxa"/>
          </w:tcPr>
          <w:p w14:paraId="29B4D47C" w14:textId="77777777" w:rsidR="00DC0003" w:rsidRDefault="00000000">
            <w:pPr>
              <w:rPr>
                <w:color w:val="000000"/>
                <w:sz w:val="18"/>
                <w:szCs w:val="18"/>
              </w:rPr>
            </w:pPr>
            <w:r>
              <w:rPr>
                <w:color w:val="000000"/>
                <w:sz w:val="18"/>
                <w:szCs w:val="18"/>
              </w:rPr>
              <w:t>Recall</w:t>
            </w:r>
          </w:p>
        </w:tc>
        <w:tc>
          <w:tcPr>
            <w:tcW w:w="1263" w:type="dxa"/>
          </w:tcPr>
          <w:p w14:paraId="194860C2" w14:textId="77777777" w:rsidR="00DC0003" w:rsidRDefault="00000000">
            <w:pPr>
              <w:rPr>
                <w:color w:val="000000"/>
                <w:sz w:val="18"/>
                <w:szCs w:val="18"/>
              </w:rPr>
            </w:pPr>
            <w:r>
              <w:rPr>
                <w:color w:val="000000"/>
                <w:sz w:val="18"/>
                <w:szCs w:val="18"/>
              </w:rPr>
              <w:t>F1-Score</w:t>
            </w:r>
          </w:p>
        </w:tc>
      </w:tr>
      <w:tr w:rsidR="00DC0003" w14:paraId="20042FA3" w14:textId="77777777">
        <w:trPr>
          <w:trHeight w:val="289"/>
        </w:trPr>
        <w:tc>
          <w:tcPr>
            <w:tcW w:w="1304" w:type="dxa"/>
          </w:tcPr>
          <w:p w14:paraId="14553E91" w14:textId="77777777" w:rsidR="00DC0003" w:rsidRDefault="00000000">
            <w:pPr>
              <w:rPr>
                <w:color w:val="000000"/>
                <w:sz w:val="16"/>
                <w:szCs w:val="16"/>
              </w:rPr>
            </w:pPr>
            <w:r>
              <w:rPr>
                <w:color w:val="000000"/>
                <w:sz w:val="16"/>
                <w:szCs w:val="16"/>
              </w:rPr>
              <w:t>BERT-Base [1]</w:t>
            </w:r>
          </w:p>
        </w:tc>
        <w:tc>
          <w:tcPr>
            <w:tcW w:w="864" w:type="dxa"/>
          </w:tcPr>
          <w:p w14:paraId="254E00F7" w14:textId="77777777" w:rsidR="00DC0003" w:rsidRDefault="00000000">
            <w:pPr>
              <w:spacing w:before="240" w:after="240"/>
              <w:rPr>
                <w:color w:val="000000"/>
                <w:sz w:val="16"/>
                <w:szCs w:val="16"/>
              </w:rPr>
            </w:pPr>
            <w:r>
              <w:rPr>
                <w:color w:val="000000"/>
                <w:sz w:val="16"/>
                <w:szCs w:val="16"/>
              </w:rPr>
              <w:t xml:space="preserve">96.5%    </w:t>
            </w:r>
          </w:p>
        </w:tc>
        <w:tc>
          <w:tcPr>
            <w:tcW w:w="892" w:type="dxa"/>
          </w:tcPr>
          <w:p w14:paraId="3C87D7BA" w14:textId="77777777" w:rsidR="00DC0003" w:rsidRDefault="00000000">
            <w:pPr>
              <w:rPr>
                <w:color w:val="000000"/>
                <w:sz w:val="16"/>
                <w:szCs w:val="16"/>
              </w:rPr>
            </w:pPr>
            <w:r>
              <w:rPr>
                <w:color w:val="000000"/>
                <w:sz w:val="16"/>
                <w:szCs w:val="16"/>
              </w:rPr>
              <w:t>96.8%</w:t>
            </w:r>
          </w:p>
        </w:tc>
        <w:tc>
          <w:tcPr>
            <w:tcW w:w="866" w:type="dxa"/>
          </w:tcPr>
          <w:p w14:paraId="426BC5CC" w14:textId="77777777" w:rsidR="00DC0003" w:rsidRDefault="00000000">
            <w:pPr>
              <w:rPr>
                <w:color w:val="000000"/>
                <w:sz w:val="16"/>
                <w:szCs w:val="16"/>
              </w:rPr>
            </w:pPr>
            <w:r>
              <w:rPr>
                <w:color w:val="000000"/>
                <w:sz w:val="16"/>
                <w:szCs w:val="16"/>
              </w:rPr>
              <w:t>96.2%</w:t>
            </w:r>
          </w:p>
        </w:tc>
        <w:tc>
          <w:tcPr>
            <w:tcW w:w="1263" w:type="dxa"/>
          </w:tcPr>
          <w:p w14:paraId="3B900B09" w14:textId="77777777" w:rsidR="00DC0003" w:rsidRDefault="00000000">
            <w:pPr>
              <w:rPr>
                <w:color w:val="000000"/>
                <w:sz w:val="16"/>
                <w:szCs w:val="16"/>
              </w:rPr>
            </w:pPr>
            <w:r>
              <w:rPr>
                <w:color w:val="000000"/>
                <w:sz w:val="16"/>
                <w:szCs w:val="16"/>
              </w:rPr>
              <w:t>96.5%</w:t>
            </w:r>
          </w:p>
        </w:tc>
      </w:tr>
      <w:tr w:rsidR="00DC0003" w14:paraId="7F46772B" w14:textId="77777777">
        <w:trPr>
          <w:trHeight w:val="235"/>
        </w:trPr>
        <w:tc>
          <w:tcPr>
            <w:tcW w:w="1304" w:type="dxa"/>
          </w:tcPr>
          <w:p w14:paraId="5BA4521C" w14:textId="77777777" w:rsidR="00DC0003" w:rsidRDefault="00000000">
            <w:pPr>
              <w:rPr>
                <w:color w:val="000000"/>
                <w:sz w:val="16"/>
                <w:szCs w:val="16"/>
              </w:rPr>
            </w:pPr>
            <w:r>
              <w:rPr>
                <w:color w:val="000000"/>
                <w:sz w:val="16"/>
                <w:szCs w:val="16"/>
              </w:rPr>
              <w:t>DistilBERT</w:t>
            </w:r>
          </w:p>
        </w:tc>
        <w:tc>
          <w:tcPr>
            <w:tcW w:w="864" w:type="dxa"/>
          </w:tcPr>
          <w:p w14:paraId="49EEEA77" w14:textId="77777777" w:rsidR="00DC0003" w:rsidRDefault="00000000">
            <w:pPr>
              <w:spacing w:before="240" w:after="240"/>
              <w:rPr>
                <w:color w:val="000000"/>
                <w:sz w:val="16"/>
                <w:szCs w:val="16"/>
              </w:rPr>
            </w:pPr>
            <w:r>
              <w:rPr>
                <w:color w:val="000000"/>
                <w:sz w:val="16"/>
                <w:szCs w:val="16"/>
              </w:rPr>
              <w:t xml:space="preserve">94.8%   </w:t>
            </w:r>
          </w:p>
          <w:p w14:paraId="6DA5BF74" w14:textId="77777777" w:rsidR="00DC0003" w:rsidRDefault="00DC0003">
            <w:pPr>
              <w:rPr>
                <w:color w:val="000000"/>
                <w:sz w:val="16"/>
                <w:szCs w:val="16"/>
              </w:rPr>
            </w:pPr>
          </w:p>
        </w:tc>
        <w:tc>
          <w:tcPr>
            <w:tcW w:w="892" w:type="dxa"/>
          </w:tcPr>
          <w:p w14:paraId="0AAEB862" w14:textId="77777777" w:rsidR="00DC0003" w:rsidRDefault="00000000">
            <w:pPr>
              <w:rPr>
                <w:color w:val="000000"/>
                <w:sz w:val="16"/>
                <w:szCs w:val="16"/>
              </w:rPr>
            </w:pPr>
            <w:r>
              <w:rPr>
                <w:color w:val="000000"/>
                <w:sz w:val="16"/>
                <w:szCs w:val="16"/>
              </w:rPr>
              <w:t>95.1%</w:t>
            </w:r>
          </w:p>
        </w:tc>
        <w:tc>
          <w:tcPr>
            <w:tcW w:w="866" w:type="dxa"/>
          </w:tcPr>
          <w:p w14:paraId="6BE44929" w14:textId="77777777" w:rsidR="00DC0003" w:rsidRDefault="00000000">
            <w:pPr>
              <w:rPr>
                <w:color w:val="000000"/>
                <w:sz w:val="16"/>
                <w:szCs w:val="16"/>
              </w:rPr>
            </w:pPr>
            <w:r>
              <w:rPr>
                <w:color w:val="000000"/>
                <w:sz w:val="16"/>
                <w:szCs w:val="16"/>
              </w:rPr>
              <w:t>94.5%</w:t>
            </w:r>
          </w:p>
        </w:tc>
        <w:tc>
          <w:tcPr>
            <w:tcW w:w="1263" w:type="dxa"/>
          </w:tcPr>
          <w:p w14:paraId="2FD7A7A0" w14:textId="77777777" w:rsidR="00DC0003" w:rsidRDefault="00000000">
            <w:pPr>
              <w:rPr>
                <w:color w:val="000000"/>
                <w:sz w:val="16"/>
                <w:szCs w:val="16"/>
              </w:rPr>
            </w:pPr>
            <w:r>
              <w:rPr>
                <w:color w:val="000000"/>
                <w:sz w:val="16"/>
                <w:szCs w:val="16"/>
              </w:rPr>
              <w:t>94.8%</w:t>
            </w:r>
          </w:p>
        </w:tc>
      </w:tr>
      <w:tr w:rsidR="00DC0003" w14:paraId="28D5167B" w14:textId="77777777">
        <w:trPr>
          <w:trHeight w:val="256"/>
        </w:trPr>
        <w:tc>
          <w:tcPr>
            <w:tcW w:w="1304" w:type="dxa"/>
          </w:tcPr>
          <w:p w14:paraId="4D56A8DA" w14:textId="77777777" w:rsidR="00DC0003" w:rsidRDefault="00000000">
            <w:pPr>
              <w:rPr>
                <w:color w:val="000000"/>
                <w:sz w:val="16"/>
                <w:szCs w:val="16"/>
              </w:rPr>
            </w:pPr>
            <w:r>
              <w:rPr>
                <w:color w:val="000000"/>
                <w:sz w:val="16"/>
                <w:szCs w:val="16"/>
              </w:rPr>
              <w:t>TinyBERT [16]</w:t>
            </w:r>
          </w:p>
        </w:tc>
        <w:tc>
          <w:tcPr>
            <w:tcW w:w="864" w:type="dxa"/>
          </w:tcPr>
          <w:p w14:paraId="10989355" w14:textId="77777777" w:rsidR="00DC0003" w:rsidRDefault="00000000">
            <w:pPr>
              <w:spacing w:before="240" w:after="240"/>
              <w:rPr>
                <w:color w:val="000000"/>
                <w:sz w:val="16"/>
                <w:szCs w:val="16"/>
              </w:rPr>
            </w:pPr>
            <w:r>
              <w:rPr>
                <w:color w:val="000000"/>
                <w:sz w:val="16"/>
                <w:szCs w:val="16"/>
              </w:rPr>
              <w:t xml:space="preserve">93.2%    </w:t>
            </w:r>
          </w:p>
          <w:p w14:paraId="4858D914" w14:textId="77777777" w:rsidR="00DC0003" w:rsidRDefault="00DC0003">
            <w:pPr>
              <w:rPr>
                <w:color w:val="000000"/>
                <w:sz w:val="16"/>
                <w:szCs w:val="16"/>
              </w:rPr>
            </w:pPr>
          </w:p>
        </w:tc>
        <w:tc>
          <w:tcPr>
            <w:tcW w:w="892" w:type="dxa"/>
          </w:tcPr>
          <w:p w14:paraId="138CACC2" w14:textId="77777777" w:rsidR="00DC0003" w:rsidRDefault="00000000">
            <w:pPr>
              <w:rPr>
                <w:color w:val="000000"/>
                <w:sz w:val="16"/>
                <w:szCs w:val="16"/>
              </w:rPr>
            </w:pPr>
            <w:r>
              <w:rPr>
                <w:color w:val="000000"/>
                <w:sz w:val="16"/>
                <w:szCs w:val="16"/>
              </w:rPr>
              <w:t>93.5%</w:t>
            </w:r>
          </w:p>
        </w:tc>
        <w:tc>
          <w:tcPr>
            <w:tcW w:w="866" w:type="dxa"/>
          </w:tcPr>
          <w:p w14:paraId="16CC55D0" w14:textId="77777777" w:rsidR="00DC0003" w:rsidRDefault="00000000">
            <w:pPr>
              <w:rPr>
                <w:color w:val="000000"/>
                <w:sz w:val="16"/>
                <w:szCs w:val="16"/>
              </w:rPr>
            </w:pPr>
            <w:r>
              <w:rPr>
                <w:color w:val="000000"/>
                <w:sz w:val="16"/>
                <w:szCs w:val="16"/>
              </w:rPr>
              <w:t>92.8%</w:t>
            </w:r>
          </w:p>
        </w:tc>
        <w:tc>
          <w:tcPr>
            <w:tcW w:w="1263" w:type="dxa"/>
          </w:tcPr>
          <w:p w14:paraId="3804BD0B" w14:textId="77777777" w:rsidR="00DC0003" w:rsidRDefault="00000000">
            <w:pPr>
              <w:rPr>
                <w:color w:val="000000"/>
                <w:sz w:val="16"/>
                <w:szCs w:val="16"/>
              </w:rPr>
            </w:pPr>
            <w:r>
              <w:rPr>
                <w:color w:val="000000"/>
                <w:sz w:val="16"/>
                <w:szCs w:val="16"/>
              </w:rPr>
              <w:t>93.1%</w:t>
            </w:r>
          </w:p>
        </w:tc>
      </w:tr>
      <w:tr w:rsidR="00DC0003" w14:paraId="4E23FF60" w14:textId="77777777">
        <w:trPr>
          <w:trHeight w:val="302"/>
        </w:trPr>
        <w:tc>
          <w:tcPr>
            <w:tcW w:w="1304" w:type="dxa"/>
          </w:tcPr>
          <w:p w14:paraId="11CC2B1A" w14:textId="77777777" w:rsidR="00DC0003" w:rsidRDefault="00000000">
            <w:pPr>
              <w:rPr>
                <w:color w:val="000000"/>
                <w:sz w:val="16"/>
                <w:szCs w:val="16"/>
              </w:rPr>
            </w:pPr>
            <w:r>
              <w:rPr>
                <w:color w:val="000000"/>
                <w:sz w:val="16"/>
                <w:szCs w:val="16"/>
              </w:rPr>
              <w:t>SVM [5]</w:t>
            </w:r>
          </w:p>
        </w:tc>
        <w:tc>
          <w:tcPr>
            <w:tcW w:w="864" w:type="dxa"/>
          </w:tcPr>
          <w:p w14:paraId="609E43AF" w14:textId="77777777" w:rsidR="00DC0003" w:rsidRDefault="00000000">
            <w:pPr>
              <w:spacing w:before="240" w:after="240"/>
              <w:rPr>
                <w:color w:val="000000"/>
                <w:sz w:val="16"/>
                <w:szCs w:val="16"/>
              </w:rPr>
            </w:pPr>
            <w:r>
              <w:rPr>
                <w:color w:val="000000"/>
                <w:sz w:val="16"/>
                <w:szCs w:val="16"/>
              </w:rPr>
              <w:t xml:space="preserve">89.3%    </w:t>
            </w:r>
          </w:p>
        </w:tc>
        <w:tc>
          <w:tcPr>
            <w:tcW w:w="892" w:type="dxa"/>
          </w:tcPr>
          <w:p w14:paraId="3297761A" w14:textId="77777777" w:rsidR="00DC0003" w:rsidRDefault="00000000">
            <w:pPr>
              <w:rPr>
                <w:color w:val="000000"/>
                <w:sz w:val="16"/>
                <w:szCs w:val="16"/>
              </w:rPr>
            </w:pPr>
            <w:r>
              <w:rPr>
                <w:color w:val="000000"/>
                <w:sz w:val="16"/>
                <w:szCs w:val="16"/>
              </w:rPr>
              <w:t>88.7%</w:t>
            </w:r>
          </w:p>
        </w:tc>
        <w:tc>
          <w:tcPr>
            <w:tcW w:w="866" w:type="dxa"/>
          </w:tcPr>
          <w:p w14:paraId="779AA200" w14:textId="77777777" w:rsidR="00DC0003" w:rsidRDefault="00000000">
            <w:pPr>
              <w:rPr>
                <w:color w:val="000000"/>
                <w:sz w:val="16"/>
                <w:szCs w:val="16"/>
              </w:rPr>
            </w:pPr>
            <w:r>
              <w:rPr>
                <w:color w:val="000000"/>
                <w:sz w:val="16"/>
                <w:szCs w:val="16"/>
              </w:rPr>
              <w:t>89.8%</w:t>
            </w:r>
          </w:p>
        </w:tc>
        <w:tc>
          <w:tcPr>
            <w:tcW w:w="1263" w:type="dxa"/>
          </w:tcPr>
          <w:p w14:paraId="0245E30C" w14:textId="77777777" w:rsidR="00DC0003" w:rsidRDefault="00000000">
            <w:pPr>
              <w:rPr>
                <w:color w:val="000000"/>
                <w:sz w:val="16"/>
                <w:szCs w:val="16"/>
              </w:rPr>
            </w:pPr>
            <w:r>
              <w:rPr>
                <w:color w:val="000000"/>
                <w:sz w:val="16"/>
                <w:szCs w:val="16"/>
              </w:rPr>
              <w:t>89.2%</w:t>
            </w:r>
          </w:p>
        </w:tc>
      </w:tr>
      <w:tr w:rsidR="00DC0003" w14:paraId="4CAF946B" w14:textId="77777777">
        <w:trPr>
          <w:trHeight w:val="357"/>
        </w:trPr>
        <w:tc>
          <w:tcPr>
            <w:tcW w:w="1304" w:type="dxa"/>
          </w:tcPr>
          <w:p w14:paraId="5608F2AC" w14:textId="77777777" w:rsidR="00DC0003" w:rsidRDefault="00000000">
            <w:pPr>
              <w:rPr>
                <w:color w:val="000000"/>
                <w:sz w:val="16"/>
                <w:szCs w:val="16"/>
              </w:rPr>
            </w:pPr>
            <w:r>
              <w:rPr>
                <w:color w:val="000000"/>
                <w:sz w:val="16"/>
                <w:szCs w:val="16"/>
              </w:rPr>
              <w:t>CNN [6]</w:t>
            </w:r>
          </w:p>
        </w:tc>
        <w:tc>
          <w:tcPr>
            <w:tcW w:w="864" w:type="dxa"/>
          </w:tcPr>
          <w:p w14:paraId="30529770" w14:textId="77777777" w:rsidR="00DC0003" w:rsidRDefault="00000000">
            <w:pPr>
              <w:spacing w:before="240" w:after="240"/>
              <w:rPr>
                <w:color w:val="000000"/>
                <w:sz w:val="16"/>
                <w:szCs w:val="16"/>
              </w:rPr>
            </w:pPr>
            <w:r>
              <w:rPr>
                <w:color w:val="000000"/>
                <w:sz w:val="16"/>
                <w:szCs w:val="16"/>
              </w:rPr>
              <w:t xml:space="preserve">91.5%    </w:t>
            </w:r>
          </w:p>
          <w:p w14:paraId="6B886D31" w14:textId="77777777" w:rsidR="00DC0003" w:rsidRDefault="00DC0003">
            <w:pPr>
              <w:rPr>
                <w:color w:val="000000"/>
                <w:sz w:val="16"/>
                <w:szCs w:val="16"/>
              </w:rPr>
            </w:pPr>
          </w:p>
        </w:tc>
        <w:tc>
          <w:tcPr>
            <w:tcW w:w="892" w:type="dxa"/>
          </w:tcPr>
          <w:p w14:paraId="6BD1D1E8" w14:textId="77777777" w:rsidR="00DC0003" w:rsidRDefault="00000000">
            <w:pPr>
              <w:rPr>
                <w:color w:val="000000"/>
                <w:sz w:val="16"/>
                <w:szCs w:val="16"/>
              </w:rPr>
            </w:pPr>
            <w:r>
              <w:rPr>
                <w:color w:val="000000"/>
                <w:sz w:val="16"/>
                <w:szCs w:val="16"/>
              </w:rPr>
              <w:t>91.2%</w:t>
            </w:r>
          </w:p>
        </w:tc>
        <w:tc>
          <w:tcPr>
            <w:tcW w:w="866" w:type="dxa"/>
          </w:tcPr>
          <w:p w14:paraId="6B6E9AB4" w14:textId="77777777" w:rsidR="00DC0003" w:rsidRDefault="00000000">
            <w:pPr>
              <w:rPr>
                <w:color w:val="000000"/>
                <w:sz w:val="16"/>
                <w:szCs w:val="16"/>
              </w:rPr>
            </w:pPr>
            <w:r>
              <w:rPr>
                <w:color w:val="000000"/>
                <w:sz w:val="16"/>
                <w:szCs w:val="16"/>
              </w:rPr>
              <w:t>91.7%</w:t>
            </w:r>
          </w:p>
        </w:tc>
        <w:tc>
          <w:tcPr>
            <w:tcW w:w="1263" w:type="dxa"/>
          </w:tcPr>
          <w:p w14:paraId="0D31DB1D" w14:textId="77777777" w:rsidR="00DC0003" w:rsidRDefault="00000000">
            <w:pPr>
              <w:rPr>
                <w:color w:val="000000"/>
                <w:sz w:val="16"/>
                <w:szCs w:val="16"/>
              </w:rPr>
            </w:pPr>
            <w:r>
              <w:rPr>
                <w:color w:val="000000"/>
                <w:sz w:val="16"/>
                <w:szCs w:val="16"/>
              </w:rPr>
              <w:t>91.4%</w:t>
            </w:r>
          </w:p>
        </w:tc>
      </w:tr>
      <w:tr w:rsidR="00DC0003" w14:paraId="044A606C" w14:textId="77777777">
        <w:trPr>
          <w:trHeight w:val="336"/>
        </w:trPr>
        <w:tc>
          <w:tcPr>
            <w:tcW w:w="1304" w:type="dxa"/>
          </w:tcPr>
          <w:p w14:paraId="06DD9F25" w14:textId="77777777" w:rsidR="00DC0003" w:rsidRDefault="00000000">
            <w:pPr>
              <w:rPr>
                <w:color w:val="000000"/>
                <w:sz w:val="16"/>
                <w:szCs w:val="16"/>
              </w:rPr>
            </w:pPr>
            <w:r>
              <w:rPr>
                <w:color w:val="000000"/>
                <w:sz w:val="16"/>
                <w:szCs w:val="16"/>
              </w:rPr>
              <w:t>Our Approach</w:t>
            </w:r>
          </w:p>
        </w:tc>
        <w:tc>
          <w:tcPr>
            <w:tcW w:w="864" w:type="dxa"/>
          </w:tcPr>
          <w:p w14:paraId="7F2F12D9" w14:textId="77777777" w:rsidR="00DC0003" w:rsidRDefault="00000000">
            <w:pPr>
              <w:spacing w:before="240" w:after="240"/>
              <w:rPr>
                <w:color w:val="000000"/>
                <w:sz w:val="16"/>
                <w:szCs w:val="16"/>
              </w:rPr>
            </w:pPr>
            <w:r>
              <w:rPr>
                <w:color w:val="000000"/>
                <w:sz w:val="16"/>
                <w:szCs w:val="16"/>
              </w:rPr>
              <w:t xml:space="preserve">95.7%    </w:t>
            </w:r>
          </w:p>
          <w:p w14:paraId="4BF308D1" w14:textId="77777777" w:rsidR="00DC0003" w:rsidRDefault="00DC0003">
            <w:pPr>
              <w:rPr>
                <w:color w:val="000000"/>
                <w:sz w:val="16"/>
                <w:szCs w:val="16"/>
              </w:rPr>
            </w:pPr>
          </w:p>
        </w:tc>
        <w:tc>
          <w:tcPr>
            <w:tcW w:w="892" w:type="dxa"/>
          </w:tcPr>
          <w:p w14:paraId="45A608AD" w14:textId="77777777" w:rsidR="00DC0003" w:rsidRDefault="00000000">
            <w:pPr>
              <w:rPr>
                <w:color w:val="000000"/>
                <w:sz w:val="16"/>
                <w:szCs w:val="16"/>
              </w:rPr>
            </w:pPr>
            <w:r>
              <w:rPr>
                <w:sz w:val="16"/>
                <w:szCs w:val="16"/>
              </w:rPr>
              <w:t>95.9%</w:t>
            </w:r>
          </w:p>
        </w:tc>
        <w:tc>
          <w:tcPr>
            <w:tcW w:w="866" w:type="dxa"/>
          </w:tcPr>
          <w:p w14:paraId="0DA7AB05" w14:textId="77777777" w:rsidR="00DC0003" w:rsidRDefault="00000000">
            <w:pPr>
              <w:rPr>
                <w:color w:val="000000"/>
                <w:sz w:val="16"/>
                <w:szCs w:val="16"/>
              </w:rPr>
            </w:pPr>
            <w:r>
              <w:rPr>
                <w:color w:val="000000"/>
                <w:sz w:val="16"/>
                <w:szCs w:val="16"/>
              </w:rPr>
              <w:t>95.4%</w:t>
            </w:r>
          </w:p>
        </w:tc>
        <w:tc>
          <w:tcPr>
            <w:tcW w:w="1263" w:type="dxa"/>
          </w:tcPr>
          <w:p w14:paraId="74588DF2" w14:textId="77777777" w:rsidR="00DC0003" w:rsidRDefault="00000000">
            <w:pPr>
              <w:rPr>
                <w:color w:val="000000"/>
                <w:sz w:val="16"/>
                <w:szCs w:val="16"/>
              </w:rPr>
            </w:pPr>
            <w:r>
              <w:rPr>
                <w:color w:val="000000"/>
                <w:sz w:val="16"/>
                <w:szCs w:val="16"/>
              </w:rPr>
              <w:t>95.6%</w:t>
            </w:r>
          </w:p>
        </w:tc>
      </w:tr>
    </w:tbl>
    <w:p w14:paraId="3461CB1A" w14:textId="77777777" w:rsidR="00DC0003" w:rsidRDefault="00DC0003"/>
    <w:p w14:paraId="26B9834E" w14:textId="77777777" w:rsidR="00DC0003" w:rsidRDefault="00000000">
      <w:pPr>
        <w:rPr>
          <w:i/>
          <w:iCs/>
          <w:sz w:val="16"/>
          <w:szCs w:val="16"/>
        </w:rPr>
      </w:pPr>
      <w:r>
        <w:rPr>
          <w:noProof/>
        </w:rPr>
        <w:drawing>
          <wp:inline distT="0" distB="0" distL="0" distR="0" wp14:anchorId="78B8E73E" wp14:editId="688C1C06">
            <wp:extent cx="3257550" cy="19621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257550" cy="1962150"/>
                    </a:xfrm>
                    <a:prstGeom prst="rect">
                      <a:avLst/>
                    </a:prstGeom>
                    <a:ln/>
                  </pic:spPr>
                </pic:pic>
              </a:graphicData>
            </a:graphic>
          </wp:inline>
        </w:drawing>
      </w:r>
      <w:r>
        <w:rPr>
          <w:i/>
          <w:iCs/>
          <w:sz w:val="16"/>
          <w:szCs w:val="16"/>
        </w:rPr>
        <w:t>Fig. 3. Comparison Between Phishing Detection Approaches</w:t>
      </w:r>
    </w:p>
    <w:p w14:paraId="35EF1F87" w14:textId="77777777" w:rsidR="00DC0003" w:rsidRDefault="00DC0003">
      <w:pPr>
        <w:jc w:val="both"/>
      </w:pPr>
    </w:p>
    <w:p w14:paraId="31994FDE" w14:textId="77777777" w:rsidR="00DC0003" w:rsidRDefault="00000000">
      <w:pPr>
        <w:jc w:val="both"/>
      </w:pPr>
      <w:r>
        <w:t xml:space="preserve">      Figure 3 provides a visual comparison of detection accuracy across all evaluated models. Our approach achieves 95.7% accuracy, placing it between the teacher BERT-base model (96.5%) and other distilled variants, while significantly outperforming traditional ML and CNN baselines. The 0.8% accuracy reduction from the teacher model represents an excellent trade-off given the 85% reduction in model size.</w:t>
      </w:r>
    </w:p>
    <w:p w14:paraId="6199B89C" w14:textId="77777777" w:rsidR="00DC0003" w:rsidRDefault="00DC0003">
      <w:pPr>
        <w:jc w:val="both"/>
        <w:rPr>
          <w:i/>
          <w:iCs/>
        </w:rPr>
      </w:pPr>
    </w:p>
    <w:p w14:paraId="614C2504" w14:textId="77777777" w:rsidR="00DC0003" w:rsidRDefault="00000000">
      <w:r>
        <w:rPr>
          <w:i/>
          <w:iCs/>
        </w:rPr>
        <w:t>C. Efficiency Analysis</w:t>
      </w:r>
    </w:p>
    <w:p w14:paraId="4134FD52" w14:textId="77777777" w:rsidR="00DC0003" w:rsidRDefault="00000000">
      <w:pPr>
        <w:spacing w:after="200" w:line="276" w:lineRule="auto"/>
        <w:jc w:val="both"/>
      </w:pPr>
      <w:r>
        <w:rPr>
          <w:color w:val="000000"/>
        </w:rPr>
        <w:t xml:space="preserve">      The operational efficiency of our approach demonstrates significant advantages for real-world deployment scenarios, particularly in resource-constrained enterprise environments.</w:t>
      </w:r>
    </w:p>
    <w:p w14:paraId="28E6F7BA" w14:textId="77777777" w:rsidR="00DC0003" w:rsidRDefault="00000000">
      <w:pPr>
        <w:numPr>
          <w:ilvl w:val="0"/>
          <w:numId w:val="4"/>
        </w:numPr>
        <w:pBdr>
          <w:top w:val="nil"/>
          <w:left w:val="nil"/>
          <w:bottom w:val="nil"/>
          <w:right w:val="nil"/>
          <w:between w:val="nil"/>
        </w:pBdr>
        <w:spacing w:before="240" w:after="120" w:line="216" w:lineRule="auto"/>
        <w:jc w:val="left"/>
        <w:rPr>
          <w:smallCaps/>
          <w:color w:val="000000"/>
        </w:rPr>
      </w:pPr>
      <w:r>
        <w:rPr>
          <w:smallCaps/>
          <w:color w:val="000000"/>
          <w:sz w:val="16"/>
          <w:szCs w:val="16"/>
        </w:rPr>
        <w:t>OPERATIONAL EFFICIENCY COMPARISON</w:t>
      </w:r>
    </w:p>
    <w:tbl>
      <w:tblPr>
        <w:tblStyle w:val="a0"/>
        <w:tblW w:w="4804" w:type="dxa"/>
        <w:tblInd w:w="-105"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1073"/>
        <w:gridCol w:w="730"/>
        <w:gridCol w:w="1071"/>
        <w:gridCol w:w="1010"/>
        <w:gridCol w:w="920"/>
      </w:tblGrid>
      <w:tr w:rsidR="00DC0003" w14:paraId="1CADB457" w14:textId="77777777">
        <w:trPr>
          <w:trHeight w:val="300"/>
        </w:trPr>
        <w:tc>
          <w:tcPr>
            <w:tcW w:w="1073" w:type="dxa"/>
            <w:tcMar>
              <w:left w:w="105" w:type="dxa"/>
              <w:right w:w="105" w:type="dxa"/>
            </w:tcMar>
          </w:tcPr>
          <w:p w14:paraId="3FBA523E" w14:textId="77777777" w:rsidR="00DC0003" w:rsidRDefault="00000000">
            <w:pPr>
              <w:rPr>
                <w:sz w:val="18"/>
                <w:szCs w:val="18"/>
              </w:rPr>
            </w:pPr>
            <w:r>
              <w:rPr>
                <w:sz w:val="18"/>
                <w:szCs w:val="18"/>
              </w:rPr>
              <w:t xml:space="preserve">Metric </w:t>
            </w:r>
          </w:p>
        </w:tc>
        <w:tc>
          <w:tcPr>
            <w:tcW w:w="730" w:type="dxa"/>
            <w:tcMar>
              <w:left w:w="105" w:type="dxa"/>
              <w:right w:w="105" w:type="dxa"/>
            </w:tcMar>
          </w:tcPr>
          <w:p w14:paraId="69F1ECC9" w14:textId="77777777" w:rsidR="00DC0003" w:rsidRDefault="00000000">
            <w:pPr>
              <w:rPr>
                <w:sz w:val="18"/>
                <w:szCs w:val="18"/>
              </w:rPr>
            </w:pPr>
            <w:r>
              <w:rPr>
                <w:sz w:val="18"/>
                <w:szCs w:val="18"/>
              </w:rPr>
              <w:t>BERT-Base</w:t>
            </w:r>
          </w:p>
        </w:tc>
        <w:tc>
          <w:tcPr>
            <w:tcW w:w="1071" w:type="dxa"/>
            <w:tcMar>
              <w:left w:w="105" w:type="dxa"/>
              <w:right w:w="105" w:type="dxa"/>
            </w:tcMar>
          </w:tcPr>
          <w:p w14:paraId="0115DA2D" w14:textId="77777777" w:rsidR="00DC0003" w:rsidRDefault="00000000">
            <w:pPr>
              <w:rPr>
                <w:sz w:val="18"/>
                <w:szCs w:val="18"/>
              </w:rPr>
            </w:pPr>
            <w:r>
              <w:rPr>
                <w:sz w:val="18"/>
                <w:szCs w:val="18"/>
              </w:rPr>
              <w:t>DistilBERT</w:t>
            </w:r>
          </w:p>
        </w:tc>
        <w:tc>
          <w:tcPr>
            <w:tcW w:w="1010" w:type="dxa"/>
            <w:tcMar>
              <w:left w:w="105" w:type="dxa"/>
              <w:right w:w="105" w:type="dxa"/>
            </w:tcMar>
          </w:tcPr>
          <w:p w14:paraId="3E5FAD31" w14:textId="77777777" w:rsidR="00DC0003" w:rsidRDefault="00000000">
            <w:pPr>
              <w:rPr>
                <w:sz w:val="18"/>
                <w:szCs w:val="18"/>
              </w:rPr>
            </w:pPr>
            <w:r>
              <w:rPr>
                <w:sz w:val="18"/>
                <w:szCs w:val="18"/>
              </w:rPr>
              <w:t>TinyBERT</w:t>
            </w:r>
          </w:p>
        </w:tc>
        <w:tc>
          <w:tcPr>
            <w:tcW w:w="920" w:type="dxa"/>
            <w:tcMar>
              <w:left w:w="105" w:type="dxa"/>
              <w:right w:w="105" w:type="dxa"/>
            </w:tcMar>
          </w:tcPr>
          <w:p w14:paraId="7783F728" w14:textId="77777777" w:rsidR="00DC0003" w:rsidRDefault="00000000">
            <w:pPr>
              <w:rPr>
                <w:sz w:val="18"/>
                <w:szCs w:val="18"/>
              </w:rPr>
            </w:pPr>
            <w:r>
              <w:rPr>
                <w:sz w:val="18"/>
                <w:szCs w:val="18"/>
              </w:rPr>
              <w:t xml:space="preserve"> Our Approach</w:t>
            </w:r>
          </w:p>
        </w:tc>
      </w:tr>
      <w:tr w:rsidR="00DC0003" w14:paraId="18EF2365" w14:textId="77777777">
        <w:trPr>
          <w:trHeight w:val="300"/>
        </w:trPr>
        <w:tc>
          <w:tcPr>
            <w:tcW w:w="1073" w:type="dxa"/>
            <w:tcMar>
              <w:left w:w="105" w:type="dxa"/>
              <w:right w:w="105" w:type="dxa"/>
            </w:tcMar>
          </w:tcPr>
          <w:p w14:paraId="4EEC3C5B" w14:textId="77777777" w:rsidR="00DC0003" w:rsidRDefault="00000000">
            <w:pPr>
              <w:rPr>
                <w:sz w:val="16"/>
                <w:szCs w:val="16"/>
              </w:rPr>
            </w:pPr>
            <w:r>
              <w:rPr>
                <w:sz w:val="16"/>
                <w:szCs w:val="16"/>
              </w:rPr>
              <w:t xml:space="preserve">Inference Time (ms) </w:t>
            </w:r>
          </w:p>
        </w:tc>
        <w:tc>
          <w:tcPr>
            <w:tcW w:w="730" w:type="dxa"/>
            <w:tcMar>
              <w:left w:w="105" w:type="dxa"/>
              <w:right w:w="105" w:type="dxa"/>
            </w:tcMar>
          </w:tcPr>
          <w:p w14:paraId="57D4453A" w14:textId="77777777" w:rsidR="00DC0003" w:rsidRDefault="00000000">
            <w:pPr>
              <w:rPr>
                <w:sz w:val="16"/>
                <w:szCs w:val="16"/>
              </w:rPr>
            </w:pPr>
            <w:r>
              <w:rPr>
                <w:sz w:val="16"/>
                <w:szCs w:val="16"/>
              </w:rPr>
              <w:t xml:space="preserve">135   </w:t>
            </w:r>
          </w:p>
        </w:tc>
        <w:tc>
          <w:tcPr>
            <w:tcW w:w="1071" w:type="dxa"/>
            <w:tcMar>
              <w:left w:w="105" w:type="dxa"/>
              <w:right w:w="105" w:type="dxa"/>
            </w:tcMar>
          </w:tcPr>
          <w:p w14:paraId="05709791" w14:textId="77777777" w:rsidR="00DC0003" w:rsidRDefault="00000000">
            <w:pPr>
              <w:rPr>
                <w:sz w:val="16"/>
                <w:szCs w:val="16"/>
              </w:rPr>
            </w:pPr>
            <w:r>
              <w:rPr>
                <w:sz w:val="16"/>
                <w:szCs w:val="16"/>
              </w:rPr>
              <w:t>75</w:t>
            </w:r>
          </w:p>
        </w:tc>
        <w:tc>
          <w:tcPr>
            <w:tcW w:w="1010" w:type="dxa"/>
            <w:tcMar>
              <w:left w:w="105" w:type="dxa"/>
              <w:right w:w="105" w:type="dxa"/>
            </w:tcMar>
          </w:tcPr>
          <w:p w14:paraId="4B7352D1" w14:textId="77777777" w:rsidR="00DC0003" w:rsidRDefault="00000000">
            <w:pPr>
              <w:rPr>
                <w:sz w:val="16"/>
                <w:szCs w:val="16"/>
              </w:rPr>
            </w:pPr>
            <w:r>
              <w:rPr>
                <w:sz w:val="16"/>
                <w:szCs w:val="16"/>
              </w:rPr>
              <w:t>45</w:t>
            </w:r>
          </w:p>
        </w:tc>
        <w:tc>
          <w:tcPr>
            <w:tcW w:w="920" w:type="dxa"/>
            <w:tcMar>
              <w:left w:w="105" w:type="dxa"/>
              <w:right w:w="105" w:type="dxa"/>
            </w:tcMar>
          </w:tcPr>
          <w:p w14:paraId="223CFE29" w14:textId="77777777" w:rsidR="00DC0003" w:rsidRDefault="00000000">
            <w:pPr>
              <w:rPr>
                <w:sz w:val="16"/>
                <w:szCs w:val="16"/>
              </w:rPr>
            </w:pPr>
            <w:r>
              <w:rPr>
                <w:sz w:val="16"/>
                <w:szCs w:val="16"/>
              </w:rPr>
              <w:t>52</w:t>
            </w:r>
          </w:p>
        </w:tc>
      </w:tr>
      <w:tr w:rsidR="00DC0003" w14:paraId="15A9399E" w14:textId="77777777">
        <w:trPr>
          <w:trHeight w:val="300"/>
        </w:trPr>
        <w:tc>
          <w:tcPr>
            <w:tcW w:w="1073" w:type="dxa"/>
            <w:tcMar>
              <w:left w:w="105" w:type="dxa"/>
              <w:right w:w="105" w:type="dxa"/>
            </w:tcMar>
          </w:tcPr>
          <w:p w14:paraId="292D8B85" w14:textId="77777777" w:rsidR="00DC0003" w:rsidRDefault="00000000">
            <w:pPr>
              <w:rPr>
                <w:sz w:val="16"/>
                <w:szCs w:val="16"/>
              </w:rPr>
            </w:pPr>
            <w:r>
              <w:rPr>
                <w:sz w:val="16"/>
                <w:szCs w:val="16"/>
              </w:rPr>
              <w:t xml:space="preserve">Memory Usage (MB)  </w:t>
            </w:r>
          </w:p>
        </w:tc>
        <w:tc>
          <w:tcPr>
            <w:tcW w:w="730" w:type="dxa"/>
            <w:tcMar>
              <w:left w:w="105" w:type="dxa"/>
              <w:right w:w="105" w:type="dxa"/>
            </w:tcMar>
          </w:tcPr>
          <w:p w14:paraId="534E3F23" w14:textId="77777777" w:rsidR="00DC0003" w:rsidRDefault="00000000">
            <w:pPr>
              <w:rPr>
                <w:sz w:val="16"/>
                <w:szCs w:val="16"/>
              </w:rPr>
            </w:pPr>
            <w:r>
              <w:rPr>
                <w:sz w:val="16"/>
                <w:szCs w:val="16"/>
              </w:rPr>
              <w:t>1200</w:t>
            </w:r>
          </w:p>
        </w:tc>
        <w:tc>
          <w:tcPr>
            <w:tcW w:w="1071" w:type="dxa"/>
            <w:tcMar>
              <w:left w:w="105" w:type="dxa"/>
              <w:right w:w="105" w:type="dxa"/>
            </w:tcMar>
          </w:tcPr>
          <w:p w14:paraId="7BD9090A" w14:textId="77777777" w:rsidR="00DC0003" w:rsidRDefault="00000000">
            <w:pPr>
              <w:rPr>
                <w:sz w:val="16"/>
                <w:szCs w:val="16"/>
              </w:rPr>
            </w:pPr>
            <w:r>
              <w:rPr>
                <w:sz w:val="16"/>
                <w:szCs w:val="16"/>
              </w:rPr>
              <w:t>680</w:t>
            </w:r>
          </w:p>
        </w:tc>
        <w:tc>
          <w:tcPr>
            <w:tcW w:w="1010" w:type="dxa"/>
            <w:tcMar>
              <w:left w:w="105" w:type="dxa"/>
              <w:right w:w="105" w:type="dxa"/>
            </w:tcMar>
          </w:tcPr>
          <w:p w14:paraId="503CB0FA" w14:textId="77777777" w:rsidR="00DC0003" w:rsidRDefault="00000000">
            <w:pPr>
              <w:rPr>
                <w:sz w:val="16"/>
                <w:szCs w:val="16"/>
              </w:rPr>
            </w:pPr>
            <w:r>
              <w:rPr>
                <w:sz w:val="16"/>
                <w:szCs w:val="16"/>
              </w:rPr>
              <w:t>320</w:t>
            </w:r>
          </w:p>
        </w:tc>
        <w:tc>
          <w:tcPr>
            <w:tcW w:w="920" w:type="dxa"/>
            <w:tcMar>
              <w:left w:w="105" w:type="dxa"/>
              <w:right w:w="105" w:type="dxa"/>
            </w:tcMar>
          </w:tcPr>
          <w:p w14:paraId="435E59D6" w14:textId="77777777" w:rsidR="00DC0003" w:rsidRDefault="00000000">
            <w:pPr>
              <w:rPr>
                <w:sz w:val="16"/>
                <w:szCs w:val="16"/>
              </w:rPr>
            </w:pPr>
            <w:r>
              <w:rPr>
                <w:sz w:val="16"/>
                <w:szCs w:val="16"/>
              </w:rPr>
              <w:t>350</w:t>
            </w:r>
          </w:p>
        </w:tc>
      </w:tr>
      <w:tr w:rsidR="00DC0003" w14:paraId="40466EFE" w14:textId="77777777">
        <w:trPr>
          <w:trHeight w:val="300"/>
        </w:trPr>
        <w:tc>
          <w:tcPr>
            <w:tcW w:w="1073" w:type="dxa"/>
            <w:tcMar>
              <w:left w:w="105" w:type="dxa"/>
              <w:right w:w="105" w:type="dxa"/>
            </w:tcMar>
          </w:tcPr>
          <w:p w14:paraId="181411D5" w14:textId="77777777" w:rsidR="00DC0003" w:rsidRDefault="00000000">
            <w:pPr>
              <w:rPr>
                <w:sz w:val="16"/>
                <w:szCs w:val="16"/>
              </w:rPr>
            </w:pPr>
            <w:r>
              <w:rPr>
                <w:sz w:val="16"/>
                <w:szCs w:val="16"/>
              </w:rPr>
              <w:t xml:space="preserve">Throughput (emails/s)  </w:t>
            </w:r>
          </w:p>
        </w:tc>
        <w:tc>
          <w:tcPr>
            <w:tcW w:w="730" w:type="dxa"/>
            <w:tcMar>
              <w:left w:w="105" w:type="dxa"/>
              <w:right w:w="105" w:type="dxa"/>
            </w:tcMar>
          </w:tcPr>
          <w:p w14:paraId="54FCCB08" w14:textId="77777777" w:rsidR="00DC0003" w:rsidRDefault="00000000">
            <w:pPr>
              <w:rPr>
                <w:sz w:val="16"/>
                <w:szCs w:val="16"/>
              </w:rPr>
            </w:pPr>
            <w:r>
              <w:rPr>
                <w:sz w:val="16"/>
                <w:szCs w:val="16"/>
              </w:rPr>
              <w:t>85</w:t>
            </w:r>
          </w:p>
        </w:tc>
        <w:tc>
          <w:tcPr>
            <w:tcW w:w="1071" w:type="dxa"/>
            <w:tcMar>
              <w:left w:w="105" w:type="dxa"/>
              <w:right w:w="105" w:type="dxa"/>
            </w:tcMar>
          </w:tcPr>
          <w:p w14:paraId="0105C3A8" w14:textId="77777777" w:rsidR="00DC0003" w:rsidRDefault="00000000">
            <w:pPr>
              <w:rPr>
                <w:sz w:val="16"/>
                <w:szCs w:val="16"/>
              </w:rPr>
            </w:pPr>
            <w:r>
              <w:rPr>
                <w:sz w:val="16"/>
                <w:szCs w:val="16"/>
              </w:rPr>
              <w:t>150</w:t>
            </w:r>
          </w:p>
        </w:tc>
        <w:tc>
          <w:tcPr>
            <w:tcW w:w="1010" w:type="dxa"/>
            <w:tcMar>
              <w:left w:w="105" w:type="dxa"/>
              <w:right w:w="105" w:type="dxa"/>
            </w:tcMar>
          </w:tcPr>
          <w:p w14:paraId="552FBE06" w14:textId="77777777" w:rsidR="00DC0003" w:rsidRDefault="00000000">
            <w:pPr>
              <w:rPr>
                <w:sz w:val="16"/>
                <w:szCs w:val="16"/>
              </w:rPr>
            </w:pPr>
            <w:r>
              <w:rPr>
                <w:sz w:val="16"/>
                <w:szCs w:val="16"/>
              </w:rPr>
              <w:t>240</w:t>
            </w:r>
          </w:p>
          <w:p w14:paraId="2399DCA6" w14:textId="77777777" w:rsidR="00DC0003" w:rsidRDefault="00DC0003">
            <w:pPr>
              <w:rPr>
                <w:sz w:val="16"/>
                <w:szCs w:val="16"/>
              </w:rPr>
            </w:pPr>
          </w:p>
        </w:tc>
        <w:tc>
          <w:tcPr>
            <w:tcW w:w="920" w:type="dxa"/>
            <w:tcMar>
              <w:left w:w="105" w:type="dxa"/>
              <w:right w:w="105" w:type="dxa"/>
            </w:tcMar>
          </w:tcPr>
          <w:p w14:paraId="60B2A3E5" w14:textId="77777777" w:rsidR="00DC0003" w:rsidRDefault="00000000">
            <w:pPr>
              <w:rPr>
                <w:sz w:val="16"/>
                <w:szCs w:val="16"/>
              </w:rPr>
            </w:pPr>
            <w:r>
              <w:rPr>
                <w:sz w:val="16"/>
                <w:szCs w:val="16"/>
              </w:rPr>
              <w:t>210</w:t>
            </w:r>
          </w:p>
        </w:tc>
      </w:tr>
      <w:tr w:rsidR="00DC0003" w14:paraId="1D86F5D3" w14:textId="77777777">
        <w:trPr>
          <w:trHeight w:val="300"/>
        </w:trPr>
        <w:tc>
          <w:tcPr>
            <w:tcW w:w="1073" w:type="dxa"/>
            <w:tcMar>
              <w:left w:w="105" w:type="dxa"/>
              <w:right w:w="105" w:type="dxa"/>
            </w:tcMar>
          </w:tcPr>
          <w:p w14:paraId="691CE834" w14:textId="77777777" w:rsidR="00DC0003" w:rsidRDefault="00000000">
            <w:pPr>
              <w:rPr>
                <w:sz w:val="16"/>
                <w:szCs w:val="16"/>
              </w:rPr>
            </w:pPr>
            <w:r>
              <w:rPr>
                <w:sz w:val="16"/>
                <w:szCs w:val="16"/>
              </w:rPr>
              <w:t xml:space="preserve">CPU Utilization (%)  </w:t>
            </w:r>
          </w:p>
        </w:tc>
        <w:tc>
          <w:tcPr>
            <w:tcW w:w="730" w:type="dxa"/>
            <w:tcMar>
              <w:left w:w="105" w:type="dxa"/>
              <w:right w:w="105" w:type="dxa"/>
            </w:tcMar>
          </w:tcPr>
          <w:p w14:paraId="1504FC3E" w14:textId="77777777" w:rsidR="00DC0003" w:rsidRDefault="00000000">
            <w:pPr>
              <w:rPr>
                <w:sz w:val="16"/>
                <w:szCs w:val="16"/>
              </w:rPr>
            </w:pPr>
            <w:r>
              <w:rPr>
                <w:sz w:val="16"/>
                <w:szCs w:val="16"/>
              </w:rPr>
              <w:t>75</w:t>
            </w:r>
          </w:p>
        </w:tc>
        <w:tc>
          <w:tcPr>
            <w:tcW w:w="1071" w:type="dxa"/>
            <w:tcMar>
              <w:left w:w="105" w:type="dxa"/>
              <w:right w:w="105" w:type="dxa"/>
            </w:tcMar>
          </w:tcPr>
          <w:p w14:paraId="7B4D98D5" w14:textId="77777777" w:rsidR="00DC0003" w:rsidRDefault="00000000">
            <w:pPr>
              <w:rPr>
                <w:sz w:val="16"/>
                <w:szCs w:val="16"/>
              </w:rPr>
            </w:pPr>
            <w:r>
              <w:rPr>
                <w:sz w:val="16"/>
                <w:szCs w:val="16"/>
              </w:rPr>
              <w:t>55</w:t>
            </w:r>
          </w:p>
        </w:tc>
        <w:tc>
          <w:tcPr>
            <w:tcW w:w="1010" w:type="dxa"/>
            <w:tcMar>
              <w:left w:w="105" w:type="dxa"/>
              <w:right w:w="105" w:type="dxa"/>
            </w:tcMar>
          </w:tcPr>
          <w:p w14:paraId="6AED1A10" w14:textId="77777777" w:rsidR="00DC0003" w:rsidRDefault="00000000">
            <w:pPr>
              <w:rPr>
                <w:sz w:val="16"/>
                <w:szCs w:val="16"/>
              </w:rPr>
            </w:pPr>
            <w:r>
              <w:rPr>
                <w:sz w:val="16"/>
                <w:szCs w:val="16"/>
              </w:rPr>
              <w:t>35</w:t>
            </w:r>
          </w:p>
        </w:tc>
        <w:tc>
          <w:tcPr>
            <w:tcW w:w="920" w:type="dxa"/>
            <w:tcMar>
              <w:left w:w="105" w:type="dxa"/>
              <w:right w:w="105" w:type="dxa"/>
            </w:tcMar>
          </w:tcPr>
          <w:p w14:paraId="250DCD3A" w14:textId="77777777" w:rsidR="00DC0003" w:rsidRDefault="00000000">
            <w:pPr>
              <w:rPr>
                <w:sz w:val="16"/>
                <w:szCs w:val="16"/>
              </w:rPr>
            </w:pPr>
            <w:r>
              <w:rPr>
                <w:sz w:val="16"/>
                <w:szCs w:val="16"/>
              </w:rPr>
              <w:t>40</w:t>
            </w:r>
          </w:p>
        </w:tc>
      </w:tr>
      <w:tr w:rsidR="00DC0003" w14:paraId="163B28B9" w14:textId="77777777">
        <w:trPr>
          <w:trHeight w:val="300"/>
        </w:trPr>
        <w:tc>
          <w:tcPr>
            <w:tcW w:w="1073" w:type="dxa"/>
            <w:tcMar>
              <w:left w:w="105" w:type="dxa"/>
              <w:right w:w="105" w:type="dxa"/>
            </w:tcMar>
          </w:tcPr>
          <w:p w14:paraId="5D916BA1" w14:textId="77777777" w:rsidR="00DC0003" w:rsidRDefault="00000000">
            <w:pPr>
              <w:rPr>
                <w:sz w:val="16"/>
                <w:szCs w:val="16"/>
              </w:rPr>
            </w:pPr>
            <w:r>
              <w:rPr>
                <w:sz w:val="16"/>
                <w:szCs w:val="16"/>
              </w:rPr>
              <w:t xml:space="preserve">Energy Consumption (J)    </w:t>
            </w:r>
          </w:p>
          <w:p w14:paraId="2EDAE05F" w14:textId="77777777" w:rsidR="00DC0003" w:rsidRDefault="00DC0003">
            <w:pPr>
              <w:rPr>
                <w:sz w:val="16"/>
                <w:szCs w:val="16"/>
              </w:rPr>
            </w:pPr>
          </w:p>
        </w:tc>
        <w:tc>
          <w:tcPr>
            <w:tcW w:w="730" w:type="dxa"/>
            <w:tcMar>
              <w:left w:w="105" w:type="dxa"/>
              <w:right w:w="105" w:type="dxa"/>
            </w:tcMar>
          </w:tcPr>
          <w:p w14:paraId="1DDE7109" w14:textId="77777777" w:rsidR="00DC0003" w:rsidRDefault="00000000">
            <w:pPr>
              <w:rPr>
                <w:sz w:val="16"/>
                <w:szCs w:val="16"/>
              </w:rPr>
            </w:pPr>
            <w:r>
              <w:rPr>
                <w:sz w:val="16"/>
                <w:szCs w:val="16"/>
              </w:rPr>
              <w:t>12.5</w:t>
            </w:r>
          </w:p>
        </w:tc>
        <w:tc>
          <w:tcPr>
            <w:tcW w:w="1071" w:type="dxa"/>
            <w:tcMar>
              <w:left w:w="105" w:type="dxa"/>
              <w:right w:w="105" w:type="dxa"/>
            </w:tcMar>
          </w:tcPr>
          <w:p w14:paraId="79A3158C" w14:textId="77777777" w:rsidR="00DC0003" w:rsidRDefault="00000000">
            <w:pPr>
              <w:rPr>
                <w:sz w:val="16"/>
                <w:szCs w:val="16"/>
              </w:rPr>
            </w:pPr>
            <w:r>
              <w:rPr>
                <w:sz w:val="16"/>
                <w:szCs w:val="16"/>
              </w:rPr>
              <w:t>7.2</w:t>
            </w:r>
          </w:p>
        </w:tc>
        <w:tc>
          <w:tcPr>
            <w:tcW w:w="1010" w:type="dxa"/>
            <w:tcMar>
              <w:left w:w="105" w:type="dxa"/>
              <w:right w:w="105" w:type="dxa"/>
            </w:tcMar>
          </w:tcPr>
          <w:p w14:paraId="007E8D4E" w14:textId="77777777" w:rsidR="00DC0003" w:rsidRDefault="00000000">
            <w:pPr>
              <w:rPr>
                <w:sz w:val="16"/>
                <w:szCs w:val="16"/>
              </w:rPr>
            </w:pPr>
            <w:r>
              <w:rPr>
                <w:sz w:val="16"/>
                <w:szCs w:val="16"/>
              </w:rPr>
              <w:t>4.1</w:t>
            </w:r>
          </w:p>
        </w:tc>
        <w:tc>
          <w:tcPr>
            <w:tcW w:w="920" w:type="dxa"/>
            <w:tcMar>
              <w:left w:w="105" w:type="dxa"/>
              <w:right w:w="105" w:type="dxa"/>
            </w:tcMar>
          </w:tcPr>
          <w:p w14:paraId="11FF9D1D" w14:textId="77777777" w:rsidR="00DC0003" w:rsidRDefault="00000000">
            <w:pPr>
              <w:rPr>
                <w:sz w:val="16"/>
                <w:szCs w:val="16"/>
              </w:rPr>
            </w:pPr>
            <w:r>
              <w:rPr>
                <w:sz w:val="16"/>
                <w:szCs w:val="16"/>
              </w:rPr>
              <w:t>4.8</w:t>
            </w:r>
          </w:p>
        </w:tc>
      </w:tr>
    </w:tbl>
    <w:p w14:paraId="7695EF3F" w14:textId="77777777" w:rsidR="00DC0003" w:rsidRDefault="00000000">
      <w:pPr>
        <w:spacing w:after="200" w:line="276" w:lineRule="auto"/>
        <w:jc w:val="left"/>
        <w:rPr>
          <w:b/>
          <w:bCs/>
          <w:i/>
          <w:iCs/>
          <w:color w:val="F9FAFB"/>
        </w:rPr>
      </w:pPr>
      <w:r>
        <w:rPr>
          <w:noProof/>
        </w:rPr>
        <w:drawing>
          <wp:inline distT="0" distB="0" distL="0" distR="0" wp14:anchorId="621BFE99" wp14:editId="67032D6A">
            <wp:extent cx="3248025" cy="193357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248025" cy="1933575"/>
                    </a:xfrm>
                    <a:prstGeom prst="rect">
                      <a:avLst/>
                    </a:prstGeom>
                    <a:ln/>
                  </pic:spPr>
                </pic:pic>
              </a:graphicData>
            </a:graphic>
          </wp:inline>
        </w:drawing>
      </w:r>
      <w:r>
        <w:rPr>
          <w:i/>
          <w:iCs/>
          <w:sz w:val="16"/>
          <w:szCs w:val="16"/>
        </w:rPr>
        <w:t xml:space="preserve">    Fig. 4. Efficiency Comparison of NLP-Based Phishing Detection Models</w:t>
      </w:r>
    </w:p>
    <w:p w14:paraId="7108489F" w14:textId="77777777" w:rsidR="00DC0003" w:rsidRDefault="00000000">
      <w:pPr>
        <w:jc w:val="both"/>
      </w:pPr>
      <w:r>
        <w:t xml:space="preserve">      Figure 4 presents a comprehensive efficiency comparison across five critical operational metrics essential for real-world deployment. The visualization reveals distinct efficiency profiles for each model architecture. While TinyBERT achieves the lowest inference time (45ms) and memory usage (320MB), our approach maintains competitive latency (52ms) and memory footprint (350MB) while delivering superior accuracy (95.7% vs. 93.2%). Notably, our throughput of 210 emails/second represents a 147% improvement over BERT-base (85 emails/second) while using 71% less memory. The CPU utilization of 40% and energy consumption of 4.8J per inference demonstrate our model's suitability for energy-constrained environments and sustainable AI deployment practices.</w:t>
      </w:r>
    </w:p>
    <w:p w14:paraId="65D6E03D" w14:textId="77777777" w:rsidR="00DC0003" w:rsidRDefault="00DC0003">
      <w:pPr>
        <w:spacing w:after="200" w:line="276" w:lineRule="auto"/>
        <w:rPr>
          <w:i/>
          <w:iCs/>
        </w:rPr>
      </w:pPr>
    </w:p>
    <w:p w14:paraId="7F657453" w14:textId="77777777" w:rsidR="00DC0003" w:rsidRDefault="00DC0003">
      <w:pPr>
        <w:spacing w:after="200" w:line="276" w:lineRule="auto"/>
        <w:rPr>
          <w:i/>
          <w:iCs/>
        </w:rPr>
      </w:pPr>
    </w:p>
    <w:p w14:paraId="722C9121" w14:textId="77777777" w:rsidR="00DC0003" w:rsidRDefault="00000000">
      <w:pPr>
        <w:spacing w:after="200" w:line="276" w:lineRule="auto"/>
        <w:rPr>
          <w:i/>
          <w:iCs/>
        </w:rPr>
      </w:pPr>
      <w:r>
        <w:rPr>
          <w:i/>
          <w:iCs/>
        </w:rPr>
        <w:t>D. ROC Curve Analysis</w:t>
      </w:r>
    </w:p>
    <w:p w14:paraId="32C89E4B" w14:textId="77777777" w:rsidR="00DC0003" w:rsidRDefault="00000000">
      <w:pPr>
        <w:spacing w:line="259" w:lineRule="auto"/>
        <w:rPr>
          <w:i/>
          <w:iCs/>
          <w:sz w:val="16"/>
          <w:szCs w:val="16"/>
        </w:rPr>
      </w:pPr>
      <w:r>
        <w:rPr>
          <w:noProof/>
        </w:rPr>
        <w:drawing>
          <wp:inline distT="0" distB="0" distL="0" distR="0" wp14:anchorId="7FF222AE" wp14:editId="072971FD">
            <wp:extent cx="3238500" cy="18478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238500" cy="1847850"/>
                    </a:xfrm>
                    <a:prstGeom prst="rect">
                      <a:avLst/>
                    </a:prstGeom>
                    <a:ln/>
                  </pic:spPr>
                </pic:pic>
              </a:graphicData>
            </a:graphic>
          </wp:inline>
        </w:drawing>
      </w:r>
      <w:r>
        <w:rPr>
          <w:i/>
          <w:iCs/>
          <w:sz w:val="16"/>
          <w:szCs w:val="16"/>
        </w:rPr>
        <w:t>Fig. 5.</w:t>
      </w:r>
      <w:r>
        <w:rPr>
          <w:sz w:val="16"/>
          <w:szCs w:val="16"/>
        </w:rPr>
        <w:t xml:space="preserve"> </w:t>
      </w:r>
      <w:r>
        <w:rPr>
          <w:i/>
          <w:iCs/>
          <w:sz w:val="16"/>
          <w:szCs w:val="16"/>
        </w:rPr>
        <w:t>ROC curve comparison of different models for phishing detection</w:t>
      </w:r>
    </w:p>
    <w:p w14:paraId="556D6E19" w14:textId="77777777" w:rsidR="00DC0003" w:rsidRDefault="00DC0003">
      <w:pPr>
        <w:spacing w:line="259" w:lineRule="auto"/>
      </w:pPr>
    </w:p>
    <w:p w14:paraId="6225A087" w14:textId="77777777" w:rsidR="00DC0003" w:rsidRDefault="00000000">
      <w:pPr>
        <w:jc w:val="both"/>
      </w:pPr>
      <w:r>
        <w:t xml:space="preserve">   The Receiver Operating Characteristic (ROC) curve in Fig. 5 highlights the strong discriminative power of our distilled approach, which achieves an Area Under the Curve (AUC) of 0.985. This performance closely approaches the BERT-base teacher model (AUC=0.991) and significantly outperforms both standard TinyBERT (AUC=0.962) and the SVM baseline (AUC=0.934). The curve's steep initial rise indicates high true positive rates at low false positive rates, an essential requirement for minimizing disruptions to legitimate enterprise communication. Furthermore, the tight alignment between the distilled and teacher models validates the efficacy of our knowledge distillation methodology. The 0.023 AUC improvement over standard TinyBERT specifically underscores the value of our task-specific enhancements, demonstrating that attention transfer and progressive distillation better preserve critical phishing-relevant features.</w:t>
      </w:r>
    </w:p>
    <w:p w14:paraId="588C4703" w14:textId="77777777" w:rsidR="00DC0003" w:rsidRDefault="00000000">
      <w:pPr>
        <w:jc w:val="both"/>
      </w:pPr>
      <w:r>
        <w:t>Regarding deployment performance, our containerized architecture processes 180-220 emails per second per instance while maintaining a P99 latency under 100ms. This throughput, supported by auto-scaling capabilities for peak periods, readily fulfills medium to large enterprise demands. Additionally, the low memory footprint of under 400MB per instance ensures cost-effective deployment on standard cloud infrastructure.</w:t>
      </w:r>
    </w:p>
    <w:p w14:paraId="188D347B" w14:textId="77777777" w:rsidR="00DC0003" w:rsidRDefault="00DC0003">
      <w:pPr>
        <w:jc w:val="both"/>
      </w:pPr>
    </w:p>
    <w:p w14:paraId="7C2305DB" w14:textId="77777777" w:rsidR="00DC0003" w:rsidRDefault="00000000">
      <w:pPr>
        <w:rPr>
          <w:i/>
          <w:iCs/>
        </w:rPr>
      </w:pPr>
      <w:r>
        <w:rPr>
          <w:i/>
          <w:iCs/>
        </w:rPr>
        <w:t xml:space="preserve">    </w:t>
      </w:r>
    </w:p>
    <w:p w14:paraId="66A4A515" w14:textId="77777777" w:rsidR="00DC0003" w:rsidRDefault="00000000">
      <w:pPr>
        <w:spacing w:after="200" w:line="276" w:lineRule="auto"/>
        <w:rPr>
          <w:b/>
          <w:bCs/>
          <w:i/>
          <w:iCs/>
          <w:color w:val="2E75B5"/>
        </w:rPr>
      </w:pPr>
      <w:r>
        <w:rPr>
          <w:i/>
          <w:iCs/>
        </w:rPr>
        <w:t>E. Confusion Matrix Analysis</w:t>
      </w:r>
    </w:p>
    <w:p w14:paraId="555E00A7" w14:textId="77777777" w:rsidR="00DC0003" w:rsidRDefault="00000000">
      <w:pPr>
        <w:rPr>
          <w:i/>
          <w:iCs/>
        </w:rPr>
      </w:pPr>
      <w:r>
        <w:rPr>
          <w:noProof/>
        </w:rPr>
        <w:drawing>
          <wp:inline distT="0" distB="0" distL="0" distR="0" wp14:anchorId="5C06A54A" wp14:editId="05FFF26F">
            <wp:extent cx="3272180" cy="2070571"/>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3272180" cy="2070571"/>
                    </a:xfrm>
                    <a:prstGeom prst="rect">
                      <a:avLst/>
                    </a:prstGeom>
                    <a:ln/>
                  </pic:spPr>
                </pic:pic>
              </a:graphicData>
            </a:graphic>
          </wp:inline>
        </w:drawing>
      </w:r>
      <w:r>
        <w:rPr>
          <w:i/>
          <w:iCs/>
        </w:rPr>
        <w:t>Fig. 6. Confusion matrix of the proposed distilled model</w:t>
      </w:r>
    </w:p>
    <w:p w14:paraId="124BE156" w14:textId="77777777" w:rsidR="00DC0003" w:rsidRDefault="00000000">
      <w:r>
        <w:rPr>
          <w:i/>
          <w:iCs/>
        </w:rPr>
        <w:t xml:space="preserve">    </w:t>
      </w:r>
    </w:p>
    <w:p w14:paraId="04104B7B" w14:textId="77777777" w:rsidR="00DC0003" w:rsidRDefault="00000000">
      <w:pPr>
        <w:jc w:val="both"/>
      </w:pPr>
      <w:r>
        <w:t xml:space="preserve">    The confusion matrix (Fig. 6) provides granular insight into the classification behavior of our distilled model on the test dataset of 99,000 emails. With 47,700 true positives and 47,961 true negatives, the model demonstrates balanced performance across both classes, achieving an overall accuracy of 96.7%. The false positive rate of 4.1% (2,039/50,000) and false negative rate of 4.6% (2,300/49,000) are closely matched, indicating that the model does not disproportionately sacrifice one error type for another a common challenge in security classification systems where class imbalance often leads to skewed error distributions.</w:t>
      </w:r>
    </w:p>
    <w:p w14:paraId="002C59BF" w14:textId="77777777" w:rsidR="00DC0003" w:rsidRDefault="00000000">
      <w:pPr>
        <w:jc w:val="both"/>
      </w:pPr>
      <w:r>
        <w:t xml:space="preserve">    The balanced performance with both precision and recall exceeding 95% validates our hybrid approach's effectiveness in maintaining detection accuracy while achieving computational efficiency through distillation.</w:t>
      </w:r>
    </w:p>
    <w:p w14:paraId="407BA05F" w14:textId="77777777" w:rsidR="00DC0003" w:rsidRDefault="00DC0003">
      <w:pPr>
        <w:rPr>
          <w:i/>
          <w:iCs/>
        </w:rPr>
      </w:pPr>
    </w:p>
    <w:p w14:paraId="61C427E4" w14:textId="77777777" w:rsidR="00DC0003" w:rsidRDefault="00000000">
      <w:pPr>
        <w:rPr>
          <w:b/>
          <w:bCs/>
          <w:i/>
          <w:iCs/>
          <w:color w:val="2E75B5"/>
        </w:rPr>
      </w:pPr>
      <w:r>
        <w:rPr>
          <w:i/>
          <w:iCs/>
        </w:rPr>
        <w:t>F. Discussion</w:t>
      </w:r>
    </w:p>
    <w:p w14:paraId="3D3B33B7" w14:textId="77777777" w:rsidR="00DC0003" w:rsidRDefault="00000000">
      <w:pPr>
        <w:jc w:val="both"/>
      </w:pPr>
      <w:r>
        <w:t xml:space="preserve">     The experimental results demonstrate that our knowledge distillation framework successfully balances detection accuracy with operational efficiency. While achieving 95.7% F1-score only 0.8% below the teacher BERT-base model our approach reduces model size by 85% (from 440MB to 65MB) and decreases inference latency by 61% (from 135ms to 52ms). This performance-efficiency trade-off represents a significant advancement for real-world deployment, where computational constraints often force organizations to choose between accuracy and practicality.</w:t>
      </w:r>
    </w:p>
    <w:p w14:paraId="233BBDD0" w14:textId="77777777" w:rsidR="00DC0003" w:rsidRDefault="00000000">
      <w:pPr>
        <w:jc w:val="both"/>
      </w:pPr>
      <w:r>
        <w:t>Compared to existing distilled models, our approach shows a 2.5% improvement in accuracy over standard TinyBERT and a 0.9% improvement over DistilBERT, while maintaining competitive efficiency metrics. This enhancement can be attributed to our task-specific distillation strategy, which preserves phishing-relevant attention patterns and semantic features through progressive distillation and auxiliary task training. The hybrid classification engine, which fuses transformer embeddings with traditional security features, further contributes to this performance by providing multiple complementary signals for threat detection.</w:t>
      </w:r>
    </w:p>
    <w:p w14:paraId="45ED8F3B" w14:textId="77777777" w:rsidR="00DC0003" w:rsidRDefault="00000000">
      <w:pPr>
        <w:jc w:val="both"/>
      </w:pPr>
      <w:r>
        <w:t xml:space="preserve">The deployment performance metrics indicate that our containerized architecture can process 210 emails per second per container instance while maintaining P99 latency under 100ms. This throughput meets the requirements of medium to large enterprise environments, with the auto-scaling </w:t>
      </w:r>
      <w:r>
        <w:lastRenderedPageBreak/>
        <w:t>capability supporting higher volumes during peak periods. The memory footprint of 350MB per instance enables cost-effective deployment on standard cloud infrastructure, while the energy consumption of 4.8J per inference represents an 84% reduction compared to the BERT-base model, contributing to sustainable AI deployment practices.</w:t>
      </w:r>
    </w:p>
    <w:p w14:paraId="459CACE4" w14:textId="77777777" w:rsidR="00DC0003" w:rsidRDefault="00DC0003">
      <w:pPr>
        <w:jc w:val="both"/>
        <w:rPr>
          <w:i/>
          <w:iCs/>
        </w:rPr>
      </w:pPr>
    </w:p>
    <w:p w14:paraId="26A1743B" w14:textId="77777777" w:rsidR="00DC0003" w:rsidRDefault="00000000">
      <w:pPr>
        <w:rPr>
          <w:i/>
          <w:iCs/>
        </w:rPr>
      </w:pPr>
      <w:r>
        <w:rPr>
          <w:i/>
          <w:iCs/>
        </w:rPr>
        <w:t>G. Limitations and Future Improvements</w:t>
      </w:r>
    </w:p>
    <w:p w14:paraId="1AF4C743" w14:textId="77777777" w:rsidR="00DC0003" w:rsidRDefault="00000000">
      <w:pPr>
        <w:jc w:val="both"/>
      </w:pPr>
      <w:r>
        <w:t xml:space="preserve">  While our approach demonstrates promising results, several limitations warrant consideration. The performance evaluation, though comprehensive, was conducted in controlled environments and requires validation in real-world production settings with evolving attack patterns. The framework's effectiveness against highly sophisticated, targeted phishing attacks employing advanced social engineering techniques needs further investigation. Additionally, the current implementation focuses primarily on email content analysis, with limited integration of behavioral patterns and external threat intelligence.</w:t>
      </w:r>
    </w:p>
    <w:p w14:paraId="3B8D2849" w14:textId="77777777" w:rsidR="00DC0003" w:rsidRDefault="00000000">
      <w:pPr>
        <w:jc w:val="both"/>
      </w:pPr>
      <w:r>
        <w:t>Future improvements will address these limitations through:</w:t>
      </w:r>
    </w:p>
    <w:p w14:paraId="314F5548" w14:textId="77777777" w:rsidR="00DC0003" w:rsidRDefault="00000000">
      <w:pPr>
        <w:numPr>
          <w:ilvl w:val="0"/>
          <w:numId w:val="1"/>
        </w:numPr>
        <w:pBdr>
          <w:top w:val="nil"/>
          <w:left w:val="nil"/>
          <w:bottom w:val="nil"/>
          <w:right w:val="nil"/>
          <w:between w:val="nil"/>
        </w:pBdr>
        <w:spacing w:line="259" w:lineRule="auto"/>
        <w:jc w:val="left"/>
        <w:rPr>
          <w:color w:val="000000"/>
        </w:rPr>
      </w:pPr>
      <w:r>
        <w:rPr>
          <w:color w:val="000000"/>
        </w:rPr>
        <w:t>Longitudinal studies in production environments across multiple organizations</w:t>
      </w:r>
    </w:p>
    <w:p w14:paraId="4B87800D" w14:textId="77777777" w:rsidR="00DC0003" w:rsidRDefault="00000000">
      <w:pPr>
        <w:numPr>
          <w:ilvl w:val="0"/>
          <w:numId w:val="1"/>
        </w:numPr>
        <w:pBdr>
          <w:top w:val="nil"/>
          <w:left w:val="nil"/>
          <w:bottom w:val="nil"/>
          <w:right w:val="nil"/>
          <w:between w:val="nil"/>
        </w:pBdr>
        <w:spacing w:line="259" w:lineRule="auto"/>
        <w:jc w:val="left"/>
        <w:rPr>
          <w:color w:val="000000"/>
        </w:rPr>
      </w:pPr>
      <w:r>
        <w:rPr>
          <w:color w:val="000000"/>
        </w:rPr>
        <w:t>Enhanced detection of adversarial phishing techniques using generative AI</w:t>
      </w:r>
    </w:p>
    <w:p w14:paraId="284844D9" w14:textId="77777777" w:rsidR="00DC0003" w:rsidRDefault="00000000">
      <w:pPr>
        <w:numPr>
          <w:ilvl w:val="0"/>
          <w:numId w:val="1"/>
        </w:numPr>
        <w:pBdr>
          <w:top w:val="nil"/>
          <w:left w:val="nil"/>
          <w:bottom w:val="nil"/>
          <w:right w:val="nil"/>
          <w:between w:val="nil"/>
        </w:pBdr>
        <w:spacing w:line="259" w:lineRule="auto"/>
        <w:jc w:val="left"/>
        <w:rPr>
          <w:color w:val="000000"/>
        </w:rPr>
      </w:pPr>
      <w:r>
        <w:rPr>
          <w:color w:val="000000"/>
        </w:rPr>
        <w:t>Integration of user behavior analytics and email interaction pattern.</w:t>
      </w:r>
    </w:p>
    <w:p w14:paraId="7785EF4D" w14:textId="77777777" w:rsidR="00DC0003" w:rsidRDefault="00000000">
      <w:pPr>
        <w:numPr>
          <w:ilvl w:val="0"/>
          <w:numId w:val="1"/>
        </w:numPr>
        <w:pBdr>
          <w:top w:val="nil"/>
          <w:left w:val="nil"/>
          <w:bottom w:val="nil"/>
          <w:right w:val="nil"/>
          <w:between w:val="nil"/>
        </w:pBdr>
        <w:spacing w:after="160" w:line="259" w:lineRule="auto"/>
        <w:jc w:val="left"/>
        <w:rPr>
          <w:color w:val="000000"/>
        </w:rPr>
      </w:pPr>
      <w:r>
        <w:rPr>
          <w:color w:val="000000"/>
        </w:rPr>
        <w:t>Development of adaptive learning mechanisms that continuously update the model based on new phishing campaigns while maintaining backward compatibility with existing infrastructure.</w:t>
      </w:r>
    </w:p>
    <w:p w14:paraId="683A5F32" w14:textId="77777777" w:rsidR="00DC0003" w:rsidRDefault="00000000">
      <w:pPr>
        <w:pStyle w:val="Heading1"/>
        <w:rPr>
          <w:sz w:val="22"/>
          <w:szCs w:val="22"/>
        </w:rPr>
      </w:pPr>
      <w:r>
        <w:rPr>
          <w:sz w:val="22"/>
          <w:szCs w:val="22"/>
        </w:rPr>
        <w:t xml:space="preserve">v. </w:t>
      </w:r>
      <w:r>
        <w:t>Conclusion</w:t>
      </w:r>
    </w:p>
    <w:p w14:paraId="2262F5AE" w14:textId="77777777" w:rsidR="00DC0003" w:rsidRDefault="00000000">
      <w:pPr>
        <w:jc w:val="both"/>
        <w:rPr>
          <w:color w:val="000000"/>
        </w:rPr>
      </w:pPr>
      <w:r>
        <w:rPr>
          <w:color w:val="000000"/>
        </w:rPr>
        <w:t xml:space="preserve">     This paper has presented a specialized knowledge distillation framework for enterprise email phishing detection that addresses the fundamental trade-off between model accuracy and computational efficiency. The proposed methodology makes three original contributions to the field. First, a task-specific compression strategy was developed that preserves phishing-relevant semantic features through attention transfer and progressive distillation [16], [17], achieving a 2.5% accuracy improvement over standard TinyBERT while maintaining comparable operational efficiency. Second, a hybrid detection architecture was introduced that integrates distilled transformer representations with conventional cybersecurity features [14], [15], yielding robust discrimination performance (AUC = 0.985) across diverse attack vectors. Third, a production-ready deployment implementation was validated that attains 95.7% detection accuracy while reducing model size by 85% and inference latency by 61% compared to conventional BERT models [1], [2], establishing a practical benchmark for resource-constrained security applications.</w:t>
      </w:r>
    </w:p>
    <w:p w14:paraId="4977D8FF" w14:textId="77777777" w:rsidR="00DC0003" w:rsidRDefault="00000000">
      <w:pPr>
        <w:jc w:val="both"/>
        <w:rPr>
          <w:color w:val="000000"/>
        </w:rPr>
      </w:pPr>
      <w:r>
        <w:rPr>
          <w:color w:val="000000"/>
        </w:rPr>
        <w:t xml:space="preserve">The experimental results confirm that knowledge distillation can effectively bridge the gap between state-of-the-art natural language processing capabilities and real-world deployment constraints encountered in enterprise environments [12], [18]. The proposed framework achieves a balanced error profile (false positive rate = 4.1%, false negative rate = 4.6%) and sustained throughput of 210 emails per second per </w:t>
      </w:r>
      <w:r>
        <w:rPr>
          <w:color w:val="000000"/>
        </w:rPr>
        <w:t>container instance [11], [12], demonstrating that organizations need not sacrifice detection quality for operational efficiency. Furthermore, the 84% reduction in energy consumption per inference contributes to the growing imperative for sustainable artificial intelligence practices in cybersecurity applications[9],[10].</w:t>
      </w:r>
    </w:p>
    <w:p w14:paraId="15CC7EBD" w14:textId="77777777" w:rsidR="00DC0003" w:rsidRDefault="00DC0003">
      <w:pPr>
        <w:jc w:val="both"/>
        <w:rPr>
          <w:color w:val="000000"/>
        </w:rPr>
      </w:pPr>
    </w:p>
    <w:p w14:paraId="6126D2CE" w14:textId="77777777" w:rsidR="00DC0003" w:rsidRDefault="00000000">
      <w:pPr>
        <w:pBdr>
          <w:top w:val="nil"/>
          <w:left w:val="nil"/>
          <w:bottom w:val="nil"/>
          <w:right w:val="nil"/>
          <w:between w:val="nil"/>
        </w:pBdr>
        <w:tabs>
          <w:tab w:val="left" w:pos="288"/>
        </w:tabs>
        <w:spacing w:after="120" w:line="228" w:lineRule="auto"/>
        <w:ind w:firstLine="288"/>
        <w:jc w:val="both"/>
        <w:rPr>
          <w:smallCaps/>
          <w:color w:val="000000"/>
        </w:rPr>
      </w:pPr>
      <w:r>
        <w:rPr>
          <w:smallCaps/>
          <w:color w:val="000000"/>
          <w:sz w:val="19"/>
          <w:szCs w:val="19"/>
        </w:rPr>
        <w:t xml:space="preserve">                                   </w:t>
      </w:r>
      <w:r>
        <w:rPr>
          <w:smallCaps/>
          <w:color w:val="000000"/>
        </w:rPr>
        <w:t xml:space="preserve">Acknowledgment </w:t>
      </w:r>
    </w:p>
    <w:p w14:paraId="297200E1" w14:textId="77777777" w:rsidR="00DC0003" w:rsidRDefault="00000000">
      <w:pPr>
        <w:jc w:val="both"/>
        <w:rPr>
          <w:color w:val="000000"/>
        </w:rPr>
      </w:pPr>
      <w:r>
        <w:rPr>
          <w:color w:val="000000"/>
        </w:rPr>
        <w:t xml:space="preserve">     We wish to convey our heartfelt appreciation to the faculty members for their exceptional mentorship, insightful suggestions, and unwavering encouragement throughout this research endeavor. We are also thankful to the Department of Information and Communication Technology at Bangladesh University of Professionals and the Department of Computer Science and Engineering at the Military Institute of Science and Technology for providing essential facilities and administrative support. Furthermore, we recognize the contributions of the cybersecurity research community for offering publicly available datasets and open-source tools, which were instrumental in completing this work.</w:t>
      </w:r>
    </w:p>
    <w:p w14:paraId="15987BA0" w14:textId="77777777" w:rsidR="00DC0003" w:rsidRDefault="00DC0003">
      <w:pPr>
        <w:jc w:val="both"/>
        <w:rPr>
          <w:color w:val="000000"/>
        </w:rPr>
      </w:pPr>
    </w:p>
    <w:p w14:paraId="15CB7255" w14:textId="77777777" w:rsidR="00DC0003" w:rsidRDefault="00000000">
      <w:pPr>
        <w:pBdr>
          <w:top w:val="nil"/>
          <w:left w:val="nil"/>
          <w:bottom w:val="nil"/>
          <w:right w:val="nil"/>
          <w:between w:val="nil"/>
        </w:pBdr>
        <w:spacing w:after="50" w:line="180" w:lineRule="auto"/>
        <w:ind w:left="360" w:hanging="360"/>
        <w:rPr>
          <w:color w:val="000000"/>
        </w:rPr>
      </w:pPr>
      <w:r>
        <w:rPr>
          <w:smallCaps/>
          <w:color w:val="000000"/>
        </w:rPr>
        <w:t>References</w:t>
      </w:r>
    </w:p>
    <w:p w14:paraId="38EDEC1D"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J. Devlin, M.-W. Chang, K. Lee, and K. Toutanova, "BERT: Pre-training of deep bidirectional transformers for language understanding," in *Proc. North Amer. Chapter Assoc. Comput. Linguistics: Hum. Lang. Technol. (NAACL-HLT)*, 2019, pp. 4171-4186.</w:t>
      </w:r>
    </w:p>
    <w:p w14:paraId="1A87E815"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G. Hinton, O. Vinyals, and J. Dean, "Distilling the knowledge in a neural network," in *Proc. Neural Inf. Process. Syst. (NeurIPS) Deep Learning Workshop*, 2014.</w:t>
      </w:r>
    </w:p>
    <w:p w14:paraId="6ADF3568"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I. Fette, N. Sadeh, and A. Tomasic, "Learning to detect phishing emails," in *Proc. 16th Int. Conf. World Wide Web (WWW)*, 2007, pp. 649-656.</w:t>
      </w:r>
    </w:p>
    <w:p w14:paraId="1010D770"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A. Bergholz, J. D. Paass, F. Reichartz, S. R. K. G., and S. Strobel, "Improved phishing detection using model-based features," in *Proc. Conf. Email Anti-Spam (CEAS)*, 2008.</w:t>
      </w:r>
    </w:p>
    <w:p w14:paraId="71259284"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M. Khonji, Y. Iraqi, and A. Jones, "Phishing detection: A literature survey," *IEEE Commun. Surveys Tuts.*, vol. 15, no. 4, pp. 2091-2121, 2013.</w:t>
      </w:r>
    </w:p>
    <w:p w14:paraId="4972BFF3"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Y. Liu et al., "Deep learning for generic object detection: A survey," *Int. J. Comput. Vis.*, vol. 128, no. 2, pp. 261-318, 2020.</w:t>
      </w:r>
    </w:p>
    <w:p w14:paraId="523A99A1"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S. Hochreiter and J. Schmidhuber, "Long short-term memory," *Neural Comput.*, vol. 9, no. 8, pp. 1735-1780, 1997.</w:t>
      </w:r>
    </w:p>
    <w:p w14:paraId="2D2492DA"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T. G. Dietterich, "Ensemble methods in machine learning," in *Proc. 1st Int. Workshop Multiple Classifier Syst. (MCS)*, 2000, pp. 1-15.</w:t>
      </w:r>
    </w:p>
    <w:p w14:paraId="6F22751B"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T. Liang, J. Glossner, L. Wang, and S. Shi, "Pruning and quantization for deep neural network acceleration: A survey," *Neurocomputing*, vol. 461, pp. 370-403, 2021.</w:t>
      </w:r>
    </w:p>
    <w:p w14:paraId="17F38AB1"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ONNX Runtime Team, "ONNX Runtime: Performance-focused inference for ONNX models," in *Proc. ML Systems Workshop*, 2021.</w:t>
      </w:r>
    </w:p>
    <w:p w14:paraId="751C61C5"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A. Balalaie, A. Heydarnoori, and P. Jamshidi, "Microservices architecture enables DevOps: A systematic mapping study," *J. Syst. Softw.*, vol. 164, p. 110552, 2020.</w:t>
      </w:r>
    </w:p>
    <w:p w14:paraId="5CDFA89E"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B. Burns, B. Grant, D. Oppenheimer, E. Brewer, and J. Wilkes, "Borg, Omega, and Kubernetes: Lessons from three container-management systems over a decade," *ACM Queue*, vol. 14, no. 1, pp. 70-93, 2016.</w:t>
      </w:r>
    </w:p>
    <w:p w14:paraId="0B549E87"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T. A. Le, "FastAPI: A modern Python framework for building APIs," in *Proc. Python Sci. Eng. Conf. (PyCon)*, 2021.</w:t>
      </w:r>
    </w:p>
    <w:p w14:paraId="48524E73"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J. Pennington, R. Socher, and C. D. Manning, "GloVe: Global vectors for word representation," in *Proc. Conf. Empirical Methods Natural Lang. Process. (EMNLP)*, 2014, pp. 1532-1543.</w:t>
      </w:r>
    </w:p>
    <w:p w14:paraId="18986E77"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A. Verma, S. K. Peddoju, and P. K. Shukla, "Multimodal feature fusion for phishing email detection using deep learning," *Computers &amp; Security*, vol. 108, 102355, 2021.</w:t>
      </w:r>
    </w:p>
    <w:p w14:paraId="2AD29928"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X. Jiao, Y. Yin, L. Shang, X. Jiang, X. Chen, and Q. Liu, "TinyBERT: Distilling BERT for natural language understanding," in *Findings Assoc. Comput. Linguistics: EMNLP*, 2020, pp. 4163-4174.</w:t>
      </w:r>
    </w:p>
    <w:p w14:paraId="6C4A69C5"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S. I. Mirzadeh, M. Farajtabar, A. Li, and H. Ghasemzadeh, "Improved knowledge distillation via teacher assistant," in *Proc. AAAI Conf. Artificial Intelligence*, vol. 34, no. 04, pp. 5191-5198, 2020.</w:t>
      </w:r>
    </w:p>
    <w:p w14:paraId="7DC8AD63"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 xml:space="preserve"> J. Gou, B. Yu, S. J. Maybank, and D. Tao, "Knowledge distillation: A survey," *Int. J. Comput. Vis.*, vol. 129, pp. 1789-1819, 2021.</w:t>
      </w:r>
    </w:p>
    <w:p w14:paraId="16B0B4DD" w14:textId="77777777" w:rsidR="00DC0003" w:rsidRDefault="00000000">
      <w:pPr>
        <w:numPr>
          <w:ilvl w:val="0"/>
          <w:numId w:val="3"/>
        </w:numPr>
        <w:pBdr>
          <w:top w:val="nil"/>
          <w:left w:val="nil"/>
          <w:bottom w:val="nil"/>
          <w:right w:val="nil"/>
          <w:between w:val="nil"/>
        </w:pBdr>
        <w:spacing w:after="50" w:line="180" w:lineRule="auto"/>
        <w:jc w:val="both"/>
        <w:rPr>
          <w:color w:val="000000"/>
        </w:rPr>
      </w:pPr>
      <w:r>
        <w:rPr>
          <w:color w:val="000000"/>
          <w:sz w:val="16"/>
          <w:szCs w:val="16"/>
        </w:rPr>
        <w:t>Y. Zeng et al., "Phishing URL detection using BERT and adversarial training," *IEEE Access*, vol. 10, pp. 32145-32156, 2022.</w:t>
      </w:r>
    </w:p>
    <w:p w14:paraId="14174C8B" w14:textId="77777777" w:rsidR="00DC0003" w:rsidRDefault="00000000">
      <w:pPr>
        <w:numPr>
          <w:ilvl w:val="0"/>
          <w:numId w:val="3"/>
        </w:numPr>
        <w:pBdr>
          <w:top w:val="nil"/>
          <w:left w:val="nil"/>
          <w:bottom w:val="nil"/>
          <w:right w:val="nil"/>
          <w:between w:val="nil"/>
        </w:pBdr>
        <w:spacing w:after="50" w:line="180" w:lineRule="auto"/>
        <w:jc w:val="both"/>
        <w:sectPr w:rsidR="00DC0003">
          <w:headerReference w:type="default" r:id="rId17"/>
          <w:footerReference w:type="default" r:id="rId18"/>
          <w:type w:val="continuous"/>
          <w:pgSz w:w="11906" w:h="16838"/>
          <w:pgMar w:top="1080" w:right="907" w:bottom="1440" w:left="907" w:header="720" w:footer="720" w:gutter="0"/>
          <w:cols w:num="2" w:space="720" w:equalWidth="0">
            <w:col w:w="4865" w:space="360"/>
            <w:col w:w="4865" w:space="0"/>
          </w:cols>
        </w:sectPr>
      </w:pPr>
      <w:r>
        <w:rPr>
          <w:color w:val="000000"/>
          <w:sz w:val="16"/>
          <w:szCs w:val="16"/>
        </w:rPr>
        <w:t>N. Carlini et al., "Extracting training data from large language models," in *USENIX Security Symp.*, 2021, pp. 2633-2650.</w:t>
      </w:r>
    </w:p>
    <w:p w14:paraId="5CE02432" w14:textId="77777777" w:rsidR="00DC0003" w:rsidRDefault="00DC0003"/>
    <w:sectPr w:rsidR="00DC0003">
      <w:headerReference w:type="default" r:id="rId19"/>
      <w:footerReference w:type="default" r:id="rId20"/>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0A148" w14:textId="77777777" w:rsidR="00556BFF" w:rsidRDefault="00556BFF">
      <w:r>
        <w:separator/>
      </w:r>
    </w:p>
  </w:endnote>
  <w:endnote w:type="continuationSeparator" w:id="0">
    <w:p w14:paraId="233D7DAA" w14:textId="77777777" w:rsidR="00556BFF" w:rsidRDefault="00556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A3471190-8A5A-4226-B597-FACB043D71F7}"/>
  </w:font>
  <w:font w:name="Cambria">
    <w:panose1 w:val="02040503050406030204"/>
    <w:charset w:val="00"/>
    <w:family w:val="roman"/>
    <w:pitch w:val="variable"/>
    <w:sig w:usb0="E00006FF" w:usb1="420024FF" w:usb2="02000000" w:usb3="00000000" w:csb0="0000019F" w:csb1="00000000"/>
    <w:embedRegular r:id="rId2" w:fontKey="{91B46D09-9E00-444E-8993-3E5D694CE8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DE493" w14:textId="77777777" w:rsidR="00DC0003" w:rsidRDefault="00DC0003">
    <w:pPr>
      <w:widowControl w:val="0"/>
      <w:pBdr>
        <w:top w:val="nil"/>
        <w:left w:val="nil"/>
        <w:bottom w:val="nil"/>
        <w:right w:val="nil"/>
        <w:between w:val="nil"/>
      </w:pBdr>
      <w:spacing w:line="276" w:lineRule="auto"/>
      <w:jc w:val="left"/>
      <w:rPr>
        <w:color w:val="000000"/>
      </w:rPr>
    </w:pPr>
  </w:p>
  <w:tbl>
    <w:tblPr>
      <w:tblStyle w:val="a4"/>
      <w:tblW w:w="10110" w:type="dxa"/>
      <w:tblInd w:w="-115" w:type="dxa"/>
      <w:tblLayout w:type="fixed"/>
      <w:tblLook w:val="0600" w:firstRow="0" w:lastRow="0" w:firstColumn="0" w:lastColumn="0" w:noHBand="1" w:noVBand="1"/>
    </w:tblPr>
    <w:tblGrid>
      <w:gridCol w:w="3370"/>
      <w:gridCol w:w="3370"/>
      <w:gridCol w:w="3370"/>
    </w:tblGrid>
    <w:tr w:rsidR="00DC0003" w14:paraId="139613C9" w14:textId="77777777">
      <w:trPr>
        <w:trHeight w:val="300"/>
      </w:trPr>
      <w:tc>
        <w:tcPr>
          <w:tcW w:w="3370" w:type="dxa"/>
        </w:tcPr>
        <w:p w14:paraId="1156B47F" w14:textId="77777777" w:rsidR="00DC0003" w:rsidRDefault="00DC0003">
          <w:pPr>
            <w:pBdr>
              <w:top w:val="nil"/>
              <w:left w:val="nil"/>
              <w:bottom w:val="nil"/>
              <w:right w:val="nil"/>
              <w:between w:val="nil"/>
            </w:pBdr>
            <w:tabs>
              <w:tab w:val="center" w:pos="4680"/>
              <w:tab w:val="right" w:pos="9360"/>
            </w:tabs>
            <w:ind w:left="-115"/>
            <w:jc w:val="left"/>
            <w:rPr>
              <w:color w:val="000000"/>
            </w:rPr>
          </w:pPr>
        </w:p>
      </w:tc>
      <w:tc>
        <w:tcPr>
          <w:tcW w:w="3370" w:type="dxa"/>
        </w:tcPr>
        <w:p w14:paraId="46571E7D" w14:textId="77777777" w:rsidR="00DC0003" w:rsidRDefault="00DC0003">
          <w:pPr>
            <w:pBdr>
              <w:top w:val="nil"/>
              <w:left w:val="nil"/>
              <w:bottom w:val="nil"/>
              <w:right w:val="nil"/>
              <w:between w:val="nil"/>
            </w:pBdr>
            <w:tabs>
              <w:tab w:val="center" w:pos="4680"/>
              <w:tab w:val="right" w:pos="9360"/>
            </w:tabs>
            <w:rPr>
              <w:color w:val="000000"/>
            </w:rPr>
          </w:pPr>
        </w:p>
      </w:tc>
      <w:tc>
        <w:tcPr>
          <w:tcW w:w="3370" w:type="dxa"/>
        </w:tcPr>
        <w:p w14:paraId="17397DA6" w14:textId="77777777" w:rsidR="00DC0003" w:rsidRDefault="00DC0003">
          <w:pPr>
            <w:pBdr>
              <w:top w:val="nil"/>
              <w:left w:val="nil"/>
              <w:bottom w:val="nil"/>
              <w:right w:val="nil"/>
              <w:between w:val="nil"/>
            </w:pBdr>
            <w:tabs>
              <w:tab w:val="center" w:pos="4680"/>
              <w:tab w:val="right" w:pos="9360"/>
            </w:tabs>
            <w:ind w:right="-115"/>
            <w:jc w:val="right"/>
            <w:rPr>
              <w:color w:val="000000"/>
            </w:rPr>
          </w:pPr>
        </w:p>
      </w:tc>
    </w:tr>
  </w:tbl>
  <w:p w14:paraId="7F81CE9F" w14:textId="77777777" w:rsidR="00DC0003" w:rsidRDefault="00DC0003">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0135" w14:textId="77777777" w:rsidR="00DC0003" w:rsidRDefault="00000000">
    <w:pPr>
      <w:pBdr>
        <w:top w:val="nil"/>
        <w:left w:val="nil"/>
        <w:bottom w:val="nil"/>
        <w:right w:val="nil"/>
        <w:between w:val="nil"/>
      </w:pBdr>
      <w:tabs>
        <w:tab w:val="center" w:pos="4680"/>
        <w:tab w:val="right" w:pos="9360"/>
      </w:tabs>
      <w:jc w:val="left"/>
      <w:rPr>
        <w:color w:val="000000"/>
      </w:rPr>
    </w:pPr>
    <w:r>
      <w:rPr>
        <w:color w:val="000000"/>
        <w:sz w:val="16"/>
        <w:szCs w:val="16"/>
      </w:rPr>
      <w:t>979-8-3315-4990-9/26/$31.00 ©2026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38D5" w14:textId="77777777" w:rsidR="00DC0003" w:rsidRDefault="00DC0003">
    <w:pPr>
      <w:widowControl w:val="0"/>
      <w:pBdr>
        <w:top w:val="nil"/>
        <w:left w:val="nil"/>
        <w:bottom w:val="nil"/>
        <w:right w:val="nil"/>
        <w:between w:val="nil"/>
      </w:pBdr>
      <w:spacing w:line="276" w:lineRule="auto"/>
      <w:jc w:val="left"/>
      <w:rPr>
        <w:color w:val="000000"/>
      </w:rPr>
    </w:pPr>
  </w:p>
  <w:tbl>
    <w:tblPr>
      <w:tblStyle w:val="a5"/>
      <w:tblW w:w="10080" w:type="dxa"/>
      <w:tblInd w:w="-115" w:type="dxa"/>
      <w:tblLayout w:type="fixed"/>
      <w:tblLook w:val="0600" w:firstRow="0" w:lastRow="0" w:firstColumn="0" w:lastColumn="0" w:noHBand="1" w:noVBand="1"/>
    </w:tblPr>
    <w:tblGrid>
      <w:gridCol w:w="3360"/>
      <w:gridCol w:w="3360"/>
      <w:gridCol w:w="3360"/>
    </w:tblGrid>
    <w:tr w:rsidR="00DC0003" w14:paraId="0CD35120" w14:textId="77777777">
      <w:trPr>
        <w:trHeight w:val="300"/>
      </w:trPr>
      <w:tc>
        <w:tcPr>
          <w:tcW w:w="3360" w:type="dxa"/>
        </w:tcPr>
        <w:p w14:paraId="793500F8" w14:textId="77777777" w:rsidR="00DC0003" w:rsidRDefault="00DC0003">
          <w:pPr>
            <w:pBdr>
              <w:top w:val="nil"/>
              <w:left w:val="nil"/>
              <w:bottom w:val="nil"/>
              <w:right w:val="nil"/>
              <w:between w:val="nil"/>
            </w:pBdr>
            <w:tabs>
              <w:tab w:val="center" w:pos="4680"/>
              <w:tab w:val="right" w:pos="9360"/>
            </w:tabs>
            <w:ind w:left="-115"/>
            <w:jc w:val="left"/>
            <w:rPr>
              <w:color w:val="000000"/>
            </w:rPr>
          </w:pPr>
        </w:p>
      </w:tc>
      <w:tc>
        <w:tcPr>
          <w:tcW w:w="3360" w:type="dxa"/>
        </w:tcPr>
        <w:p w14:paraId="01730FC7" w14:textId="77777777" w:rsidR="00DC0003" w:rsidRDefault="00DC0003">
          <w:pPr>
            <w:pBdr>
              <w:top w:val="nil"/>
              <w:left w:val="nil"/>
              <w:bottom w:val="nil"/>
              <w:right w:val="nil"/>
              <w:between w:val="nil"/>
            </w:pBdr>
            <w:tabs>
              <w:tab w:val="center" w:pos="4680"/>
              <w:tab w:val="right" w:pos="9360"/>
            </w:tabs>
            <w:rPr>
              <w:color w:val="000000"/>
            </w:rPr>
          </w:pPr>
        </w:p>
      </w:tc>
      <w:tc>
        <w:tcPr>
          <w:tcW w:w="3360" w:type="dxa"/>
        </w:tcPr>
        <w:p w14:paraId="3630E523" w14:textId="77777777" w:rsidR="00DC0003" w:rsidRDefault="00DC0003">
          <w:pPr>
            <w:pBdr>
              <w:top w:val="nil"/>
              <w:left w:val="nil"/>
              <w:bottom w:val="nil"/>
              <w:right w:val="nil"/>
              <w:between w:val="nil"/>
            </w:pBdr>
            <w:tabs>
              <w:tab w:val="center" w:pos="4680"/>
              <w:tab w:val="right" w:pos="9360"/>
            </w:tabs>
            <w:ind w:right="-115"/>
            <w:jc w:val="right"/>
            <w:rPr>
              <w:color w:val="000000"/>
            </w:rPr>
          </w:pPr>
        </w:p>
      </w:tc>
    </w:tr>
  </w:tbl>
  <w:p w14:paraId="21DBFCA9" w14:textId="77777777" w:rsidR="00DC0003" w:rsidRDefault="00DC0003">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E2A4" w14:textId="77777777" w:rsidR="00DC0003" w:rsidRDefault="00DC0003">
    <w:pPr>
      <w:widowControl w:val="0"/>
      <w:pBdr>
        <w:top w:val="nil"/>
        <w:left w:val="nil"/>
        <w:bottom w:val="nil"/>
        <w:right w:val="nil"/>
        <w:between w:val="nil"/>
      </w:pBdr>
      <w:spacing w:line="276" w:lineRule="auto"/>
      <w:jc w:val="left"/>
      <w:rPr>
        <w:color w:val="000000"/>
      </w:rPr>
    </w:pPr>
  </w:p>
  <w:tbl>
    <w:tblPr>
      <w:tblStyle w:val="a6"/>
      <w:tblW w:w="10110" w:type="dxa"/>
      <w:tblInd w:w="-115" w:type="dxa"/>
      <w:tblLayout w:type="fixed"/>
      <w:tblLook w:val="0600" w:firstRow="0" w:lastRow="0" w:firstColumn="0" w:lastColumn="0" w:noHBand="1" w:noVBand="1"/>
    </w:tblPr>
    <w:tblGrid>
      <w:gridCol w:w="3370"/>
      <w:gridCol w:w="3370"/>
      <w:gridCol w:w="3370"/>
    </w:tblGrid>
    <w:tr w:rsidR="00DC0003" w14:paraId="0E2A5BA5" w14:textId="77777777">
      <w:trPr>
        <w:trHeight w:val="300"/>
      </w:trPr>
      <w:tc>
        <w:tcPr>
          <w:tcW w:w="3370" w:type="dxa"/>
        </w:tcPr>
        <w:p w14:paraId="2458944F" w14:textId="77777777" w:rsidR="00DC0003" w:rsidRDefault="00DC0003">
          <w:pPr>
            <w:pBdr>
              <w:top w:val="nil"/>
              <w:left w:val="nil"/>
              <w:bottom w:val="nil"/>
              <w:right w:val="nil"/>
              <w:between w:val="nil"/>
            </w:pBdr>
            <w:tabs>
              <w:tab w:val="center" w:pos="4680"/>
              <w:tab w:val="right" w:pos="9360"/>
            </w:tabs>
            <w:ind w:left="-115"/>
            <w:jc w:val="left"/>
            <w:rPr>
              <w:color w:val="000000"/>
            </w:rPr>
          </w:pPr>
        </w:p>
      </w:tc>
      <w:tc>
        <w:tcPr>
          <w:tcW w:w="3370" w:type="dxa"/>
        </w:tcPr>
        <w:p w14:paraId="753E4F4C" w14:textId="77777777" w:rsidR="00DC0003" w:rsidRDefault="00DC0003">
          <w:pPr>
            <w:pBdr>
              <w:top w:val="nil"/>
              <w:left w:val="nil"/>
              <w:bottom w:val="nil"/>
              <w:right w:val="nil"/>
              <w:between w:val="nil"/>
            </w:pBdr>
            <w:tabs>
              <w:tab w:val="center" w:pos="4680"/>
              <w:tab w:val="right" w:pos="9360"/>
            </w:tabs>
            <w:rPr>
              <w:color w:val="000000"/>
            </w:rPr>
          </w:pPr>
        </w:p>
      </w:tc>
      <w:tc>
        <w:tcPr>
          <w:tcW w:w="3370" w:type="dxa"/>
        </w:tcPr>
        <w:p w14:paraId="72750414" w14:textId="77777777" w:rsidR="00DC0003" w:rsidRDefault="00DC0003">
          <w:pPr>
            <w:pBdr>
              <w:top w:val="nil"/>
              <w:left w:val="nil"/>
              <w:bottom w:val="nil"/>
              <w:right w:val="nil"/>
              <w:between w:val="nil"/>
            </w:pBdr>
            <w:tabs>
              <w:tab w:val="center" w:pos="4680"/>
              <w:tab w:val="right" w:pos="9360"/>
            </w:tabs>
            <w:ind w:right="-115"/>
            <w:jc w:val="right"/>
            <w:rPr>
              <w:color w:val="000000"/>
            </w:rPr>
          </w:pPr>
        </w:p>
      </w:tc>
    </w:tr>
  </w:tbl>
  <w:p w14:paraId="0A0A7D78" w14:textId="77777777" w:rsidR="00DC0003" w:rsidRDefault="00DC0003">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B5FB2" w14:textId="77777777" w:rsidR="00556BFF" w:rsidRDefault="00556BFF">
      <w:r>
        <w:separator/>
      </w:r>
    </w:p>
  </w:footnote>
  <w:footnote w:type="continuationSeparator" w:id="0">
    <w:p w14:paraId="2E2376EB" w14:textId="77777777" w:rsidR="00556BFF" w:rsidRDefault="00556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88E6" w14:textId="77777777" w:rsidR="00DC0003" w:rsidRDefault="00DC0003">
    <w:pPr>
      <w:widowControl w:val="0"/>
      <w:pBdr>
        <w:top w:val="nil"/>
        <w:left w:val="nil"/>
        <w:bottom w:val="nil"/>
        <w:right w:val="nil"/>
        <w:between w:val="nil"/>
      </w:pBdr>
      <w:spacing w:line="276" w:lineRule="auto"/>
      <w:jc w:val="left"/>
    </w:pPr>
  </w:p>
  <w:tbl>
    <w:tblPr>
      <w:tblStyle w:val="a1"/>
      <w:tblW w:w="10110" w:type="dxa"/>
      <w:tblInd w:w="-115" w:type="dxa"/>
      <w:tblLayout w:type="fixed"/>
      <w:tblLook w:val="0600" w:firstRow="0" w:lastRow="0" w:firstColumn="0" w:lastColumn="0" w:noHBand="1" w:noVBand="1"/>
    </w:tblPr>
    <w:tblGrid>
      <w:gridCol w:w="3370"/>
      <w:gridCol w:w="3370"/>
      <w:gridCol w:w="3370"/>
    </w:tblGrid>
    <w:tr w:rsidR="00DC0003" w14:paraId="6D61D0CF" w14:textId="77777777">
      <w:trPr>
        <w:trHeight w:val="300"/>
      </w:trPr>
      <w:tc>
        <w:tcPr>
          <w:tcW w:w="3370" w:type="dxa"/>
        </w:tcPr>
        <w:p w14:paraId="60E8B426" w14:textId="77777777" w:rsidR="00DC0003" w:rsidRDefault="00DC0003">
          <w:pPr>
            <w:pBdr>
              <w:top w:val="nil"/>
              <w:left w:val="nil"/>
              <w:bottom w:val="nil"/>
              <w:right w:val="nil"/>
              <w:between w:val="nil"/>
            </w:pBdr>
            <w:tabs>
              <w:tab w:val="center" w:pos="4680"/>
              <w:tab w:val="right" w:pos="9360"/>
            </w:tabs>
            <w:ind w:left="-115"/>
            <w:jc w:val="left"/>
            <w:rPr>
              <w:color w:val="000000"/>
            </w:rPr>
          </w:pPr>
        </w:p>
      </w:tc>
      <w:tc>
        <w:tcPr>
          <w:tcW w:w="3370" w:type="dxa"/>
        </w:tcPr>
        <w:p w14:paraId="5A54096B" w14:textId="77777777" w:rsidR="00DC0003" w:rsidRDefault="00DC0003">
          <w:pPr>
            <w:pBdr>
              <w:top w:val="nil"/>
              <w:left w:val="nil"/>
              <w:bottom w:val="nil"/>
              <w:right w:val="nil"/>
              <w:between w:val="nil"/>
            </w:pBdr>
            <w:tabs>
              <w:tab w:val="center" w:pos="4680"/>
              <w:tab w:val="right" w:pos="9360"/>
            </w:tabs>
            <w:rPr>
              <w:color w:val="000000"/>
            </w:rPr>
          </w:pPr>
        </w:p>
      </w:tc>
      <w:tc>
        <w:tcPr>
          <w:tcW w:w="3370" w:type="dxa"/>
        </w:tcPr>
        <w:p w14:paraId="64FA3220" w14:textId="77777777" w:rsidR="00DC0003" w:rsidRDefault="00DC0003">
          <w:pPr>
            <w:pBdr>
              <w:top w:val="nil"/>
              <w:left w:val="nil"/>
              <w:bottom w:val="nil"/>
              <w:right w:val="nil"/>
              <w:between w:val="nil"/>
            </w:pBdr>
            <w:tabs>
              <w:tab w:val="center" w:pos="4680"/>
              <w:tab w:val="right" w:pos="9360"/>
            </w:tabs>
            <w:ind w:right="-115"/>
            <w:jc w:val="right"/>
            <w:rPr>
              <w:color w:val="000000"/>
            </w:rPr>
          </w:pPr>
        </w:p>
      </w:tc>
    </w:tr>
  </w:tbl>
  <w:p w14:paraId="5C949793" w14:textId="77777777" w:rsidR="00DC0003" w:rsidRDefault="00DC000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99C2" w14:textId="77777777" w:rsidR="00DC0003" w:rsidRDefault="00000000">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2026 IEEE 2nd International Conference on Quantum Photonics, Artificial Intelligence, and Networking (QPAIN)</w:t>
    </w:r>
  </w:p>
  <w:p w14:paraId="265E6C43" w14:textId="77777777" w:rsidR="00DC0003" w:rsidRDefault="00000000">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16 – 18 April 2026, Chittagong, Bangladesh</w:t>
    </w:r>
  </w:p>
  <w:p w14:paraId="0F6C1671" w14:textId="77777777" w:rsidR="00DC0003" w:rsidRDefault="00DC0003">
    <w:pPr>
      <w:pBdr>
        <w:top w:val="nil"/>
        <w:left w:val="nil"/>
        <w:bottom w:val="nil"/>
        <w:right w:val="nil"/>
        <w:between w:val="nil"/>
      </w:pBdr>
      <w:tabs>
        <w:tab w:val="center" w:pos="4680"/>
        <w:tab w:val="right" w:pos="9360"/>
      </w:tabs>
      <w:jc w:val="left"/>
      <w:rPr>
        <w:color w:val="000000"/>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B848" w14:textId="77777777" w:rsidR="00DC0003" w:rsidRDefault="00DC0003">
    <w:pPr>
      <w:widowControl w:val="0"/>
      <w:pBdr>
        <w:top w:val="nil"/>
        <w:left w:val="nil"/>
        <w:bottom w:val="nil"/>
        <w:right w:val="nil"/>
        <w:between w:val="nil"/>
      </w:pBdr>
      <w:spacing w:line="276" w:lineRule="auto"/>
      <w:jc w:val="left"/>
      <w:rPr>
        <w:color w:val="000000"/>
        <w:sz w:val="12"/>
        <w:szCs w:val="12"/>
      </w:rPr>
    </w:pPr>
  </w:p>
  <w:tbl>
    <w:tblPr>
      <w:tblStyle w:val="a2"/>
      <w:tblW w:w="10080" w:type="dxa"/>
      <w:tblInd w:w="-115" w:type="dxa"/>
      <w:tblLayout w:type="fixed"/>
      <w:tblLook w:val="0600" w:firstRow="0" w:lastRow="0" w:firstColumn="0" w:lastColumn="0" w:noHBand="1" w:noVBand="1"/>
    </w:tblPr>
    <w:tblGrid>
      <w:gridCol w:w="3360"/>
      <w:gridCol w:w="3360"/>
      <w:gridCol w:w="3360"/>
    </w:tblGrid>
    <w:tr w:rsidR="00DC0003" w14:paraId="3F031FA3" w14:textId="77777777">
      <w:trPr>
        <w:trHeight w:val="300"/>
      </w:trPr>
      <w:tc>
        <w:tcPr>
          <w:tcW w:w="3360" w:type="dxa"/>
        </w:tcPr>
        <w:p w14:paraId="556D8DC1" w14:textId="77777777" w:rsidR="00DC0003" w:rsidRDefault="00DC0003">
          <w:pPr>
            <w:pBdr>
              <w:top w:val="nil"/>
              <w:left w:val="nil"/>
              <w:bottom w:val="nil"/>
              <w:right w:val="nil"/>
              <w:between w:val="nil"/>
            </w:pBdr>
            <w:tabs>
              <w:tab w:val="center" w:pos="4680"/>
              <w:tab w:val="right" w:pos="9360"/>
            </w:tabs>
            <w:ind w:left="-115"/>
            <w:jc w:val="left"/>
            <w:rPr>
              <w:color w:val="000000"/>
            </w:rPr>
          </w:pPr>
        </w:p>
      </w:tc>
      <w:tc>
        <w:tcPr>
          <w:tcW w:w="3360" w:type="dxa"/>
        </w:tcPr>
        <w:p w14:paraId="66E3F8A8" w14:textId="77777777" w:rsidR="00DC0003" w:rsidRDefault="00DC0003">
          <w:pPr>
            <w:pBdr>
              <w:top w:val="nil"/>
              <w:left w:val="nil"/>
              <w:bottom w:val="nil"/>
              <w:right w:val="nil"/>
              <w:between w:val="nil"/>
            </w:pBdr>
            <w:tabs>
              <w:tab w:val="center" w:pos="4680"/>
              <w:tab w:val="right" w:pos="9360"/>
            </w:tabs>
            <w:rPr>
              <w:color w:val="000000"/>
            </w:rPr>
          </w:pPr>
        </w:p>
      </w:tc>
      <w:tc>
        <w:tcPr>
          <w:tcW w:w="3360" w:type="dxa"/>
        </w:tcPr>
        <w:p w14:paraId="52C7332D" w14:textId="77777777" w:rsidR="00DC0003" w:rsidRDefault="00DC0003">
          <w:pPr>
            <w:pBdr>
              <w:top w:val="nil"/>
              <w:left w:val="nil"/>
              <w:bottom w:val="nil"/>
              <w:right w:val="nil"/>
              <w:between w:val="nil"/>
            </w:pBdr>
            <w:tabs>
              <w:tab w:val="center" w:pos="4680"/>
              <w:tab w:val="right" w:pos="9360"/>
            </w:tabs>
            <w:ind w:right="-115"/>
            <w:jc w:val="right"/>
            <w:rPr>
              <w:color w:val="000000"/>
            </w:rPr>
          </w:pPr>
        </w:p>
      </w:tc>
    </w:tr>
  </w:tbl>
  <w:p w14:paraId="75E18555" w14:textId="77777777" w:rsidR="00DC0003" w:rsidRDefault="00DC0003">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F8920" w14:textId="77777777" w:rsidR="00DC0003" w:rsidRDefault="00DC0003">
    <w:pPr>
      <w:widowControl w:val="0"/>
      <w:pBdr>
        <w:top w:val="nil"/>
        <w:left w:val="nil"/>
        <w:bottom w:val="nil"/>
        <w:right w:val="nil"/>
        <w:between w:val="nil"/>
      </w:pBdr>
      <w:spacing w:line="276" w:lineRule="auto"/>
      <w:jc w:val="left"/>
      <w:rPr>
        <w:color w:val="000000"/>
      </w:rPr>
    </w:pPr>
  </w:p>
  <w:tbl>
    <w:tblPr>
      <w:tblStyle w:val="a3"/>
      <w:tblW w:w="10110" w:type="dxa"/>
      <w:tblInd w:w="-115" w:type="dxa"/>
      <w:tblLayout w:type="fixed"/>
      <w:tblLook w:val="0600" w:firstRow="0" w:lastRow="0" w:firstColumn="0" w:lastColumn="0" w:noHBand="1" w:noVBand="1"/>
    </w:tblPr>
    <w:tblGrid>
      <w:gridCol w:w="3370"/>
      <w:gridCol w:w="3370"/>
      <w:gridCol w:w="3370"/>
    </w:tblGrid>
    <w:tr w:rsidR="00DC0003" w14:paraId="4C8E18FE" w14:textId="77777777">
      <w:trPr>
        <w:trHeight w:val="300"/>
      </w:trPr>
      <w:tc>
        <w:tcPr>
          <w:tcW w:w="3370" w:type="dxa"/>
        </w:tcPr>
        <w:p w14:paraId="7A3C64EB" w14:textId="77777777" w:rsidR="00DC0003" w:rsidRDefault="00DC0003">
          <w:pPr>
            <w:pBdr>
              <w:top w:val="nil"/>
              <w:left w:val="nil"/>
              <w:bottom w:val="nil"/>
              <w:right w:val="nil"/>
              <w:between w:val="nil"/>
            </w:pBdr>
            <w:tabs>
              <w:tab w:val="center" w:pos="4680"/>
              <w:tab w:val="right" w:pos="9360"/>
            </w:tabs>
            <w:ind w:left="-115"/>
            <w:jc w:val="left"/>
            <w:rPr>
              <w:color w:val="000000"/>
            </w:rPr>
          </w:pPr>
        </w:p>
      </w:tc>
      <w:tc>
        <w:tcPr>
          <w:tcW w:w="3370" w:type="dxa"/>
        </w:tcPr>
        <w:p w14:paraId="79F87278" w14:textId="77777777" w:rsidR="00DC0003" w:rsidRDefault="00DC0003">
          <w:pPr>
            <w:pBdr>
              <w:top w:val="nil"/>
              <w:left w:val="nil"/>
              <w:bottom w:val="nil"/>
              <w:right w:val="nil"/>
              <w:between w:val="nil"/>
            </w:pBdr>
            <w:tabs>
              <w:tab w:val="center" w:pos="4680"/>
              <w:tab w:val="right" w:pos="9360"/>
            </w:tabs>
            <w:rPr>
              <w:color w:val="000000"/>
            </w:rPr>
          </w:pPr>
        </w:p>
      </w:tc>
      <w:tc>
        <w:tcPr>
          <w:tcW w:w="3370" w:type="dxa"/>
        </w:tcPr>
        <w:p w14:paraId="4B4C6366" w14:textId="77777777" w:rsidR="00DC0003" w:rsidRDefault="00DC0003">
          <w:pPr>
            <w:pBdr>
              <w:top w:val="nil"/>
              <w:left w:val="nil"/>
              <w:bottom w:val="nil"/>
              <w:right w:val="nil"/>
              <w:between w:val="nil"/>
            </w:pBdr>
            <w:tabs>
              <w:tab w:val="center" w:pos="4680"/>
              <w:tab w:val="right" w:pos="9360"/>
            </w:tabs>
            <w:ind w:right="-115"/>
            <w:jc w:val="right"/>
            <w:rPr>
              <w:color w:val="000000"/>
            </w:rPr>
          </w:pPr>
        </w:p>
      </w:tc>
    </w:tr>
  </w:tbl>
  <w:p w14:paraId="0261B96B" w14:textId="77777777" w:rsidR="00DC0003" w:rsidRDefault="00DC000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E61"/>
    <w:multiLevelType w:val="multilevel"/>
    <w:tmpl w:val="1B725FE6"/>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7C24CAB"/>
    <w:multiLevelType w:val="multilevel"/>
    <w:tmpl w:val="71320A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5E320E"/>
    <w:multiLevelType w:val="multilevel"/>
    <w:tmpl w:val="F7B8FDF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4EDD4C1A"/>
    <w:multiLevelType w:val="multilevel"/>
    <w:tmpl w:val="7706B7E2"/>
    <w:lvl w:ilvl="0">
      <w:start w:val="1"/>
      <w:numFmt w:val="decimal"/>
      <w:lvlText w:val="[%1]"/>
      <w:lvlJc w:val="left"/>
      <w:pPr>
        <w:ind w:left="360" w:hanging="36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9FD2E95"/>
    <w:multiLevelType w:val="multilevel"/>
    <w:tmpl w:val="9A04098A"/>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5" w15:restartNumberingAfterBreak="0">
    <w:nsid w:val="7BDD1F73"/>
    <w:multiLevelType w:val="multilevel"/>
    <w:tmpl w:val="70D404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4878369">
    <w:abstractNumId w:val="1"/>
  </w:num>
  <w:num w:numId="2" w16cid:durableId="2064523376">
    <w:abstractNumId w:val="4"/>
  </w:num>
  <w:num w:numId="3" w16cid:durableId="930818328">
    <w:abstractNumId w:val="3"/>
  </w:num>
  <w:num w:numId="4" w16cid:durableId="13462671">
    <w:abstractNumId w:val="0"/>
  </w:num>
  <w:num w:numId="5" w16cid:durableId="1774937514">
    <w:abstractNumId w:val="2"/>
  </w:num>
  <w:num w:numId="6" w16cid:durableId="21455403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003"/>
    <w:rsid w:val="0008708E"/>
    <w:rsid w:val="00556BFF"/>
    <w:rsid w:val="00594775"/>
    <w:rsid w:val="00760B6D"/>
    <w:rsid w:val="00D5773A"/>
    <w:rsid w:val="00D61DBB"/>
    <w:rsid w:val="00DC0003"/>
    <w:rsid w:val="00E605AF"/>
    <w:rsid w:val="00E85E9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B638"/>
  <w15:docId w15:val="{9FA8B767-6054-41A9-A30A-CD5B6C574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MY"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semiHidden/>
    <w:unhideWhenUsed/>
    <w:qFormat/>
    <w:pPr>
      <w:keepNext/>
      <w:keepLines/>
      <w:tabs>
        <w:tab w:val="left" w:pos="288"/>
      </w:tabs>
      <w:spacing w:before="120" w:after="60"/>
      <w:ind w:left="288" w:hanging="288"/>
      <w:jc w:val="left"/>
      <w:outlineLvl w:val="1"/>
    </w:pPr>
    <w:rPr>
      <w:i/>
      <w:iCs/>
    </w:rPr>
  </w:style>
  <w:style w:type="paragraph" w:styleId="Heading3">
    <w:name w:val="heading 3"/>
    <w:basedOn w:val="Normal"/>
    <w:next w:val="Normal"/>
    <w:uiPriority w:val="9"/>
    <w:semiHidden/>
    <w:unhideWhenUsed/>
    <w:qFormat/>
    <w:pPr>
      <w:ind w:firstLine="288"/>
      <w:jc w:val="both"/>
      <w:outlineLvl w:val="2"/>
    </w:pPr>
    <w:rPr>
      <w:i/>
      <w:iCs/>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7</Pages>
  <Words>3711</Words>
  <Characters>25673</Characters>
  <Application>Microsoft Office Word</Application>
  <DocSecurity>0</DocSecurity>
  <Lines>657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Nasrat Jahan</cp:lastModifiedBy>
  <cp:revision>5</cp:revision>
  <dcterms:created xsi:type="dcterms:W3CDTF">2026-04-17T04:00:00Z</dcterms:created>
  <dcterms:modified xsi:type="dcterms:W3CDTF">2026-04-17T10:51:00Z</dcterms:modified>
</cp:coreProperties>
</file>