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Times New Roman" w:hAnsi="Times New Roman"/>
          <w:b/>
          <w:i w:val="0"/>
          <w:sz w:val="36"/>
        </w:rPr>
        <w:t>From Forecast Accuracy to Operational Value: Public Signal Augmentation for NYC 311 Service Demand</w:t>
      </w:r>
    </w:p>
    <w:p>
      <w:pPr>
        <w:spacing w:after="40"/>
        <w:jc w:val="center"/>
      </w:pPr>
      <w:r>
        <w:rPr>
          <w:rFonts w:ascii="Times New Roman" w:hAnsi="Times New Roman"/>
          <w:b/>
          <w:i w:val="0"/>
          <w:sz w:val="24"/>
        </w:rPr>
        <w:t>Nassar Naif Alsharif</w:t>
      </w:r>
    </w:p>
    <w:p>
      <w:pPr>
        <w:spacing w:after="40"/>
        <w:jc w:val="center"/>
      </w:pPr>
      <w:r>
        <w:rPr>
          <w:rFonts w:ascii="Times New Roman" w:hAnsi="Times New Roman"/>
          <w:b w:val="0"/>
          <w:i/>
          <w:sz w:val="22"/>
        </w:rPr>
        <w:t>Independent researcher</w:t>
      </w:r>
    </w:p>
    <w:p>
      <w:pPr>
        <w:spacing w:after="360"/>
        <w:jc w:val="center"/>
      </w:pPr>
      <w:r>
        <w:rPr>
          <w:rFonts w:ascii="Times New Roman" w:hAnsi="Times New Roman"/>
          <w:b w:val="0"/>
          <w:i w:val="0"/>
          <w:sz w:val="22"/>
        </w:rPr>
        <w:t>NassarAlsharif0@gmail.com</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sets—internal history, calendar, weather, and calendar + weather—across four model families under a strictly chronological protocol with five-fold rolling-origin validation. Calendar features deliver the largest accuracy gain across models; adding real weather further improves the selected random-forest model.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every crew budget tested and closes 26.381% of the gap to an oracle at the baseline budget, but the magnitude of the decision benefit is budget-dependent. The central finding is that the calendar-augmentation gains are consistent across the evaluated splits, folds, boroughs, and complaint groups,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outcomes—which motivates our separate evaluation of the decision layer.</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2020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 Model hyperparameters are listed in Appendix I.</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the observed (realized) next-day request volume, which provides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Adding real weather on top of calendar features further lowers error for the random forest, the selected model family; for Ridge and gradient boosting it does not improve on calendar alone (Table A3).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contrast—an approximately 11-15% forecast-accuracy gain versus a roughly 1.9% decision-quality gain at the baseline budget—is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full table in Appendix C)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forecast improvement is therefore consistent across folds and segments, and is not driven by any single split.</w:t>
      </w:r>
    </w:p>
    <w:p>
      <w:pPr>
        <w:keepNext/>
        <w:keepLines/>
        <w:spacing w:before="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2992582"/>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improves next-day service-demand forecasts—calendar features most, across rolling folds, boroughs, and complaint groups, with real weather adding a further gain for the selected random-forest model. The improvement transfers in direction to a stylized staffing allocation but with attenuated, budget-dependent magnitude. The forecast gains are consistent across the evaluated splits, folds, and segments; the decision gains are smaller and conditional on capacity. This provides a reproducible evaluation framework for forecast-to-decision analysis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implemented in Python 3.11 with fixed random seeds. The full procedure—weather ingestion, dataset construction, model training and evaluation, the decision simulation, rolling-origin validation, per-segment robustness analysis, and the crew-budget sensitivity analysis—is deterministic and reproducible from the two public data sources described in the references.</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through NYC Open Data (Socrata dataset erm2-nwe9), and NOAA NCEI Daily Summaries (GHCN-Daily) for station USW00094728 are publicly available through NOAA NCEI; full identifiers and retrieval dates are given in the references. The study window is 2022-2024. The aggregated daily counts and the derived weather series used in the analysis are obtained from these public sources following the procedure described above, and the full modelling dataset is reproducible from them. No synthetic data are used.</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only public data at an aggregate date × borough × complaint-group level; no individual-level or personal data are used or produced, the analysis makes no individual-level decisions, and it is not deployed. Because NYC 311 reflects reporting behaviour rather than true incidence, and reporting propensity varies across communities and over time, forecasts of 311 volume describe reported demand rather than underlying need and should be interpreted accordingly.</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sets—internal history (internal_historical), calendar (calendar_augmented), weather (weather_augmented), and calendar + weather (calendar_weather_augmented)—are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upper-cased and matched against an ordered list of substring rules; the first matching group wins, and any record matching none is assigned the residual Other group. The order places Housing before Water so that, for example, “HEAT/HOT WATER” is classified as Housing rather than Water. The matched substrings per group are as follows.</w:t>
      </w:r>
    </w:p>
    <w:p>
      <w:pPr>
        <w:jc w:val="both"/>
      </w:pPr>
      <w:r>
        <w:rPr>
          <w:rFonts w:ascii="Times New Roman" w:hAnsi="Times New Roman"/>
          <w:b/>
          <w:i w:val="0"/>
          <w:sz w:val="24"/>
        </w:rPr>
        <w:t>Noise:</w:t>
      </w:r>
      <w:r>
        <w:rPr>
          <w:rFonts w:ascii="Times New Roman" w:hAnsi="Times New Roman"/>
          <w:b w:val="0"/>
          <w:i w:val="0"/>
          <w:sz w:val="24"/>
        </w:rPr>
        <w:t xml:space="preserve"> NOISE, LOUD. </w:t>
      </w:r>
      <w:r>
        <w:rPr>
          <w:rFonts w:ascii="Times New Roman" w:hAnsi="Times New Roman"/>
          <w:b/>
          <w:i w:val="0"/>
          <w:sz w:val="24"/>
        </w:rPr>
        <w:t>Housing:</w:t>
      </w:r>
      <w:r>
        <w:rPr>
          <w:rFonts w:ascii="Times New Roman" w:hAnsi="Times New Roman"/>
          <w:b w:val="0"/>
          <w:i w:val="0"/>
          <w:sz w:val="24"/>
        </w:rPr>
        <w:t xml:space="preserve"> HEAT/HOT WATER, HEAT, HOT WATER, PLUMBING, PAINT, PLASTER, APPLIANCE, DOOR, WINDOW, ELECTRIC, FLOORING, STAIRS, ELEVATOR, MOLD, GENERAL CONSTRUCTION, HOUSING, APARTMENT, UNSANITARY CONDITION, OUTSIDE BUILDING. </w:t>
      </w:r>
      <w:r>
        <w:rPr>
          <w:rFonts w:ascii="Times New Roman" w:hAnsi="Times New Roman"/>
          <w:b/>
          <w:i w:val="0"/>
          <w:sz w:val="24"/>
        </w:rPr>
        <w:t>Sanitation:</w:t>
      </w:r>
      <w:r>
        <w:rPr>
          <w:rFonts w:ascii="Times New Roman" w:hAnsi="Times New Roman"/>
          <w:b w:val="0"/>
          <w:i w:val="0"/>
          <w:sz w:val="24"/>
        </w:rPr>
        <w:t xml:space="preserve"> SANITATION, DIRTY, MISSED COLLECTION, LITTER, GARBAGE, RECYCLING, WASTE, DUMPING, GRAFFITI, RODENT, OVERFLOWING. </w:t>
      </w:r>
      <w:r>
        <w:rPr>
          <w:rFonts w:ascii="Times New Roman" w:hAnsi="Times New Roman"/>
          <w:b/>
          <w:i w:val="0"/>
          <w:sz w:val="24"/>
        </w:rPr>
        <w:t>Street Condition:</w:t>
      </w:r>
      <w:r>
        <w:rPr>
          <w:rFonts w:ascii="Times New Roman" w:hAnsi="Times New Roman"/>
          <w:b w:val="0"/>
          <w:i w:val="0"/>
          <w:sz w:val="24"/>
        </w:rPr>
        <w:t xml:space="preserve"> STREET CONDITION, STREET LIGHT, POTHOLE, SIDEWALK, CURB, ROAD, STREET SIGN, TRAFFIC SIGNAL, HIGHWAY. </w:t>
      </w:r>
      <w:r>
        <w:rPr>
          <w:rFonts w:ascii="Times New Roman" w:hAnsi="Times New Roman"/>
          <w:b/>
          <w:i w:val="0"/>
          <w:sz w:val="24"/>
        </w:rPr>
        <w:t>Water:</w:t>
      </w:r>
      <w:r>
        <w:rPr>
          <w:rFonts w:ascii="Times New Roman" w:hAnsi="Times New Roman"/>
          <w:b w:val="0"/>
          <w:i w:val="0"/>
          <w:sz w:val="24"/>
        </w:rPr>
        <w:t xml:space="preserve"> WATER, SEWER, HYDRANT, LEAK, FLOOD, DRAINAGE, CATCH BASIN. </w:t>
      </w:r>
      <w:r>
        <w:rPr>
          <w:rFonts w:ascii="Times New Roman" w:hAnsi="Times New Roman"/>
          <w:b/>
          <w:i w:val="0"/>
          <w:sz w:val="24"/>
        </w:rPr>
        <w:t>Traffic:</w:t>
      </w:r>
      <w:r>
        <w:rPr>
          <w:rFonts w:ascii="Times New Roman" w:hAnsi="Times New Roman"/>
          <w:b w:val="0"/>
          <w:i w:val="0"/>
          <w:sz w:val="24"/>
        </w:rPr>
        <w:t xml:space="preserve"> ILLEGAL PARKING, BLOCKED DRIVEWAY, TRAFFIC, PARKING, ABANDONED VEHICLE, DERELICT VEHICLE, DRIVEWAY. </w:t>
      </w:r>
      <w:r>
        <w:rPr>
          <w:rFonts w:ascii="Times New Roman" w:hAnsi="Times New Roman"/>
          <w:b/>
          <w:i w:val="0"/>
          <w:sz w:val="24"/>
        </w:rPr>
        <w:t>Public Safety:</w:t>
      </w:r>
      <w:r>
        <w:rPr>
          <w:rFonts w:ascii="Times New Roman" w:hAnsi="Times New Roman"/>
          <w:b w:val="0"/>
          <w:i w:val="0"/>
          <w:sz w:val="24"/>
        </w:rPr>
        <w:t xml:space="preserve"> ILLEGAL FIREWORKS, DRUG, WEAPON, ASSAULT, SAFETY, EMERGENCY, ENCAMPMENT, HOMELESS, ANIMAL ABUSE, DISORDERLY, URINATING, PANHANDLING.</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mean fold MAE that underlies Figure 4.</w:t>
      </w:r>
    </w:p>
    <w:p>
      <w:pPr>
        <w:keepNext/>
        <w:spacing w:before="160"/>
      </w:pPr>
      <w:r>
        <w:rPr>
          <w:rFonts w:ascii="Times New Roman" w:hAnsi="Times New Roman"/>
          <w:b/>
          <w:i w:val="0"/>
          <w:sz w:val="22"/>
        </w:rPr>
        <w:t>Table A2.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rPr>
          <w:cantSplit/>
        </w:trP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rPr>
          <w:cantSplit/>
        </w:trP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rPr>
          <w:cantSplit/>
        </w:trP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rPr>
          <w:cantSplit/>
        </w:trP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Each day, a fixed crew budget is allocated across the 40 (borough × complaint-group) cells in proportion to each cell's forecast, rounded by a largest-remainder rule with a minimum of zero crews per cell. Each crew serves 50 requests per day, so a cell's allocated capacity is 50 times its crew count. Unmet demand in a cell is max(0, actual next-day requests − allocated capacity). Weighted unmet demand multiplies each cell's unmet demand by a complaint-group weight—Public Safety 2.0, Water 1.5, Traffic 1.5, and 1.0 for Noise, Sanitation, Street Condition, Housing, and Other—and is summed over cells and test days. The baseline-budget configuration uses 135 crews over 163 test days. The oracle allocates using the observed (realized) next-day request volume and provides an upper bound on achievable performance within this stylized simulation; it is not a forecast.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328803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328803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attenuated and 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I. Model configurations</w:t>
      </w:r>
    </w:p>
    <w:p>
      <w:pPr>
        <w:jc w:val="both"/>
      </w:pPr>
      <w:r>
        <w:rPr>
          <w:rFonts w:ascii="Times New Roman" w:hAnsi="Times New Roman"/>
          <w:b w:val="0"/>
          <w:i w:val="0"/>
          <w:sz w:val="24"/>
        </w:rPr>
        <w:t>All models are scikit-learn estimators trained with random seed 42. The naive seasonal baseline predicts the trailing 7-day mean. Ridge regression uses alpha = 1.0. The random forest uses 200 trees, maximum depth 14, and a minimum of two samples per leaf. Gradient boosting uses 200 stages, maximum depth 3, and learning rate 0.05. All other hyperparameters take their scikit-learn defaults; no additional hyperparameter tuning was performed, and model selection chooses among feature sets by validation MAE.</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22860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pPr>
        <w:keepNext/>
        <w:spacing w:before="240" w:after="120"/>
      </w:pPr>
      <w:r>
        <w:rPr>
          <w:rFonts w:ascii="Times New Roman" w:hAnsi="Times New Roman"/>
          <w:b/>
          <w:i w:val="0"/>
          <w:sz w:val="28"/>
        </w:rPr>
        <w:t>References</w:t>
      </w:r>
    </w:p>
    <w:p>
      <w:pPr>
        <w:spacing w:after="120"/>
        <w:ind w:left="720" w:hanging="720"/>
      </w:pPr>
      <w:r>
        <w:rPr>
          <w:rFonts w:ascii="Times New Roman" w:hAnsi="Times New Roman"/>
          <w:b w:val="0"/>
          <w:i w:val="0"/>
          <w:sz w:val="24"/>
        </w:rPr>
        <w:t>City of New York. (2026). 311 Service Requests from 2020 to Present [data set]. NYC Open Data, Socrata dataset erm2-nwe9. Retrieved 2026-06-03 from https://data.cityofnewyork.us/Social-Services/311-Service-Requests-from-2020-to-Present/erm2-nwe9</w:t>
      </w:r>
    </w:p>
    <w:p>
      <w:pPr>
        <w:spacing w:after="120"/>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spacing w:after="120"/>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spacing w:after="120"/>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Accuracy to Operational Value: Public Signal Augmentation for NYC 311 Service Demand</dc:title>
  <dc:subject/>
  <dc:creator>Nassar Naif Alsharif</dc:creator>
  <cp:keywords/>
  <dc:description/>
  <cp:lastModifiedBy>Nassar Naif Alsharif</cp:lastModifiedBy>
  <cp:revision>1</cp:revision>
  <dcterms:created xsi:type="dcterms:W3CDTF">2013-12-23T23:15:00Z</dcterms:created>
  <dcterms:modified xsi:type="dcterms:W3CDTF">2013-12-23T23:15:00Z</dcterms:modified>
  <cp:category/>
</cp:coreProperties>
</file>