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Times New Roman" w:hAnsi="Times New Roman"/>
          <w:b/>
          <w:i w:val="0"/>
          <w:sz w:val="36"/>
        </w:rPr>
        <w:t>From Forecast Accuracy to Operational Value: Public Signal Augmentation for NYC 311 Service Demand</w:t>
      </w:r>
    </w:p>
    <w:p>
      <w:pPr>
        <w:spacing w:after="40"/>
        <w:jc w:val="center"/>
      </w:pPr>
      <w:r>
        <w:rPr>
          <w:rFonts w:ascii="Times New Roman" w:hAnsi="Times New Roman"/>
          <w:b/>
          <w:i w:val="0"/>
          <w:sz w:val="24"/>
        </w:rPr>
        <w:t>[Author Name]</w:t>
      </w:r>
    </w:p>
    <w:p>
      <w:pPr>
        <w:spacing w:after="40"/>
        <w:jc w:val="center"/>
      </w:pPr>
      <w:r>
        <w:rPr>
          <w:rFonts w:ascii="Times New Roman" w:hAnsi="Times New Roman"/>
          <w:b w:val="0"/>
          <w:i/>
          <w:sz w:val="22"/>
        </w:rPr>
        <w:t>[Affiliation]</w:t>
      </w:r>
    </w:p>
    <w:p>
      <w:pPr>
        <w:spacing w:after="360"/>
        <w:jc w:val="center"/>
      </w:pPr>
      <w:r>
        <w:rPr>
          <w:rFonts w:ascii="Times New Roman" w:hAnsi="Times New Roman"/>
          <w:b w:val="0"/>
          <w:i w:val="0"/>
          <w:sz w:val="22"/>
        </w:rPr>
        <w:t>[Email]</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sets—internal history, calendar, weather, and calendar + weather—across four model families under a strictly chronological protocol with five-fold rolling-origin validation. Calendar features deliver the largest accuracy gain; real weather adds a smaller but consistent further gain.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every crew budget tested and closes 26.381% of the gap to an oracle at the baseline budget, but the magnitude of the decision benefit is budget-dependent. The central finding is that the forecast gains are real and robust,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outcomes—which motivates our separate evaluation of the decision layer.</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2010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true next-day demand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and real weather adds a smaller consistent gain on top of it.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contrast—an approximately 11-15% forecast-accuracy gain versus a roughly 1.9% decision-quality gain at the baseline budget—is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full table in Appendix C)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forecast improvement is therefore consistent across folds and segments, and is not driven by any single split.</w:t>
      </w:r>
    </w:p>
    <w:p>
      <w:pPr>
        <w:keepNext/>
        <w:keepLines/>
        <w:spacing w:before="120"/>
        <w:jc w:val="center"/>
      </w:pPr>
      <w:r>
        <w:drawing>
          <wp:inline xmlns:a="http://schemas.openxmlformats.org/drawingml/2006/main" xmlns:pic="http://schemas.openxmlformats.org/drawingml/2006/picture">
            <wp:extent cx="5486400" cy="2992582"/>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2992582"/>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consistently improves next-day service-demand forecasts—calendar most, weather a smaller consistent increment—across rolling folds, boroughs, and complaint groups. The improvement transfers in direction to a stylized staffing allocation but with attenuated, budget-dependent magnitude. The forecast gains are real and robust; the decision gains are smaller and conditional on capacity. This provides a reproducible evaluation framework for forecast-to-decision analysis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implemented in Python 3.11 with fixed random seeds. The full procedure—weather ingestion, dataset construction, model training and evaluation, the decision simulation, rolling-origin validation, per-segment robustness analysis, and the crew-budget sensitivity analysis—is deterministic and reproducible from the two public data sources, together with the derived summary outputs and accompanying documentation.</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through NYC Open Data (Socrata dataset erm2-nwe9), and NOAA NCEI Daily Summaries (GHCN-Daily) for station USW00094728 are publicly available through NOAA NCEI; full identifiers and retrieval dates are given in the references. The study window is 2022-2024. The aggregated daily counts and the derived weather series used in the analysis are available with the accompanying materials, and the full modelling dataset is reproducible from the public sources. No synthetic data are used.</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only public data at an aggregate date × borough × complaint-group level; no individual-level or personal data are used or produced, the analysis makes no individual-level decisions, and it is not deployed. Because NYC 311 reflects reporting behaviour rather than true incidence, and reporting propensity varies across communities and over time, forecasts of 311 volume describe reported demand rather than underlying need and should be interpreted accordingly.</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sets—internal history (internal_historical), calendar (calendar_augmented), weather (weather_augmented), and calendar + weather (calendar_weather_augmented)—are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mapped by a deterministic, order-sensitive substring rule into eight groups (Housing, Noise, Sanitation, Street Condition, Water, Traffic, Public Safety, and a residual Other).</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mean fold MAE that underlies Figure 4.</w:t>
      </w:r>
    </w:p>
    <w:p>
      <w:pPr>
        <w:keepNext/>
        <w:spacing w:before="160"/>
      </w:pPr>
      <w:r>
        <w:rPr>
          <w:rFonts w:ascii="Times New Roman" w:hAnsi="Times New Roman"/>
          <w:b/>
          <w:i w:val="0"/>
          <w:sz w:val="22"/>
        </w:rPr>
        <w:t>Table A2.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rPr>
          <w:cantSplit/>
        </w:trP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rPr>
          <w:cantSplit/>
        </w:trP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rPr>
          <w:cantSplit/>
        </w:trP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rPr>
          <w:cantSplit/>
        </w:trP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Stylized proportional allocation via a largest-remainder rule; baseline-budget configuration 135 crews × 50 requests per crew over 163 test days; weighted unmet demand up-weights Public Safety, Water, and Traffic; an oracle allocates on true next-day demand.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328803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328803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attenuated and 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22860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22860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r>
        <w:br w:type="page"/>
      </w:r>
    </w:p>
    <w:p>
      <w:pPr>
        <w:keepNext/>
        <w:spacing w:before="240" w:after="120"/>
      </w:pPr>
      <w:r>
        <w:rPr>
          <w:rFonts w:ascii="Times New Roman" w:hAnsi="Times New Roman"/>
          <w:b/>
          <w:i w:val="0"/>
          <w:sz w:val="28"/>
        </w:rPr>
        <w:t>References</w:t>
      </w:r>
    </w:p>
    <w:p>
      <w:pPr>
        <w:spacing w:after="120"/>
        <w:ind w:left="720" w:hanging="720"/>
      </w:pPr>
      <w:r>
        <w:rPr>
          <w:rFonts w:ascii="Times New Roman" w:hAnsi="Times New Roman"/>
          <w:b w:val="0"/>
          <w:i w:val="0"/>
          <w:sz w:val="24"/>
        </w:rPr>
        <w:t>City of New York. (2026). 311 Service Requests from 2010 to Present [data set]. NYC Open Data, Socrata dataset erm2-nwe9. Retrieved 2026-06-03 from https://data.cityofnewyork.us/Social-Services/311-Service-Requests-from-2010-to-Present/erm2-nwe9</w:t>
      </w:r>
    </w:p>
    <w:p>
      <w:pPr>
        <w:spacing w:after="120"/>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spacing w:after="120"/>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spacing w:after="120"/>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