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6"/>
        </w:rPr>
        <w:t>From Forecast Accuracy to Operational Value: Public Signal Augmentation for NYC 311 Service Demand</w:t>
      </w:r>
    </w:p>
    <w:p>
      <w:pPr>
        <w:jc w:val="center"/>
      </w:pPr>
      <w:r>
        <w:rPr>
          <w:rFonts w:ascii="Times New Roman" w:hAnsi="Times New Roman"/>
          <w:b w:val="0"/>
          <w:i w:val="0"/>
          <w:sz w:val="24"/>
        </w:rPr>
        <w:t>[Author Name]</w:t>
      </w:r>
    </w:p>
    <w:p>
      <w:pPr>
        <w:jc w:val="center"/>
      </w:pPr>
      <w:r>
        <w:rPr>
          <w:rFonts w:ascii="Times New Roman" w:hAnsi="Times New Roman"/>
          <w:b w:val="0"/>
          <w:i/>
          <w:sz w:val="22"/>
        </w:rPr>
        <w:t>[Affiliation]</w:t>
      </w:r>
    </w:p>
    <w:p>
      <w:pPr>
        <w:jc w:val="center"/>
      </w:pPr>
      <w:r>
        <w:rPr>
          <w:rFonts w:ascii="Times New Roman" w:hAnsi="Times New Roman"/>
          <w:b w:val="0"/>
          <w:i w:val="0"/>
          <w:sz w:val="22"/>
        </w:rPr>
        <w:t>[Email]</w:t>
      </w:r>
    </w:p>
    <w:p>
      <w:pPr>
        <w:jc w:val="center"/>
      </w:pPr>
      <w:r>
        <w:rPr>
          <w:rFonts w:ascii="Times New Roman" w:hAnsi="Times New Roman"/>
          <w:b w:val="0"/>
          <w:i/>
          <w:sz w:val="20"/>
        </w:rPr>
        <w:t>This study is predictive and correlational. It makes no causal, production-deployment, or real-dispatch claims.</w:t>
      </w:r>
    </w:p>
    <w:p>
      <w:pPr>
        <w:keepNext/>
        <w:spacing w:before="240" w:after="120"/>
      </w:pPr>
      <w:r>
        <w:rPr>
          <w:rFonts w:ascii="Times New Roman" w:hAnsi="Times New Roman"/>
          <w:b/>
          <w:i w:val="0"/>
          <w:sz w:val="28"/>
        </w:rPr>
        <w:t>Abstract</w:t>
      </w:r>
    </w:p>
    <w:p>
      <w:pPr>
        <w:jc w:val="both"/>
      </w:pPr>
      <w:r>
        <w:rPr>
          <w:rFonts w:ascii="Times New Roman" w:hAnsi="Times New Roman"/>
          <w:b w:val="0"/>
          <w:i w:val="0"/>
          <w:sz w:val="24"/>
        </w:rPr>
        <w:t>Day-ahead forecasts of municipal service-request volume are a natural input to staffing and dispatch planning, yet a reduction in average forecast error does not automatically translate into better operational decisions. We ask, on real data, two questions: do public external signals improve next-day forecasts of NYC 311 service-request volume, and does any improvement carry through to a stylized staffing-allocation simulation? Using real NYC 311 Service Requests for 2022-2024 (9,851,452 raw records aggregated to 43,240 date × borough × complaint-group observations) and real NOAA Central Park daily weather, we compare four feature sets - internal history, calendar, weather, and calendar + weather - across four model families under a strictly chronological protocol with five-fold rolling-origin validation. Calendar features deliver the largest accuracy gain; real weather adds a smaller but consistent further gain. The best model, a random forest on the calendar + weather feature set, attains a held-out test mean absolute error (MAE) of 55.325 versus 71.848 for a naive seasonal baseline, a 23.0% reduction. A stylized proportional staffing simulation shows the augmented policy reduces weighted unmet demand at every crew budget tested and closes 26.381% of the gap to an oracle at the baseline budget, but the magnitude of the decision benefit is budget-dependent. The central finding is that the forecast gains are real and robust, while the decision gains are smaller and conditional on capacity. This work provides a reproducible baseline; no synthetic data or synthetic weather is used.</w:t>
      </w:r>
    </w:p>
    <w:p>
      <w:pPr>
        <w:keepNext/>
        <w:spacing w:before="240" w:after="120"/>
      </w:pPr>
      <w:r>
        <w:rPr>
          <w:rFonts w:ascii="Times New Roman" w:hAnsi="Times New Roman"/>
          <w:b/>
          <w:i w:val="0"/>
          <w:sz w:val="28"/>
        </w:rPr>
        <w:t>1. Introduction</w:t>
      </w:r>
    </w:p>
    <w:p>
      <w:pPr>
        <w:jc w:val="both"/>
      </w:pPr>
      <w:r>
        <w:rPr>
          <w:rFonts w:ascii="Times New Roman" w:hAnsi="Times New Roman"/>
          <w:b w:val="0"/>
          <w:i w:val="0"/>
          <w:sz w:val="24"/>
        </w:rPr>
        <w:t>Municipal service operations plan finite crews against demand that varies by day of week, season, and location. Short-horizon (next-day) volume forecasts are a standard planning input. Two questions follow. First, a predictive question: does augmenting an internal-history forecasting model with public external signals reduce next-day forecast error? Second, a decision question: does any such forecast improvement actually improve the quality of a capacity allocation built on top of the forecast?</w:t>
      </w:r>
    </w:p>
    <w:p>
      <w:pPr>
        <w:jc w:val="both"/>
      </w:pPr>
      <w:r>
        <w:rPr>
          <w:rFonts w:ascii="Times New Roman" w:hAnsi="Times New Roman"/>
          <w:b w:val="0"/>
          <w:i w:val="0"/>
          <w:sz w:val="24"/>
        </w:rPr>
        <w:t>These questions are related but distinct. Mean absolute error weights all errors equally across cells and days. A capacity allocation does not: under a fixed, scarce budget, an error on a high-volume or high-priority cell is more consequential than an error on a quiet one, and a proportional allocation maps forecasts to capacity non-linearly. A study reporting only forecast metrics can therefore misstate operational relevance.</w:t>
      </w:r>
    </w:p>
    <w:p>
      <w:pPr>
        <w:jc w:val="both"/>
      </w:pPr>
      <w:r>
        <w:rPr>
          <w:rFonts w:ascii="Times New Roman" w:hAnsi="Times New Roman"/>
          <w:b w:val="0"/>
          <w:i w:val="0"/>
          <w:sz w:val="24"/>
        </w:rPr>
        <w:t>We make three contributions. (i) A reproducible, real-data baseline on NYC 311 augmented with real NOAA weather, with a leakage-controlled chronological protocol. (ii) A controlled four-way feature-set comparison isolating the marginal value of calendar features and of real weather. (iii) A transparent forecast-to-decision simulation that measures whether forecast gains transfer to a stylized allocation, with the result reported as it is: directionally positive but budget-dependent. The study is predictive and correlational; Section 8 states the scope of the analysis and the natural directions for extending it.</w:t>
      </w:r>
    </w:p>
    <w:p>
      <w:pPr>
        <w:keepNext/>
        <w:spacing w:before="240" w:after="120"/>
      </w:pPr>
      <w:r>
        <w:rPr>
          <w:rFonts w:ascii="Times New Roman" w:hAnsi="Times New Roman"/>
          <w:b/>
          <w:i w:val="0"/>
          <w:sz w:val="28"/>
        </w:rPr>
        <w:t>2. Related Work</w:t>
      </w:r>
    </w:p>
    <w:p>
      <w:pPr>
        <w:jc w:val="both"/>
      </w:pPr>
      <w:r>
        <w:rPr>
          <w:rFonts w:ascii="Times New Roman" w:hAnsi="Times New Roman"/>
          <w:b w:val="0"/>
          <w:i w:val="0"/>
          <w:sz w:val="24"/>
        </w:rPr>
        <w:t>The methodological template is the demonstration that publicly available signals can improve operational forecasts. Cui et al. (2018) show, in a retail setting, that public social-media information improves daily sales forecasts across multiple machine-learning methods, with tree-based methods extracting more value from heterogeneous public signals than linear methods, and they frame the contribution as feature value rather than method novelty. Our work is in this lineage but moves from retail to municipal service operations, uses public weather rather than social media, and adds an explicit forecast-to-decision layer rather than stopping at forecast accuracy.</w:t>
      </w:r>
    </w:p>
    <w:p>
      <w:pPr>
        <w:jc w:val="both"/>
      </w:pPr>
      <w:r>
        <w:rPr>
          <w:rFonts w:ascii="Times New Roman" w:hAnsi="Times New Roman"/>
          <w:b w:val="0"/>
          <w:i w:val="0"/>
          <w:sz w:val="24"/>
        </w:rPr>
        <w:t>Prediction-driven prioritization in service and scheduling settings has been studied from an equity and efficiency angle (Samorani et al., 2022). We make no equity or causal claim; we cite this line only to situate the general point that the objective placed on top of a predictive model, not the model alone, shapes outcomes - which motivates our separate evaluation of the decision layer.</w:t>
      </w:r>
    </w:p>
    <w:p>
      <w:pPr>
        <w:keepNext/>
        <w:spacing w:before="240" w:after="120"/>
      </w:pPr>
      <w:r>
        <w:rPr>
          <w:rFonts w:ascii="Times New Roman" w:hAnsi="Times New Roman"/>
          <w:b/>
          <w:i w:val="0"/>
          <w:sz w:val="28"/>
        </w:rPr>
        <w:t>3. Data</w:t>
      </w:r>
    </w:p>
    <w:p>
      <w:pPr>
        <w:jc w:val="both"/>
      </w:pPr>
      <w:r>
        <w:rPr>
          <w:rFonts w:ascii="Times New Roman" w:hAnsi="Times New Roman"/>
          <w:b w:val="0"/>
          <w:i w:val="0"/>
          <w:sz w:val="24"/>
        </w:rPr>
        <w:t>Two real public sources are used; no synthetic data and no synthetic weather are used anywhere. Table 1 summarizes both.</w:t>
      </w:r>
    </w:p>
    <w:p>
      <w:pPr>
        <w:jc w:val="both"/>
      </w:pPr>
      <w:r>
        <w:rPr>
          <w:rFonts w:ascii="Times New Roman" w:hAnsi="Times New Roman"/>
          <w:b/>
          <w:i w:val="0"/>
          <w:sz w:val="24"/>
        </w:rPr>
        <w:t>NYC 311 Service Requests</w:t>
      </w:r>
      <w:r>
        <w:rPr>
          <w:rFonts w:ascii="Times New Roman" w:hAnsi="Times New Roman"/>
          <w:b w:val="0"/>
          <w:i w:val="0"/>
          <w:sz w:val="24"/>
        </w:rPr>
        <w:t xml:space="preserve"> (NYC Open Data, Socrata dataset erm2-nwe9, “311 Service Requests from 2010 to Present”; City of New York, accessed 2026), restricted to 2022-2024. From 9,851,452 raw records the preprocessing procedure yields a 43,240-row date × borough × complaint-group panel spanning observed dates 2022-01-15 to 2024-12-30 (after lag and rolling warmup). Records are mapped to eight complaint groups (Housing, Noise, Other, Public Safety, Sanitation, Street Condition, Traffic, Water) by a deterministic substring rule and aggregated to daily counts over the five NYC boroughs. The forecasting target is the observed next-day request count per cell, defined only when consecutive calendar days are present.</w:t>
      </w:r>
    </w:p>
    <w:p>
      <w:pPr>
        <w:jc w:val="both"/>
      </w:pPr>
      <w:r>
        <w:rPr>
          <w:rFonts w:ascii="Times New Roman" w:hAnsi="Times New Roman"/>
          <w:b/>
          <w:i w:val="0"/>
          <w:sz w:val="24"/>
        </w:rPr>
        <w:t>NOAA NCEI Daily Summaries (GHCN-Daily)</w:t>
      </w:r>
      <w:r>
        <w:rPr>
          <w:rFonts w:ascii="Times New Roman" w:hAnsi="Times New Roman"/>
          <w:b w:val="0"/>
          <w:i w:val="0"/>
          <w:sz w:val="24"/>
        </w:rPr>
        <w:t xml:space="preserve"> (NOAA NCEI, accessed 2026), station USW00094728 (NY City Central Park), 2022-2024, 1,096 daily rows. Variables used: precipitation, daily maximum and minimum temperature, average temperature, snowfall, snow depth, and wind speed. The source average-temperature field was empty for this station, so average temperature is derived as the mean of observed daily maximum and minimum; five missing wind-speed days are filled by time interpolation of neighbouring real observations. A single Central Park station is used as a city-level proxy, a documented spatial-resolution limitation.</w:t>
      </w:r>
    </w:p>
    <w:p>
      <w:pPr>
        <w:keepNext/>
        <w:spacing w:before="160"/>
      </w:pPr>
      <w:r>
        <w:rPr>
          <w:rFonts w:ascii="Times New Roman" w:hAnsi="Times New Roman"/>
          <w:b/>
          <w:i w:val="0"/>
          <w:sz w:val="22"/>
        </w:rPr>
        <w:t>Table 1. Dataset summary.</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4680"/>
          </w:tcPr>
          <w:p>
            <w:r/>
            <w:r>
              <w:rPr>
                <w:rFonts w:ascii="Times New Roman" w:hAnsi="Times New Roman"/>
                <w:b/>
                <w:i w:val="0"/>
                <w:sz w:val="20"/>
              </w:rPr>
              <w:t>Property</w:t>
            </w:r>
          </w:p>
        </w:tc>
        <w:tc>
          <w:tcPr>
            <w:tcW w:type="dxa" w:w="4680"/>
          </w:tcPr>
          <w:p>
            <w:r/>
            <w:r>
              <w:rPr>
                <w:rFonts w:ascii="Times New Roman" w:hAnsi="Times New Roman"/>
                <w:b/>
                <w:i w:val="0"/>
                <w:sz w:val="20"/>
              </w:rPr>
              <w:t>Value</w:t>
            </w:r>
          </w:p>
        </w:tc>
      </w:tr>
      <w:tr>
        <w:trPr>
          <w:cantSplit/>
        </w:trPr>
        <w:tc>
          <w:tcPr>
            <w:tcW w:type="dxa" w:w="4680"/>
          </w:tcPr>
          <w:p>
            <w:r/>
            <w:r>
              <w:rPr>
                <w:rFonts w:ascii="Times New Roman" w:hAnsi="Times New Roman"/>
                <w:b w:val="0"/>
                <w:i w:val="0"/>
                <w:sz w:val="20"/>
              </w:rPr>
              <w:t>Service data</w:t>
            </w:r>
          </w:p>
        </w:tc>
        <w:tc>
          <w:tcPr>
            <w:tcW w:type="dxa" w:w="4680"/>
          </w:tcPr>
          <w:p>
            <w:r/>
            <w:r>
              <w:rPr>
                <w:rFonts w:ascii="Times New Roman" w:hAnsi="Times New Roman"/>
                <w:b w:val="0"/>
                <w:i w:val="0"/>
                <w:sz w:val="20"/>
              </w:rPr>
              <w:t>NYC 311 Service Requests (NYC Open Data, erm2-nwe9)</w:t>
            </w:r>
          </w:p>
        </w:tc>
      </w:tr>
      <w:tr>
        <w:trPr>
          <w:cantSplit/>
        </w:trPr>
        <w:tc>
          <w:tcPr>
            <w:tcW w:type="dxa" w:w="4680"/>
          </w:tcPr>
          <w:p>
            <w:r/>
            <w:r>
              <w:rPr>
                <w:rFonts w:ascii="Times New Roman" w:hAnsi="Times New Roman"/>
                <w:b w:val="0"/>
                <w:i w:val="0"/>
                <w:sz w:val="20"/>
              </w:rPr>
              <w:t>Study window</w:t>
            </w:r>
          </w:p>
        </w:tc>
        <w:tc>
          <w:tcPr>
            <w:tcW w:type="dxa" w:w="4680"/>
          </w:tcPr>
          <w:p>
            <w:r/>
            <w:r>
              <w:rPr>
                <w:rFonts w:ascii="Times New Roman" w:hAnsi="Times New Roman"/>
                <w:b w:val="0"/>
                <w:i w:val="0"/>
                <w:sz w:val="20"/>
              </w:rPr>
              <w:t>2022-01-01 to 2024-12-31</w:t>
            </w:r>
          </w:p>
        </w:tc>
      </w:tr>
      <w:tr>
        <w:trPr>
          <w:cantSplit/>
        </w:trPr>
        <w:tc>
          <w:tcPr>
            <w:tcW w:type="dxa" w:w="4680"/>
          </w:tcPr>
          <w:p>
            <w:r/>
            <w:r>
              <w:rPr>
                <w:rFonts w:ascii="Times New Roman" w:hAnsi="Times New Roman"/>
                <w:b w:val="0"/>
                <w:i w:val="0"/>
                <w:sz w:val="20"/>
              </w:rPr>
              <w:t>Raw records</w:t>
            </w:r>
          </w:p>
        </w:tc>
        <w:tc>
          <w:tcPr>
            <w:tcW w:type="dxa" w:w="4680"/>
          </w:tcPr>
          <w:p>
            <w:r/>
            <w:r>
              <w:rPr>
                <w:rFonts w:ascii="Times New Roman" w:hAnsi="Times New Roman"/>
                <w:b w:val="0"/>
                <w:i w:val="0"/>
                <w:sz w:val="20"/>
              </w:rPr>
              <w:t>9,851,452</w:t>
            </w:r>
          </w:p>
        </w:tc>
      </w:tr>
      <w:tr>
        <w:trPr>
          <w:cantSplit/>
        </w:trPr>
        <w:tc>
          <w:tcPr>
            <w:tcW w:type="dxa" w:w="4680"/>
          </w:tcPr>
          <w:p>
            <w:r/>
            <w:r>
              <w:rPr>
                <w:rFonts w:ascii="Times New Roman" w:hAnsi="Times New Roman"/>
                <w:b w:val="0"/>
                <w:i w:val="0"/>
                <w:sz w:val="20"/>
              </w:rPr>
              <w:t>Processed rows</w:t>
            </w:r>
          </w:p>
        </w:tc>
        <w:tc>
          <w:tcPr>
            <w:tcW w:type="dxa" w:w="4680"/>
          </w:tcPr>
          <w:p>
            <w:r/>
            <w:r>
              <w:rPr>
                <w:rFonts w:ascii="Times New Roman" w:hAnsi="Times New Roman"/>
                <w:b w:val="0"/>
                <w:i w:val="0"/>
                <w:sz w:val="20"/>
              </w:rPr>
              <w:t>43,240 (date × borough × complaint-group)</w:t>
            </w:r>
          </w:p>
        </w:tc>
      </w:tr>
      <w:tr>
        <w:trPr>
          <w:cantSplit/>
        </w:trPr>
        <w:tc>
          <w:tcPr>
            <w:tcW w:type="dxa" w:w="4680"/>
          </w:tcPr>
          <w:p>
            <w:r/>
            <w:r>
              <w:rPr>
                <w:rFonts w:ascii="Times New Roman" w:hAnsi="Times New Roman"/>
                <w:b w:val="0"/>
                <w:i w:val="0"/>
                <w:sz w:val="20"/>
              </w:rPr>
              <w:t>Observed range (processed)</w:t>
            </w:r>
          </w:p>
        </w:tc>
        <w:tc>
          <w:tcPr>
            <w:tcW w:type="dxa" w:w="4680"/>
          </w:tcPr>
          <w:p>
            <w:r/>
            <w:r>
              <w:rPr>
                <w:rFonts w:ascii="Times New Roman" w:hAnsi="Times New Roman"/>
                <w:b w:val="0"/>
                <w:i w:val="0"/>
                <w:sz w:val="20"/>
              </w:rPr>
              <w:t>2022-01-15 to 2024-12-30</w:t>
            </w:r>
          </w:p>
        </w:tc>
      </w:tr>
      <w:tr>
        <w:trPr>
          <w:cantSplit/>
        </w:trPr>
        <w:tc>
          <w:tcPr>
            <w:tcW w:type="dxa" w:w="4680"/>
          </w:tcPr>
          <w:p>
            <w:r/>
            <w:r>
              <w:rPr>
                <w:rFonts w:ascii="Times New Roman" w:hAnsi="Times New Roman"/>
                <w:b w:val="0"/>
                <w:i w:val="0"/>
                <w:sz w:val="20"/>
              </w:rPr>
              <w:t>Boroughs / complaint groups</w:t>
            </w:r>
          </w:p>
        </w:tc>
        <w:tc>
          <w:tcPr>
            <w:tcW w:type="dxa" w:w="4680"/>
          </w:tcPr>
          <w:p>
            <w:r/>
            <w:r>
              <w:rPr>
                <w:rFonts w:ascii="Times New Roman" w:hAnsi="Times New Roman"/>
                <w:b w:val="0"/>
                <w:i w:val="0"/>
                <w:sz w:val="20"/>
              </w:rPr>
              <w:t>5 / 8</w:t>
            </w:r>
          </w:p>
        </w:tc>
      </w:tr>
      <w:tr>
        <w:trPr>
          <w:cantSplit/>
        </w:trPr>
        <w:tc>
          <w:tcPr>
            <w:tcW w:type="dxa" w:w="4680"/>
          </w:tcPr>
          <w:p>
            <w:r/>
            <w:r>
              <w:rPr>
                <w:rFonts w:ascii="Times New Roman" w:hAnsi="Times New Roman"/>
                <w:b w:val="0"/>
                <w:i w:val="0"/>
                <w:sz w:val="20"/>
              </w:rPr>
              <w:t>Target</w:t>
            </w:r>
          </w:p>
        </w:tc>
        <w:tc>
          <w:tcPr>
            <w:tcW w:type="dxa" w:w="4680"/>
          </w:tcPr>
          <w:p>
            <w:r/>
            <w:r>
              <w:rPr>
                <w:rFonts w:ascii="Times New Roman" w:hAnsi="Times New Roman"/>
                <w:b w:val="0"/>
                <w:i w:val="0"/>
                <w:sz w:val="20"/>
              </w:rPr>
              <w:t>Observed next-day request count per cell</w:t>
            </w:r>
          </w:p>
        </w:tc>
      </w:tr>
      <w:tr>
        <w:trPr>
          <w:cantSplit/>
        </w:trPr>
        <w:tc>
          <w:tcPr>
            <w:tcW w:type="dxa" w:w="4680"/>
          </w:tcPr>
          <w:p>
            <w:r/>
            <w:r>
              <w:rPr>
                <w:rFonts w:ascii="Times New Roman" w:hAnsi="Times New Roman"/>
                <w:b w:val="0"/>
                <w:i w:val="0"/>
                <w:sz w:val="20"/>
              </w:rPr>
              <w:t>Weather source</w:t>
            </w:r>
          </w:p>
        </w:tc>
        <w:tc>
          <w:tcPr>
            <w:tcW w:type="dxa" w:w="4680"/>
          </w:tcPr>
          <w:p>
            <w:r/>
            <w:r>
              <w:rPr>
                <w:rFonts w:ascii="Times New Roman" w:hAnsi="Times New Roman"/>
                <w:b w:val="0"/>
                <w:i w:val="0"/>
                <w:sz w:val="20"/>
              </w:rPr>
              <w:t>NOAA NCEI Daily Summaries (GHCN-Daily)</w:t>
            </w:r>
          </w:p>
        </w:tc>
      </w:tr>
      <w:tr>
        <w:trPr>
          <w:cantSplit/>
        </w:trPr>
        <w:tc>
          <w:tcPr>
            <w:tcW w:type="dxa" w:w="4680"/>
          </w:tcPr>
          <w:p>
            <w:r/>
            <w:r>
              <w:rPr>
                <w:rFonts w:ascii="Times New Roman" w:hAnsi="Times New Roman"/>
                <w:b w:val="0"/>
                <w:i w:val="0"/>
                <w:sz w:val="20"/>
              </w:rPr>
              <w:t>Weather station</w:t>
            </w:r>
          </w:p>
        </w:tc>
        <w:tc>
          <w:tcPr>
            <w:tcW w:type="dxa" w:w="4680"/>
          </w:tcPr>
          <w:p>
            <w:r/>
            <w:r>
              <w:rPr>
                <w:rFonts w:ascii="Times New Roman" w:hAnsi="Times New Roman"/>
                <w:b w:val="0"/>
                <w:i w:val="0"/>
                <w:sz w:val="20"/>
              </w:rPr>
              <w:t>USW00094728 (NY City Central Park); single-station proxy</w:t>
            </w:r>
          </w:p>
        </w:tc>
      </w:tr>
      <w:tr>
        <w:trPr>
          <w:cantSplit/>
        </w:trPr>
        <w:tc>
          <w:tcPr>
            <w:tcW w:type="dxa" w:w="4680"/>
          </w:tcPr>
          <w:p>
            <w:r/>
            <w:r>
              <w:rPr>
                <w:rFonts w:ascii="Times New Roman" w:hAnsi="Times New Roman"/>
                <w:b w:val="0"/>
                <w:i w:val="0"/>
                <w:sz w:val="20"/>
              </w:rPr>
              <w:t>Weather rows / variables</w:t>
            </w:r>
          </w:p>
        </w:tc>
        <w:tc>
          <w:tcPr>
            <w:tcW w:type="dxa" w:w="4680"/>
          </w:tcPr>
          <w:p>
            <w:r/>
            <w:r>
              <w:rPr>
                <w:rFonts w:ascii="Times New Roman" w:hAnsi="Times New Roman"/>
                <w:b w:val="0"/>
                <w:i w:val="0"/>
                <w:sz w:val="20"/>
              </w:rPr>
              <w:t>1,096 / 7</w:t>
            </w:r>
          </w:p>
        </w:tc>
      </w:tr>
      <w:tr>
        <w:trPr>
          <w:cantSplit/>
        </w:trPr>
        <w:tc>
          <w:tcPr>
            <w:tcW w:type="dxa" w:w="4680"/>
          </w:tcPr>
          <w:p>
            <w:r/>
            <w:r>
              <w:rPr>
                <w:rFonts w:ascii="Times New Roman" w:hAnsi="Times New Roman"/>
                <w:b w:val="0"/>
                <w:i w:val="0"/>
                <w:sz w:val="20"/>
              </w:rPr>
              <w:t>Synthetic data or weather</w:t>
            </w:r>
          </w:p>
        </w:tc>
        <w:tc>
          <w:tcPr>
            <w:tcW w:type="dxa" w:w="4680"/>
          </w:tcPr>
          <w:p>
            <w:r/>
            <w:r>
              <w:rPr>
                <w:rFonts w:ascii="Times New Roman" w:hAnsi="Times New Roman"/>
                <w:b w:val="0"/>
                <w:i w:val="0"/>
                <w:sz w:val="20"/>
              </w:rPr>
              <w:t>none</w:t>
            </w:r>
          </w:p>
        </w:tc>
      </w:tr>
    </w:tbl>
    <w:p/>
    <w:p>
      <w:pPr>
        <w:keepNext/>
        <w:spacing w:before="240" w:after="120"/>
      </w:pPr>
      <w:r>
        <w:rPr>
          <w:rFonts w:ascii="Times New Roman" w:hAnsi="Times New Roman"/>
          <w:b/>
          <w:i w:val="0"/>
          <w:sz w:val="28"/>
        </w:rPr>
        <w:t>4. Methods</w:t>
      </w:r>
    </w:p>
    <w:p>
      <w:pPr>
        <w:jc w:val="both"/>
      </w:pPr>
      <w:r>
        <w:rPr>
          <w:rFonts w:ascii="Times New Roman" w:hAnsi="Times New Roman"/>
          <w:b w:val="0"/>
          <w:i w:val="0"/>
          <w:sz w:val="24"/>
        </w:rPr>
        <w:t>We compare four feature sets: internal history (lag and rolling statistics of the per-cell series), calendar (internal plus deterministic calendar features), weather (internal plus the seven real weather variables), and calendar + weather (internal plus calendar plus weather). The corresponding configuration identifiers used in the results tables are internal_historical, calendar_augmented, weather_augmented, and calendar_weather_augmented. Full feature definitions are in Appendix A.</w:t>
      </w:r>
    </w:p>
    <w:p>
      <w:pPr>
        <w:jc w:val="both"/>
      </w:pPr>
      <w:r>
        <w:rPr>
          <w:rFonts w:ascii="Times New Roman" w:hAnsi="Times New Roman"/>
          <w:b w:val="0"/>
          <w:i w:val="0"/>
          <w:sz w:val="24"/>
        </w:rPr>
        <w:t>Four model families are evaluated: a naive seasonal baseline (trailing 7-day mean), Ridge regression, a random forest, and gradient boosting. Categorical features (borough, complaint group) are one-hot encoded; numeric features pass through. Lag and rolling features use only past observations, with rolling statistics shifted by one day to avoid same-day or future leakage.</w:t>
      </w:r>
    </w:p>
    <w:p>
      <w:pPr>
        <w:jc w:val="both"/>
      </w:pPr>
      <w:r>
        <w:rPr>
          <w:rFonts w:ascii="Times New Roman" w:hAnsi="Times New Roman"/>
          <w:b w:val="0"/>
          <w:i w:val="0"/>
          <w:sz w:val="24"/>
        </w:rPr>
        <w:t>Validation uses a strictly chronological split by date: the earliest 70% of dates for training (30,240 rows), the next 15% for validation (6,480 rows), and the latest 15% for test (6,520 rows). The primary metric is MAE; RMSE, MAPE (computed with the denominator floored at one request, so that near-zero actual counts do not inflate the percentage error), and R² are also reported. The best configuration by validation MAE is refit on train + validation before the final test evaluation. Separately, five expanding-window rolling-origin folds assess stability.</w:t>
      </w:r>
    </w:p>
    <w:p>
      <w:pPr>
        <w:jc w:val="both"/>
      </w:pPr>
      <w:r>
        <w:rPr>
          <w:rFonts w:ascii="Times New Roman" w:hAnsi="Times New Roman"/>
          <w:b w:val="0"/>
          <w:i w:val="0"/>
          <w:sz w:val="24"/>
        </w:rPr>
        <w:t>The decision layer is a stylized staffing-allocation simulation. Each day a fixed crew budget is distributed across cells in proportion to the forecast using a largest-remainder rule. Each crew handles a fixed number of requests; unmet demand in a cell is the positive part of actual demand minus allocated capacity; weighted unmet demand assigns higher weight to Public Safety, Water, and Traffic. Policies driven by each feature set are compared against an oracle that allocates on true next-day demand (an upper bound only). Full assumptions are in Appendix D.</w:t>
      </w:r>
    </w:p>
    <w:p>
      <w:pPr>
        <w:keepNext/>
        <w:spacing w:before="240" w:after="120"/>
      </w:pPr>
      <w:r>
        <w:rPr>
          <w:rFonts w:ascii="Times New Roman" w:hAnsi="Times New Roman"/>
          <w:b/>
          <w:i w:val="0"/>
          <w:sz w:val="28"/>
        </w:rPr>
        <w:t>5. Forecasting Results</w:t>
      </w:r>
    </w:p>
    <w:p>
      <w:pPr>
        <w:jc w:val="both"/>
      </w:pPr>
      <w:r>
        <w:rPr>
          <w:rFonts w:ascii="Times New Roman" w:hAnsi="Times New Roman"/>
          <w:b w:val="0"/>
          <w:i w:val="0"/>
          <w:sz w:val="24"/>
        </w:rPr>
        <w:t>Calendar augmentation improves test MAE for every model, and real weather adds a smaller consistent gain on top of it. For the random forest, MAE falls from 65.282 (internal history) to 58.082 (calendar); weather alone improves the internal-history model (64.104 versus 65.282), and calendar + weather is best, at 56.224 for the single-split model fit on the training set only. Ridge does not benefit from weather (internal 69.219, weather 69.283, calendar + weather 68.915). Figure 1 shows the best test MAE per feature set; the full per-model results are in Table 2 (selected rows are reported below; the complete table is in Appendix G).</w:t>
      </w:r>
    </w:p>
    <w:p>
      <w:pPr>
        <w:keepNext/>
        <w:spacing w:before="160"/>
      </w:pPr>
      <w:r>
        <w:rPr>
          <w:rFonts w:ascii="Times New Roman" w:hAnsi="Times New Roman"/>
          <w:b/>
          <w:i w:val="0"/>
          <w:sz w:val="22"/>
        </w:rPr>
        <w:t>Table 2 (selected rows). Held-out test MAE by model and feature set; lower is better. Full 13-row table in Appendix G.</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3120"/>
          </w:tcPr>
          <w:p>
            <w:r/>
            <w:r>
              <w:rPr>
                <w:rFonts w:ascii="Times New Roman" w:hAnsi="Times New Roman"/>
                <w:b/>
                <w:i w:val="0"/>
                <w:sz w:val="20"/>
              </w:rPr>
              <w:t>Model</w:t>
            </w:r>
          </w:p>
        </w:tc>
        <w:tc>
          <w:tcPr>
            <w:tcW w:type="dxa" w:w="3120"/>
          </w:tcPr>
          <w:p>
            <w:r/>
            <w:r>
              <w:rPr>
                <w:rFonts w:ascii="Times New Roman" w:hAnsi="Times New Roman"/>
                <w:b/>
                <w:i w:val="0"/>
                <w:sz w:val="20"/>
              </w:rPr>
              <w:t>Feature set</w:t>
            </w:r>
          </w:p>
        </w:tc>
        <w:tc>
          <w:tcPr>
            <w:tcW w:type="dxa" w:w="3120"/>
          </w:tcPr>
          <w:p>
            <w:r/>
            <w:r>
              <w:rPr>
                <w:rFonts w:ascii="Times New Roman" w:hAnsi="Times New Roman"/>
                <w:b/>
                <w:i w:val="0"/>
                <w:sz w:val="20"/>
              </w:rPr>
              <w:t>Test MAE</w:t>
            </w:r>
          </w:p>
        </w:tc>
      </w:tr>
      <w:tr>
        <w:trPr>
          <w:cantSplit/>
        </w:trPr>
        <w:tc>
          <w:tcPr>
            <w:tcW w:type="dxa" w:w="3120"/>
          </w:tcPr>
          <w:p>
            <w:r/>
            <w:r>
              <w:rPr>
                <w:rFonts w:ascii="Times New Roman" w:hAnsi="Times New Roman"/>
                <w:b w:val="0"/>
                <w:i w:val="0"/>
                <w:sz w:val="20"/>
              </w:rPr>
              <w:t>naive_seasonal</w:t>
            </w:r>
          </w:p>
        </w:tc>
        <w:tc>
          <w:tcPr>
            <w:tcW w:type="dxa" w:w="3120"/>
          </w:tcPr>
          <w:p>
            <w:r/>
            <w:r>
              <w:rPr>
                <w:rFonts w:ascii="Times New Roman" w:hAnsi="Times New Roman"/>
                <w:b w:val="0"/>
                <w:i w:val="0"/>
                <w:sz w:val="20"/>
              </w:rPr>
              <w:t>naive_seasonal</w:t>
            </w:r>
          </w:p>
        </w:tc>
        <w:tc>
          <w:tcPr>
            <w:tcW w:type="dxa" w:w="3120"/>
          </w:tcPr>
          <w:p>
            <w:r/>
            <w:r>
              <w:rPr>
                <w:rFonts w:ascii="Times New Roman" w:hAnsi="Times New Roman"/>
                <w:b w:val="0"/>
                <w:i w:val="0"/>
                <w:sz w:val="20"/>
              </w:rPr>
              <w:t>71.848</w:t>
            </w:r>
          </w:p>
        </w:tc>
      </w:tr>
      <w:tr>
        <w:trPr>
          <w:cantSplit/>
        </w:trPr>
        <w:tc>
          <w:tcPr>
            <w:tcW w:type="dxa" w:w="3120"/>
          </w:tcPr>
          <w:p>
            <w:r/>
            <w:r>
              <w:rPr>
                <w:rFonts w:ascii="Times New Roman" w:hAnsi="Times New Roman"/>
                <w:b w:val="0"/>
                <w:i w:val="0"/>
                <w:sz w:val="20"/>
              </w:rPr>
              <w:t>random_forest</w:t>
            </w:r>
          </w:p>
        </w:tc>
        <w:tc>
          <w:tcPr>
            <w:tcW w:type="dxa" w:w="3120"/>
          </w:tcPr>
          <w:p>
            <w:r/>
            <w:r>
              <w:rPr>
                <w:rFonts w:ascii="Times New Roman" w:hAnsi="Times New Roman"/>
                <w:b w:val="0"/>
                <w:i w:val="0"/>
                <w:sz w:val="20"/>
              </w:rPr>
              <w:t>internal_historical</w:t>
            </w:r>
          </w:p>
        </w:tc>
        <w:tc>
          <w:tcPr>
            <w:tcW w:type="dxa" w:w="3120"/>
          </w:tcPr>
          <w:p>
            <w:r/>
            <w:r>
              <w:rPr>
                <w:rFonts w:ascii="Times New Roman" w:hAnsi="Times New Roman"/>
                <w:b w:val="0"/>
                <w:i w:val="0"/>
                <w:sz w:val="20"/>
              </w:rPr>
              <w:t>65.282</w:t>
            </w:r>
          </w:p>
        </w:tc>
      </w:tr>
      <w:tr>
        <w:trPr>
          <w:cantSplit/>
        </w:trPr>
        <w:tc>
          <w:tcPr>
            <w:tcW w:type="dxa" w:w="3120"/>
          </w:tcPr>
          <w:p>
            <w:r/>
            <w:r>
              <w:rPr>
                <w:rFonts w:ascii="Times New Roman" w:hAnsi="Times New Roman"/>
                <w:b w:val="0"/>
                <w:i w:val="0"/>
                <w:sz w:val="20"/>
              </w:rPr>
              <w:t>random_forest</w:t>
            </w:r>
          </w:p>
        </w:tc>
        <w:tc>
          <w:tcPr>
            <w:tcW w:type="dxa" w:w="3120"/>
          </w:tcPr>
          <w:p>
            <w:r/>
            <w:r>
              <w:rPr>
                <w:rFonts w:ascii="Times New Roman" w:hAnsi="Times New Roman"/>
                <w:b w:val="0"/>
                <w:i w:val="0"/>
                <w:sz w:val="20"/>
              </w:rPr>
              <w:t>calendar_augmented</w:t>
            </w:r>
          </w:p>
        </w:tc>
        <w:tc>
          <w:tcPr>
            <w:tcW w:type="dxa" w:w="3120"/>
          </w:tcPr>
          <w:p>
            <w:r/>
            <w:r>
              <w:rPr>
                <w:rFonts w:ascii="Times New Roman" w:hAnsi="Times New Roman"/>
                <w:b w:val="0"/>
                <w:i w:val="0"/>
                <w:sz w:val="20"/>
              </w:rPr>
              <w:t>58.082</w:t>
            </w:r>
          </w:p>
        </w:tc>
      </w:tr>
      <w:tr>
        <w:trPr>
          <w:cantSplit/>
        </w:trPr>
        <w:tc>
          <w:tcPr>
            <w:tcW w:type="dxa" w:w="3120"/>
          </w:tcPr>
          <w:p>
            <w:r/>
            <w:r>
              <w:rPr>
                <w:rFonts w:ascii="Times New Roman" w:hAnsi="Times New Roman"/>
                <w:b w:val="0"/>
                <w:i w:val="0"/>
                <w:sz w:val="20"/>
              </w:rPr>
              <w:t>random_forest</w:t>
            </w:r>
          </w:p>
        </w:tc>
        <w:tc>
          <w:tcPr>
            <w:tcW w:type="dxa" w:w="3120"/>
          </w:tcPr>
          <w:p>
            <w:r/>
            <w:r>
              <w:rPr>
                <w:rFonts w:ascii="Times New Roman" w:hAnsi="Times New Roman"/>
                <w:b w:val="0"/>
                <w:i w:val="0"/>
                <w:sz w:val="20"/>
              </w:rPr>
              <w:t>weather_augmented</w:t>
            </w:r>
          </w:p>
        </w:tc>
        <w:tc>
          <w:tcPr>
            <w:tcW w:type="dxa" w:w="3120"/>
          </w:tcPr>
          <w:p>
            <w:r/>
            <w:r>
              <w:rPr>
                <w:rFonts w:ascii="Times New Roman" w:hAnsi="Times New Roman"/>
                <w:b w:val="0"/>
                <w:i w:val="0"/>
                <w:sz w:val="20"/>
              </w:rPr>
              <w:t>64.104</w:t>
            </w:r>
          </w:p>
        </w:tc>
      </w:tr>
      <w:tr>
        <w:trPr>
          <w:cantSplit/>
        </w:trPr>
        <w:tc>
          <w:tcPr>
            <w:tcW w:type="dxa" w:w="3120"/>
          </w:tcPr>
          <w:p>
            <w:r/>
            <w:r>
              <w:rPr>
                <w:rFonts w:ascii="Times New Roman" w:hAnsi="Times New Roman"/>
                <w:b w:val="0"/>
                <w:i w:val="0"/>
                <w:sz w:val="20"/>
              </w:rPr>
              <w:t>random_forest</w:t>
            </w:r>
          </w:p>
        </w:tc>
        <w:tc>
          <w:tcPr>
            <w:tcW w:type="dxa" w:w="3120"/>
          </w:tcPr>
          <w:p>
            <w:r/>
            <w:r>
              <w:rPr>
                <w:rFonts w:ascii="Times New Roman" w:hAnsi="Times New Roman"/>
                <w:b w:val="0"/>
                <w:i w:val="0"/>
                <w:sz w:val="20"/>
              </w:rPr>
              <w:t>calendar_weather_augmented</w:t>
            </w:r>
          </w:p>
        </w:tc>
        <w:tc>
          <w:tcPr>
            <w:tcW w:type="dxa" w:w="3120"/>
          </w:tcPr>
          <w:p>
            <w:r/>
            <w:r>
              <w:rPr>
                <w:rFonts w:ascii="Times New Roman" w:hAnsi="Times New Roman"/>
                <w:b w:val="0"/>
                <w:i w:val="0"/>
                <w:sz w:val="20"/>
              </w:rPr>
              <w:t>56.224</w:t>
            </w:r>
          </w:p>
        </w:tc>
      </w:tr>
      <w:tr>
        <w:trPr>
          <w:cantSplit/>
        </w:trPr>
        <w:tc>
          <w:tcPr>
            <w:tcW w:type="dxa" w:w="3120"/>
          </w:tcPr>
          <w:p>
            <w:r/>
            <w:r>
              <w:rPr>
                <w:rFonts w:ascii="Times New Roman" w:hAnsi="Times New Roman"/>
                <w:b w:val="0"/>
                <w:i w:val="0"/>
                <w:sz w:val="20"/>
              </w:rPr>
              <w:t>gradient_boosting</w:t>
            </w:r>
          </w:p>
        </w:tc>
        <w:tc>
          <w:tcPr>
            <w:tcW w:type="dxa" w:w="3120"/>
          </w:tcPr>
          <w:p>
            <w:r/>
            <w:r>
              <w:rPr>
                <w:rFonts w:ascii="Times New Roman" w:hAnsi="Times New Roman"/>
                <w:b w:val="0"/>
                <w:i w:val="0"/>
                <w:sz w:val="20"/>
              </w:rPr>
              <w:t>calendar_weather_augmented</w:t>
            </w:r>
          </w:p>
        </w:tc>
        <w:tc>
          <w:tcPr>
            <w:tcW w:type="dxa" w:w="3120"/>
          </w:tcPr>
          <w:p>
            <w:r/>
            <w:r>
              <w:rPr>
                <w:rFonts w:ascii="Times New Roman" w:hAnsi="Times New Roman"/>
                <w:b w:val="0"/>
                <w:i w:val="0"/>
                <w:sz w:val="20"/>
              </w:rPr>
              <w:t>61.878</w:t>
            </w:r>
          </w:p>
        </w:tc>
      </w:tr>
      <w:tr>
        <w:trPr>
          <w:cantSplit/>
        </w:trPr>
        <w:tc>
          <w:tcPr>
            <w:tcW w:type="dxa" w:w="3120"/>
          </w:tcPr>
          <w:p>
            <w:r/>
            <w:r>
              <w:rPr>
                <w:rFonts w:ascii="Times New Roman" w:hAnsi="Times New Roman"/>
                <w:b w:val="0"/>
                <w:i w:val="0"/>
                <w:sz w:val="20"/>
              </w:rPr>
              <w:t>ridge</w:t>
            </w:r>
          </w:p>
        </w:tc>
        <w:tc>
          <w:tcPr>
            <w:tcW w:type="dxa" w:w="3120"/>
          </w:tcPr>
          <w:p>
            <w:r/>
            <w:r>
              <w:rPr>
                <w:rFonts w:ascii="Times New Roman" w:hAnsi="Times New Roman"/>
                <w:b w:val="0"/>
                <w:i w:val="0"/>
                <w:sz w:val="20"/>
              </w:rPr>
              <w:t>calendar_weather_augmented</w:t>
            </w:r>
          </w:p>
        </w:tc>
        <w:tc>
          <w:tcPr>
            <w:tcW w:type="dxa" w:w="3120"/>
          </w:tcPr>
          <w:p>
            <w:r/>
            <w:r>
              <w:rPr>
                <w:rFonts w:ascii="Times New Roman" w:hAnsi="Times New Roman"/>
                <w:b w:val="0"/>
                <w:i w:val="0"/>
                <w:sz w:val="20"/>
              </w:rPr>
              <w:t>68.915</w:t>
            </w:r>
          </w:p>
        </w:tc>
      </w:tr>
    </w:tbl>
    <w:p/>
    <w:p>
      <w:pPr>
        <w:jc w:val="both"/>
      </w:pPr>
      <w:r>
        <w:rPr>
          <w:rFonts w:ascii="Times New Roman" w:hAnsi="Times New Roman"/>
          <w:b w:val="0"/>
          <w:i w:val="0"/>
          <w:sz w:val="24"/>
        </w:rPr>
        <w:t>The selected configuration by validation MAE is the random forest on calendar + weather. Refit on train + validation and evaluated once on the held-out test set, it attains test MAE 55.325, RMSE 177.476, MAPE 27.469%, and R² 0.648 - a 23.0% MAE reduction over the naive seasonal baseline (71.848). The selected-model test MAE of 55.325 (refit on train + validation) is therefore slightly lower than the 56.224 obtained from the train-only fit on the single split. Figure 2 shows observed versus predicted city-wide next-day totals over the test period, which track the overall level and weekly pattern of demand.</w:t>
      </w:r>
    </w:p>
    <w:p>
      <w:pPr>
        <w:keepNext/>
        <w:keepLines/>
        <w:spacing w:before="120"/>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figure_2_feature_set_comparison_mae.png"/>
                    <pic:cNvPicPr/>
                  </pic:nvPicPr>
                  <pic:blipFill>
                    <a:blip r:embed="rId10"/>
                    <a:stretch>
                      <a:fillRect/>
                    </a:stretch>
                  </pic:blipFill>
                  <pic:spPr>
                    <a:xfrm>
                      <a:off x="0" y="0"/>
                      <a:ext cx="5486400" cy="3048000"/>
                    </a:xfrm>
                    <a:prstGeom prst="rect"/>
                  </pic:spPr>
                </pic:pic>
              </a:graphicData>
            </a:graphic>
          </wp:inline>
        </w:drawing>
      </w:r>
    </w:p>
    <w:p>
      <w:pPr>
        <w:keepLines/>
        <w:jc w:val="center"/>
      </w:pPr>
      <w:r>
        <w:rPr>
          <w:rFonts w:ascii="Times New Roman" w:hAnsi="Times New Roman"/>
          <w:b w:val="0"/>
          <w:i/>
          <w:sz w:val="20"/>
        </w:rPr>
        <w:t>Figure 1. Best held-out test MAE achieved per feature set across models.</w:t>
      </w:r>
    </w:p>
    <w:p>
      <w:pPr>
        <w:keepNext/>
        <w:keepLines/>
        <w:spacing w:before="120"/>
        <w:jc w:val="center"/>
      </w:pPr>
      <w:r>
        <w:drawing>
          <wp:inline xmlns:a="http://schemas.openxmlformats.org/drawingml/2006/main" xmlns:pic="http://schemas.openxmlformats.org/drawingml/2006/picture">
            <wp:extent cx="5486400" cy="2493818"/>
            <wp:docPr id="2" name="Picture 2"/>
            <wp:cNvGraphicFramePr>
              <a:graphicFrameLocks noChangeAspect="1"/>
            </wp:cNvGraphicFramePr>
            <a:graphic>
              <a:graphicData uri="http://schemas.openxmlformats.org/drawingml/2006/picture">
                <pic:pic>
                  <pic:nvPicPr>
                    <pic:cNvPr id="0" name="figure_7_actual_vs_predicted.png"/>
                    <pic:cNvPicPr/>
                  </pic:nvPicPr>
                  <pic:blipFill>
                    <a:blip r:embed="rId11"/>
                    <a:stretch>
                      <a:fillRect/>
                    </a:stretch>
                  </pic:blipFill>
                  <pic:spPr>
                    <a:xfrm>
                      <a:off x="0" y="0"/>
                      <a:ext cx="5486400" cy="2493818"/>
                    </a:xfrm>
                    <a:prstGeom prst="rect"/>
                  </pic:spPr>
                </pic:pic>
              </a:graphicData>
            </a:graphic>
          </wp:inline>
        </w:drawing>
      </w:r>
    </w:p>
    <w:p>
      <w:pPr>
        <w:keepLines/>
        <w:jc w:val="center"/>
      </w:pPr>
      <w:r>
        <w:rPr>
          <w:rFonts w:ascii="Times New Roman" w:hAnsi="Times New Roman"/>
          <w:b w:val="0"/>
          <w:i/>
          <w:sz w:val="20"/>
        </w:rPr>
        <w:t>Figure 2. Observed versus predicted city-wide next-day request totals over the test period for the selected model.</w:t>
      </w:r>
    </w:p>
    <w:p>
      <w:pPr>
        <w:keepNext/>
        <w:spacing w:before="240" w:after="120"/>
      </w:pPr>
      <w:r>
        <w:rPr>
          <w:rFonts w:ascii="Times New Roman" w:hAnsi="Times New Roman"/>
          <w:b/>
          <w:i w:val="0"/>
          <w:sz w:val="28"/>
        </w:rPr>
        <w:t>6. Forecast-to-Decision Simulation</w:t>
      </w:r>
    </w:p>
    <w:p>
      <w:pPr>
        <w:jc w:val="both"/>
      </w:pPr>
      <w:r>
        <w:rPr>
          <w:rFonts w:ascii="Times New Roman" w:hAnsi="Times New Roman"/>
          <w:b w:val="0"/>
          <w:i w:val="0"/>
          <w:sz w:val="24"/>
        </w:rPr>
        <w:t>At the baseline budget (135 crews, 50 requests per crew, 163 test days), total weighted unmet demand is 643,324 under the internal-history policy and 631,191 under calendar + weather, versus an oracle of 597,332: the augmented policy reduces weighted unmet demand by 1.886% and closes 26.381% of the baseline-to-oracle gap.</w:t>
      </w:r>
    </w:p>
    <w:p>
      <w:pPr>
        <w:jc w:val="both"/>
      </w:pPr>
      <w:r>
        <w:rPr>
          <w:rFonts w:ascii="Times New Roman" w:hAnsi="Times New Roman"/>
          <w:b w:val="0"/>
          <w:i w:val="0"/>
          <w:sz w:val="24"/>
        </w:rPr>
        <w:t>Across crew budgets (Table 3, Figure 3) the calendar + weather policy is better than the baseline in all three settings, but the magnitude grows with capacity: the weighted-unmet reduction is 0.38% (scarce, 100 crews), 4.32% (moderate, 160), and 14.53% (generous, 220). The headline contrast - an approximately 11-15% forecast-accuracy gain versus a roughly 1.9% decision-quality gain at the baseline budget - is the central observation: average accuracy and operational value are not the same, and a scarce budget with demand concentrated in a few large cells limits how much any forecast can help.</w:t>
      </w:r>
    </w:p>
    <w:p>
      <w:pPr>
        <w:keepNext/>
        <w:spacing w:before="160"/>
      </w:pPr>
      <w:r>
        <w:rPr>
          <w:rFonts w:ascii="Times New Roman" w:hAnsi="Times New Roman"/>
          <w:b/>
          <w:i w:val="0"/>
          <w:sz w:val="22"/>
        </w:rPr>
        <w:t>Table 3. Decision sensitivity by crew budget. Stylized simulation; total weighted unmet demand (lower is better); calendar + weather versus internal history.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cantSplit/>
        </w:trPr>
        <w:tc>
          <w:tcPr>
            <w:tcW w:type="dxa" w:w="1337"/>
          </w:tcPr>
          <w:p>
            <w:r/>
            <w:r>
              <w:rPr>
                <w:rFonts w:ascii="Times New Roman" w:hAnsi="Times New Roman"/>
                <w:b/>
                <w:i w:val="0"/>
                <w:sz w:val="20"/>
              </w:rPr>
              <w:t>Setting</w:t>
            </w:r>
          </w:p>
        </w:tc>
        <w:tc>
          <w:tcPr>
            <w:tcW w:type="dxa" w:w="1337"/>
          </w:tcPr>
          <w:p>
            <w:r/>
            <w:r>
              <w:rPr>
                <w:rFonts w:ascii="Times New Roman" w:hAnsi="Times New Roman"/>
                <w:b/>
                <w:i w:val="0"/>
                <w:sz w:val="20"/>
              </w:rPr>
              <w:t>Crews</w:t>
            </w:r>
          </w:p>
        </w:tc>
        <w:tc>
          <w:tcPr>
            <w:tcW w:type="dxa" w:w="1337"/>
          </w:tcPr>
          <w:p>
            <w:r/>
            <w:r>
              <w:rPr>
                <w:rFonts w:ascii="Times New Roman" w:hAnsi="Times New Roman"/>
                <w:b/>
                <w:i w:val="0"/>
                <w:sz w:val="20"/>
              </w:rPr>
              <w:t>Internal</w:t>
            </w:r>
          </w:p>
        </w:tc>
        <w:tc>
          <w:tcPr>
            <w:tcW w:type="dxa" w:w="1337"/>
          </w:tcPr>
          <w:p>
            <w:r/>
            <w:r>
              <w:rPr>
                <w:rFonts w:ascii="Times New Roman" w:hAnsi="Times New Roman"/>
                <w:b/>
                <w:i w:val="0"/>
                <w:sz w:val="20"/>
              </w:rPr>
              <w:t>Calendar+Weather</w:t>
            </w:r>
          </w:p>
        </w:tc>
        <w:tc>
          <w:tcPr>
            <w:tcW w:type="dxa" w:w="1337"/>
          </w:tcPr>
          <w:p>
            <w:r/>
            <w:r>
              <w:rPr>
                <w:rFonts w:ascii="Times New Roman" w:hAnsi="Times New Roman"/>
                <w:b/>
                <w:i w:val="0"/>
                <w:sz w:val="20"/>
              </w:rPr>
              <w:t>Oracle</w:t>
            </w:r>
          </w:p>
        </w:tc>
        <w:tc>
          <w:tcPr>
            <w:tcW w:type="dxa" w:w="1337"/>
          </w:tcPr>
          <w:p>
            <w:r/>
            <w:r>
              <w:rPr>
                <w:rFonts w:ascii="Times New Roman" w:hAnsi="Times New Roman"/>
                <w:b/>
                <w:i w:val="0"/>
                <w:sz w:val="20"/>
              </w:rPr>
              <w:t>Reduction</w:t>
            </w:r>
          </w:p>
        </w:tc>
        <w:tc>
          <w:tcPr>
            <w:tcW w:type="dxa" w:w="1337"/>
          </w:tcPr>
          <w:p>
            <w:r/>
            <w:r>
              <w:rPr>
                <w:rFonts w:ascii="Times New Roman" w:hAnsi="Times New Roman"/>
                <w:b/>
                <w:i w:val="0"/>
                <w:sz w:val="20"/>
              </w:rPr>
              <w:t>Oracle gap closed</w:t>
            </w:r>
          </w:p>
        </w:tc>
      </w:tr>
      <w:tr>
        <w:trPr>
          <w:cantSplit/>
        </w:trPr>
        <w:tc>
          <w:tcPr>
            <w:tcW w:type="dxa" w:w="1337"/>
          </w:tcPr>
          <w:p>
            <w:r/>
            <w:r>
              <w:rPr>
                <w:rFonts w:ascii="Times New Roman" w:hAnsi="Times New Roman"/>
                <w:b w:val="0"/>
                <w:i w:val="0"/>
                <w:sz w:val="20"/>
              </w:rPr>
              <w:t>scarce</w:t>
            </w:r>
          </w:p>
        </w:tc>
        <w:tc>
          <w:tcPr>
            <w:tcW w:type="dxa" w:w="1337"/>
          </w:tcPr>
          <w:p>
            <w:r/>
            <w:r>
              <w:rPr>
                <w:rFonts w:ascii="Times New Roman" w:hAnsi="Times New Roman"/>
                <w:b w:val="0"/>
                <w:i w:val="0"/>
                <w:sz w:val="20"/>
              </w:rPr>
              <w:t>100</w:t>
            </w:r>
          </w:p>
        </w:tc>
        <w:tc>
          <w:tcPr>
            <w:tcW w:type="dxa" w:w="1337"/>
          </w:tcPr>
          <w:p>
            <w:r/>
            <w:r>
              <w:rPr>
                <w:rFonts w:ascii="Times New Roman" w:hAnsi="Times New Roman"/>
                <w:b w:val="0"/>
                <w:i w:val="0"/>
                <w:sz w:val="20"/>
              </w:rPr>
              <w:t>941,817</w:t>
            </w:r>
          </w:p>
        </w:tc>
        <w:tc>
          <w:tcPr>
            <w:tcW w:type="dxa" w:w="1337"/>
          </w:tcPr>
          <w:p>
            <w:r/>
            <w:r>
              <w:rPr>
                <w:rFonts w:ascii="Times New Roman" w:hAnsi="Times New Roman"/>
                <w:b w:val="0"/>
                <w:i w:val="0"/>
                <w:sz w:val="20"/>
              </w:rPr>
              <w:t>938,211</w:t>
            </w:r>
          </w:p>
        </w:tc>
        <w:tc>
          <w:tcPr>
            <w:tcW w:type="dxa" w:w="1337"/>
          </w:tcPr>
          <w:p>
            <w:r/>
            <w:r>
              <w:rPr>
                <w:rFonts w:ascii="Times New Roman" w:hAnsi="Times New Roman"/>
                <w:b w:val="0"/>
                <w:i w:val="0"/>
                <w:sz w:val="20"/>
              </w:rPr>
              <w:t>928,491</w:t>
            </w:r>
          </w:p>
        </w:tc>
        <w:tc>
          <w:tcPr>
            <w:tcW w:type="dxa" w:w="1337"/>
          </w:tcPr>
          <w:p>
            <w:r/>
            <w:r>
              <w:rPr>
                <w:rFonts w:ascii="Times New Roman" w:hAnsi="Times New Roman"/>
                <w:b w:val="0"/>
                <w:i w:val="0"/>
                <w:sz w:val="20"/>
              </w:rPr>
              <w:t>0.38%</w:t>
            </w:r>
          </w:p>
        </w:tc>
        <w:tc>
          <w:tcPr>
            <w:tcW w:type="dxa" w:w="1337"/>
          </w:tcPr>
          <w:p>
            <w:r/>
            <w:r>
              <w:rPr>
                <w:rFonts w:ascii="Times New Roman" w:hAnsi="Times New Roman"/>
                <w:b w:val="0"/>
                <w:i w:val="0"/>
                <w:sz w:val="20"/>
              </w:rPr>
              <w:t>27.06%</w:t>
            </w:r>
          </w:p>
        </w:tc>
      </w:tr>
      <w:tr>
        <w:trPr>
          <w:cantSplit/>
        </w:trPr>
        <w:tc>
          <w:tcPr>
            <w:tcW w:type="dxa" w:w="1337"/>
          </w:tcPr>
          <w:p>
            <w:r/>
            <w:r>
              <w:rPr>
                <w:rFonts w:ascii="Times New Roman" w:hAnsi="Times New Roman"/>
                <w:b w:val="0"/>
                <w:i w:val="0"/>
                <w:sz w:val="20"/>
              </w:rPr>
              <w:t>moderate</w:t>
            </w:r>
          </w:p>
        </w:tc>
        <w:tc>
          <w:tcPr>
            <w:tcW w:type="dxa" w:w="1337"/>
          </w:tcPr>
          <w:p>
            <w:r/>
            <w:r>
              <w:rPr>
                <w:rFonts w:ascii="Times New Roman" w:hAnsi="Times New Roman"/>
                <w:b w:val="0"/>
                <w:i w:val="0"/>
                <w:sz w:val="20"/>
              </w:rPr>
              <w:t>160</w:t>
            </w:r>
          </w:p>
        </w:tc>
        <w:tc>
          <w:tcPr>
            <w:tcW w:type="dxa" w:w="1337"/>
          </w:tcPr>
          <w:p>
            <w:r/>
            <w:r>
              <w:rPr>
                <w:rFonts w:ascii="Times New Roman" w:hAnsi="Times New Roman"/>
                <w:b w:val="0"/>
                <w:i w:val="0"/>
                <w:sz w:val="20"/>
              </w:rPr>
              <w:t>454,073</w:t>
            </w:r>
          </w:p>
        </w:tc>
        <w:tc>
          <w:tcPr>
            <w:tcW w:type="dxa" w:w="1337"/>
          </w:tcPr>
          <w:p>
            <w:r/>
            <w:r>
              <w:rPr>
                <w:rFonts w:ascii="Times New Roman" w:hAnsi="Times New Roman"/>
                <w:b w:val="0"/>
                <w:i w:val="0"/>
                <w:sz w:val="20"/>
              </w:rPr>
              <w:t>434,469</w:t>
            </w:r>
          </w:p>
        </w:tc>
        <w:tc>
          <w:tcPr>
            <w:tcW w:type="dxa" w:w="1337"/>
          </w:tcPr>
          <w:p>
            <w:r/>
            <w:r>
              <w:rPr>
                <w:rFonts w:ascii="Times New Roman" w:hAnsi="Times New Roman"/>
                <w:b w:val="0"/>
                <w:i w:val="0"/>
                <w:sz w:val="20"/>
              </w:rPr>
              <w:t>367,553</w:t>
            </w:r>
          </w:p>
        </w:tc>
        <w:tc>
          <w:tcPr>
            <w:tcW w:type="dxa" w:w="1337"/>
          </w:tcPr>
          <w:p>
            <w:r/>
            <w:r>
              <w:rPr>
                <w:rFonts w:ascii="Times New Roman" w:hAnsi="Times New Roman"/>
                <w:b w:val="0"/>
                <w:i w:val="0"/>
                <w:sz w:val="20"/>
              </w:rPr>
              <w:t>4.32%</w:t>
            </w:r>
          </w:p>
        </w:tc>
        <w:tc>
          <w:tcPr>
            <w:tcW w:type="dxa" w:w="1337"/>
          </w:tcPr>
          <w:p>
            <w:r/>
            <w:r>
              <w:rPr>
                <w:rFonts w:ascii="Times New Roman" w:hAnsi="Times New Roman"/>
                <w:b w:val="0"/>
                <w:i w:val="0"/>
                <w:sz w:val="20"/>
              </w:rPr>
              <w:t>22.66%</w:t>
            </w:r>
          </w:p>
        </w:tc>
      </w:tr>
      <w:tr>
        <w:trPr>
          <w:cantSplit/>
        </w:trPr>
        <w:tc>
          <w:tcPr>
            <w:tcW w:type="dxa" w:w="1337"/>
          </w:tcPr>
          <w:p>
            <w:r/>
            <w:r>
              <w:rPr>
                <w:rFonts w:ascii="Times New Roman" w:hAnsi="Times New Roman"/>
                <w:b w:val="0"/>
                <w:i w:val="0"/>
                <w:sz w:val="20"/>
              </w:rPr>
              <w:t>generous</w:t>
            </w:r>
          </w:p>
        </w:tc>
        <w:tc>
          <w:tcPr>
            <w:tcW w:type="dxa" w:w="1337"/>
          </w:tcPr>
          <w:p>
            <w:r/>
            <w:r>
              <w:rPr>
                <w:rFonts w:ascii="Times New Roman" w:hAnsi="Times New Roman"/>
                <w:b w:val="0"/>
                <w:i w:val="0"/>
                <w:sz w:val="20"/>
              </w:rPr>
              <w:t>220</w:t>
            </w:r>
          </w:p>
        </w:tc>
        <w:tc>
          <w:tcPr>
            <w:tcW w:type="dxa" w:w="1337"/>
          </w:tcPr>
          <w:p>
            <w:r/>
            <w:r>
              <w:rPr>
                <w:rFonts w:ascii="Times New Roman" w:hAnsi="Times New Roman"/>
                <w:b w:val="0"/>
                <w:i w:val="0"/>
                <w:sz w:val="20"/>
              </w:rPr>
              <w:t>164,197</w:t>
            </w:r>
          </w:p>
        </w:tc>
        <w:tc>
          <w:tcPr>
            <w:tcW w:type="dxa" w:w="1337"/>
          </w:tcPr>
          <w:p>
            <w:r/>
            <w:r>
              <w:rPr>
                <w:rFonts w:ascii="Times New Roman" w:hAnsi="Times New Roman"/>
                <w:b w:val="0"/>
                <w:i w:val="0"/>
                <w:sz w:val="20"/>
              </w:rPr>
              <w:t>140,346</w:t>
            </w:r>
          </w:p>
        </w:tc>
        <w:tc>
          <w:tcPr>
            <w:tcW w:type="dxa" w:w="1337"/>
          </w:tcPr>
          <w:p>
            <w:r/>
            <w:r>
              <w:rPr>
                <w:rFonts w:ascii="Times New Roman" w:hAnsi="Times New Roman"/>
                <w:b w:val="0"/>
                <w:i w:val="0"/>
                <w:sz w:val="20"/>
              </w:rPr>
              <w:t>50,865</w:t>
            </w:r>
          </w:p>
        </w:tc>
        <w:tc>
          <w:tcPr>
            <w:tcW w:type="dxa" w:w="1337"/>
          </w:tcPr>
          <w:p>
            <w:r/>
            <w:r>
              <w:rPr>
                <w:rFonts w:ascii="Times New Roman" w:hAnsi="Times New Roman"/>
                <w:b w:val="0"/>
                <w:i w:val="0"/>
                <w:sz w:val="20"/>
              </w:rPr>
              <w:t>14.53%</w:t>
            </w:r>
          </w:p>
        </w:tc>
        <w:tc>
          <w:tcPr>
            <w:tcW w:type="dxa" w:w="1337"/>
          </w:tcPr>
          <w:p>
            <w:r/>
            <w:r>
              <w:rPr>
                <w:rFonts w:ascii="Times New Roman" w:hAnsi="Times New Roman"/>
                <w:b w:val="0"/>
                <w:i w:val="0"/>
                <w:sz w:val="20"/>
              </w:rPr>
              <w:t>21.05%</w:t>
            </w:r>
          </w:p>
        </w:tc>
      </w:tr>
    </w:tbl>
    <w:p/>
    <w:p>
      <w:pPr>
        <w:keepNext/>
        <w:keepLines/>
        <w:spacing w:before="120"/>
        <w:jc w:val="center"/>
      </w:pPr>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figure_6_decision_sensitivity.png"/>
                    <pic:cNvPicPr/>
                  </pic:nvPicPr>
                  <pic:blipFill>
                    <a:blip r:embed="rId12"/>
                    <a:stretch>
                      <a:fillRect/>
                    </a:stretch>
                  </pic:blipFill>
                  <pic:spPr>
                    <a:xfrm>
                      <a:off x="0" y="0"/>
                      <a:ext cx="5486400" cy="3048000"/>
                    </a:xfrm>
                    <a:prstGeom prst="rect"/>
                  </pic:spPr>
                </pic:pic>
              </a:graphicData>
            </a:graphic>
          </wp:inline>
        </w:drawing>
      </w:r>
    </w:p>
    <w:p>
      <w:pPr>
        <w:keepLines/>
        <w:jc w:val="center"/>
      </w:pPr>
      <w:r>
        <w:rPr>
          <w:rFonts w:ascii="Times New Roman" w:hAnsi="Times New Roman"/>
          <w:b w:val="0"/>
          <w:i/>
          <w:sz w:val="20"/>
        </w:rPr>
        <w:t>Figure 3. Total weighted unmet demand by policy under scarce, moderate, and generous crew budgets.</w:t>
      </w:r>
    </w:p>
    <w:p>
      <w:pPr>
        <w:keepNext/>
        <w:spacing w:before="240" w:after="120"/>
      </w:pPr>
      <w:r>
        <w:rPr>
          <w:rFonts w:ascii="Times New Roman" w:hAnsi="Times New Roman"/>
          <w:b/>
          <w:i w:val="0"/>
          <w:sz w:val="28"/>
        </w:rPr>
        <w:t>7. Robustness Checks</w:t>
      </w:r>
    </w:p>
    <w:p>
      <w:pPr>
        <w:jc w:val="both"/>
      </w:pPr>
      <w:r>
        <w:rPr>
          <w:rFonts w:ascii="Times New Roman" w:hAnsi="Times New Roman"/>
          <w:b w:val="0"/>
          <w:i w:val="0"/>
          <w:sz w:val="24"/>
        </w:rPr>
        <w:t>Five-fold expanding-window rolling-origin validation (Figure 4; full table in Appendix C) shows calendar augmentation lowering MAE in every fold for every model: mean improvement 15.13% for the random forest, 9.94% for gradient boosting, and 0.94% for Ridge, each in all 5 of 5 folds. The calendar + weather random forest has the lowest mean fold MAE (47.497). Segmented analysis (random forest, internal history versus calendar; Appendix G) shows the improvement holds for all five boroughs (about 8.8% to 18.8%) and all eight complaint groups (about 8.9% to 25.8%); absolute error concentrates in the highest-volume segments (Noise, Housing; the Bronx). The forecast improvement is therefore consistent across folds and segments, not an artifact of one split.</w:t>
      </w:r>
    </w:p>
    <w:p>
      <w:pPr>
        <w:keepNext/>
        <w:keepLines/>
        <w:spacing w:before="120"/>
        <w:jc w:val="center"/>
      </w:pPr>
      <w:r>
        <w:drawing>
          <wp:inline xmlns:a="http://schemas.openxmlformats.org/drawingml/2006/main" xmlns:pic="http://schemas.openxmlformats.org/drawingml/2006/picture">
            <wp:extent cx="5486400" cy="2992582"/>
            <wp:docPr id="4" name="Picture 4"/>
            <wp:cNvGraphicFramePr>
              <a:graphicFrameLocks noChangeAspect="1"/>
            </wp:cNvGraphicFramePr>
            <a:graphic>
              <a:graphicData uri="http://schemas.openxmlformats.org/drawingml/2006/picture">
                <pic:pic>
                  <pic:nvPicPr>
                    <pic:cNvPr id="0" name="figure_3_rolling_validation_mae.png"/>
                    <pic:cNvPicPr/>
                  </pic:nvPicPr>
                  <pic:blipFill>
                    <a:blip r:embed="rId13"/>
                    <a:stretch>
                      <a:fillRect/>
                    </a:stretch>
                  </pic:blipFill>
                  <pic:spPr>
                    <a:xfrm>
                      <a:off x="0" y="0"/>
                      <a:ext cx="5486400" cy="2992582"/>
                    </a:xfrm>
                    <a:prstGeom prst="rect"/>
                  </pic:spPr>
                </pic:pic>
              </a:graphicData>
            </a:graphic>
          </wp:inline>
        </w:drawing>
      </w:r>
    </w:p>
    <w:p>
      <w:pPr>
        <w:keepLines/>
        <w:jc w:val="center"/>
      </w:pPr>
      <w:r>
        <w:rPr>
          <w:rFonts w:ascii="Times New Roman" w:hAnsi="Times New Roman"/>
          <w:b w:val="0"/>
          <w:i/>
          <w:sz w:val="20"/>
        </w:rPr>
        <w:t>Figure 4. Per-fold test MAE by configuration across five expanding-window chronological folds.</w:t>
      </w:r>
    </w:p>
    <w:p>
      <w:pPr>
        <w:keepNext/>
        <w:spacing w:before="240" w:after="120"/>
      </w:pPr>
      <w:r>
        <w:rPr>
          <w:rFonts w:ascii="Times New Roman" w:hAnsi="Times New Roman"/>
          <w:b/>
          <w:i w:val="0"/>
          <w:sz w:val="28"/>
        </w:rPr>
        <w:t>8. Limitations</w:t>
      </w:r>
    </w:p>
    <w:p>
      <w:pPr>
        <w:jc w:val="both"/>
      </w:pPr>
      <w:r>
        <w:rPr>
          <w:rFonts w:ascii="Times New Roman" w:hAnsi="Times New Roman"/>
          <w:b w:val="0"/>
          <w:i w:val="0"/>
          <w:sz w:val="24"/>
        </w:rPr>
        <w:t>The study is predictive and correlational and makes no causal claim. NYC 311 reflects reporting behaviour, not true incidence (reporting bias), so forecasts predict reported volume. Weather is a single Central Park station used as a city-level proxy. Borough-level aggregation hides within-borough variation; the complaint-group mapping is a deterministic approximation with a residual Other group. No transit or event data is included. The staffing simulation is a stylized proportional heuristic - it omits crew travel, shifts, backlog, intra-day timing, and substitution, and it uses no observed dispatch decisions. Results apply to NYC and 2022-2024 only.</w:t>
      </w:r>
    </w:p>
    <w:p>
      <w:pPr>
        <w:jc w:val="both"/>
      </w:pPr>
      <w:r>
        <w:rPr>
          <w:rFonts w:ascii="Times New Roman" w:hAnsi="Times New Roman"/>
          <w:b w:val="0"/>
          <w:i w:val="0"/>
          <w:sz w:val="24"/>
        </w:rPr>
        <w:t>Natural extensions of this work: a non-stylized, agency-grounded decision model with an empirical service-level realism check; formal forecast-difference testing (for example a Diebold-Mariano test) with uncertainty intervals; and broader external signals beyond a single weather station, or cross-city replication.</w:t>
      </w:r>
    </w:p>
    <w:p>
      <w:pPr>
        <w:keepNext/>
        <w:spacing w:before="240" w:after="120"/>
      </w:pPr>
      <w:r>
        <w:rPr>
          <w:rFonts w:ascii="Times New Roman" w:hAnsi="Times New Roman"/>
          <w:b/>
          <w:i w:val="0"/>
          <w:sz w:val="28"/>
        </w:rPr>
        <w:t>9. Conclusion</w:t>
      </w:r>
    </w:p>
    <w:p>
      <w:pPr>
        <w:jc w:val="both"/>
      </w:pPr>
      <w:r>
        <w:rPr>
          <w:rFonts w:ascii="Times New Roman" w:hAnsi="Times New Roman"/>
          <w:b w:val="0"/>
          <w:i w:val="0"/>
          <w:sz w:val="24"/>
        </w:rPr>
        <w:t>On real NYC 311 data augmented with real NOAA weather, public-signal augmentation consistently improves next-day service-demand forecasts - calendar most, weather a smaller consistent increment - across rolling folds, boroughs, and complaint groups. The improvement transfers in direction to a stylized staffing allocation but with attenuated, budget-dependent magnitude. The forecast gains are real and robust; the decision gains are smaller and conditional on capacity. This provides a reproducible baseline for forecast-to-decision evaluation in municipal service operations.</w:t>
      </w:r>
    </w:p>
    <w:p>
      <w:pPr>
        <w:keepNext/>
        <w:spacing w:before="240" w:after="120"/>
      </w:pPr>
      <w:r>
        <w:rPr>
          <w:rFonts w:ascii="Times New Roman" w:hAnsi="Times New Roman"/>
          <w:b/>
          <w:i w:val="0"/>
          <w:sz w:val="28"/>
        </w:rPr>
        <w:t>Reproducibility Statement</w:t>
      </w:r>
    </w:p>
    <w:p>
      <w:pPr>
        <w:jc w:val="both"/>
      </w:pPr>
      <w:r>
        <w:rPr>
          <w:rFonts w:ascii="Times New Roman" w:hAnsi="Times New Roman"/>
          <w:b w:val="0"/>
          <w:i w:val="0"/>
          <w:sz w:val="24"/>
        </w:rPr>
        <w:t>All reported values derive from the analysis described in Sections 3-7, run on Python 3.11 with fixed random seeds. The analysis comprises weather ingestion, dataset construction, model training, evaluation, the decision simulation, rolling-origin validation, per-segment robustness analysis, crew-budget sensitivity, and practical-significance summaries; each stage is fully automated and reproducible from the public data sources. The aggregated real daily counts and the real NOAA weather export are retained as inputs; the large raw monthly exports and the trained model are regenerable from the public sources.</w:t>
      </w:r>
    </w:p>
    <w:p>
      <w:pPr>
        <w:keepNext/>
        <w:spacing w:before="240" w:after="120"/>
      </w:pPr>
      <w:r>
        <w:rPr>
          <w:rFonts w:ascii="Times New Roman" w:hAnsi="Times New Roman"/>
          <w:b/>
          <w:i w:val="0"/>
          <w:sz w:val="28"/>
        </w:rPr>
        <w:t>Data Availability Statement</w:t>
      </w:r>
    </w:p>
    <w:p>
      <w:pPr>
        <w:jc w:val="both"/>
      </w:pPr>
      <w:r>
        <w:rPr>
          <w:rFonts w:ascii="Times New Roman" w:hAnsi="Times New Roman"/>
          <w:b w:val="0"/>
          <w:i w:val="0"/>
          <w:sz w:val="24"/>
        </w:rPr>
        <w:t>NYC 311 Service Requests are publicly available via NYC Open Data (Socrata dataset erm2-nwe9; City of New York, accessed 2026). NOAA NCEI Daily Summaries (GHCN-Daily) for station USW00094728 are publicly available (NOAA NCEI, accessed 2026). The study window is 2022-2024. The aggregated daily counts and the NOAA weather export used here are provided with the analysis materials; the large raw monthly 311 exports and the processed modelling dataset are regenerable from the public sources. No synthetic data and no synthetic weather are used.</w:t>
      </w:r>
    </w:p>
    <w:p>
      <w:pPr>
        <w:keepNext/>
        <w:spacing w:before="240" w:after="120"/>
      </w:pPr>
      <w:r>
        <w:rPr>
          <w:rFonts w:ascii="Times New Roman" w:hAnsi="Times New Roman"/>
          <w:b/>
          <w:i w:val="0"/>
          <w:sz w:val="28"/>
        </w:rPr>
        <w:t>Ethics Statement</w:t>
      </w:r>
    </w:p>
    <w:p>
      <w:pPr>
        <w:jc w:val="both"/>
      </w:pPr>
      <w:r>
        <w:rPr>
          <w:rFonts w:ascii="Times New Roman" w:hAnsi="Times New Roman"/>
          <w:b w:val="0"/>
          <w:i w:val="0"/>
          <w:sz w:val="24"/>
        </w:rPr>
        <w:t>The study uses public data only, at an aggregate date × borough × complaint-group level; no individual-level records and no personal data are used or produced. It makes no individual-level decisions and is not a deployed system. It makes no causal claim and no real dispatch or staffing-optimization claim. NYC 311 reflects reporting behaviour, not true incidence; reporting propensity varies across communities and time, so forecasts of 311 volume are forecasts of reporting, not of need, and must not be read as measures of true demand or used in ways that could compound existing inequities.</w:t>
      </w:r>
    </w:p>
    <w:p>
      <w:r>
        <w:br w:type="page"/>
      </w:r>
    </w:p>
    <w:p>
      <w:pPr>
        <w:keepNext/>
        <w:spacing w:before="240" w:after="120"/>
      </w:pPr>
      <w:r>
        <w:rPr>
          <w:rFonts w:ascii="Times New Roman" w:hAnsi="Times New Roman"/>
          <w:b/>
          <w:i w:val="0"/>
          <w:sz w:val="28"/>
        </w:rPr>
        <w:t>Appendix</w:t>
      </w:r>
    </w:p>
    <w:p>
      <w:pPr>
        <w:keepNext/>
        <w:spacing w:before="240" w:after="120"/>
      </w:pPr>
      <w:r>
        <w:rPr>
          <w:rFonts w:ascii="Times New Roman" w:hAnsi="Times New Roman"/>
          <w:b/>
          <w:i w:val="0"/>
          <w:sz w:val="24"/>
        </w:rPr>
        <w:t>A. Feature and feature-set definitions</w:t>
      </w:r>
    </w:p>
    <w:p>
      <w:pPr>
        <w:jc w:val="both"/>
      </w:pPr>
      <w:r>
        <w:rPr>
          <w:rFonts w:ascii="Times New Roman" w:hAnsi="Times New Roman"/>
          <w:b w:val="0"/>
          <w:i w:val="0"/>
          <w:sz w:val="24"/>
        </w:rPr>
        <w:t>Lag features (request_lag_1, request_lag_7) and rolling statistics (rolling_mean_7/14, rolling_std_7/14) per (borough, complaint group) cell, using only past observations with a one-day shift. Calendar features: is_weekend, is_holiday, day_of_week, month, quarter, year, day_of_year, week_of_year, is_month_start, is_month_end. Weather features: precipitation_mm, temp_max_c, temp_min_c, temp_avg_c, snowfall_mm, snow_depth_mm, wind_speed_ms. The four feature sets - internal history (internal_historical), calendar (calendar_augmented), weather (weather_augmented), and calendar + weather (calendar_weather_augmented) - are listed in Table A1.</w:t>
      </w:r>
    </w:p>
    <w:p>
      <w:pPr>
        <w:keepNext/>
        <w:spacing w:before="160"/>
      </w:pPr>
      <w:r>
        <w:rPr>
          <w:rFonts w:ascii="Times New Roman" w:hAnsi="Times New Roman"/>
          <w:b/>
          <w:i w:val="0"/>
          <w:sz w:val="22"/>
        </w:rPr>
        <w:t>Table A1. Feature sets.</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4680"/>
          </w:tcPr>
          <w:p>
            <w:r/>
            <w:r>
              <w:rPr>
                <w:rFonts w:ascii="Times New Roman" w:hAnsi="Times New Roman"/>
                <w:b/>
                <w:i w:val="0"/>
                <w:sz w:val="20"/>
              </w:rPr>
              <w:t>Feature set</w:t>
            </w:r>
          </w:p>
        </w:tc>
        <w:tc>
          <w:tcPr>
            <w:tcW w:type="dxa" w:w="4680"/>
          </w:tcPr>
          <w:p>
            <w:r/>
            <w:r>
              <w:rPr>
                <w:rFonts w:ascii="Times New Roman" w:hAnsi="Times New Roman"/>
                <w:b/>
                <w:i w:val="0"/>
                <w:sz w:val="20"/>
              </w:rPr>
              <w:t>Features</w:t>
            </w:r>
          </w:p>
        </w:tc>
      </w:tr>
      <w:tr>
        <w:trPr>
          <w:cantSplit/>
        </w:trPr>
        <w:tc>
          <w:tcPr>
            <w:tcW w:type="dxa" w:w="4680"/>
          </w:tcPr>
          <w:p>
            <w:r/>
            <w:r>
              <w:rPr>
                <w:rFonts w:ascii="Times New Roman" w:hAnsi="Times New Roman"/>
                <w:b w:val="0"/>
                <w:i w:val="0"/>
                <w:sz w:val="20"/>
              </w:rPr>
              <w:t>internal_historical</w:t>
            </w:r>
          </w:p>
        </w:tc>
        <w:tc>
          <w:tcPr>
            <w:tcW w:type="dxa" w:w="4680"/>
          </w:tcPr>
          <w:p>
            <w:r/>
            <w:r>
              <w:rPr>
                <w:rFonts w:ascii="Times New Roman" w:hAnsi="Times New Roman"/>
                <w:b w:val="0"/>
                <w:i w:val="0"/>
                <w:sz w:val="20"/>
              </w:rPr>
              <w:t>borough, complaint_group, request_lag_1, request_lag_7, rolling_mean_7, rolling_mean_14, rolling_std_7, rolling_std_14</w:t>
            </w:r>
          </w:p>
        </w:tc>
      </w:tr>
      <w:tr>
        <w:trPr>
          <w:cantSplit/>
        </w:trPr>
        <w:tc>
          <w:tcPr>
            <w:tcW w:type="dxa" w:w="4680"/>
          </w:tcPr>
          <w:p>
            <w:r/>
            <w:r>
              <w:rPr>
                <w:rFonts w:ascii="Times New Roman" w:hAnsi="Times New Roman"/>
                <w:b w:val="0"/>
                <w:i w:val="0"/>
                <w:sz w:val="20"/>
              </w:rPr>
              <w:t>calendar_augmented</w:t>
            </w:r>
          </w:p>
        </w:tc>
        <w:tc>
          <w:tcPr>
            <w:tcW w:type="dxa" w:w="4680"/>
          </w:tcPr>
          <w:p>
            <w:r/>
            <w:r>
              <w:rPr>
                <w:rFonts w:ascii="Times New Roman" w:hAnsi="Times New Roman"/>
                <w:b w:val="0"/>
                <w:i w:val="0"/>
                <w:sz w:val="20"/>
              </w:rPr>
              <w:t>internal_historical + is_weekend, is_holiday, day_of_week, month, quarter, year, day_of_year, week_of_year, is_month_start, is_month_end</w:t>
            </w:r>
          </w:p>
        </w:tc>
      </w:tr>
      <w:tr>
        <w:trPr>
          <w:cantSplit/>
        </w:trPr>
        <w:tc>
          <w:tcPr>
            <w:tcW w:type="dxa" w:w="4680"/>
          </w:tcPr>
          <w:p>
            <w:r/>
            <w:r>
              <w:rPr>
                <w:rFonts w:ascii="Times New Roman" w:hAnsi="Times New Roman"/>
                <w:b w:val="0"/>
                <w:i w:val="0"/>
                <w:sz w:val="20"/>
              </w:rPr>
              <w:t>weather_augmented</w:t>
            </w:r>
          </w:p>
        </w:tc>
        <w:tc>
          <w:tcPr>
            <w:tcW w:type="dxa" w:w="4680"/>
          </w:tcPr>
          <w:p>
            <w:r/>
            <w:r>
              <w:rPr>
                <w:rFonts w:ascii="Times New Roman" w:hAnsi="Times New Roman"/>
                <w:b w:val="0"/>
                <w:i w:val="0"/>
                <w:sz w:val="20"/>
              </w:rPr>
              <w:t>internal_historical + precipitation_mm, temp_max_c, temp_min_c, temp_avg_c, snowfall_mm, snow_depth_mm, wind_speed_ms</w:t>
            </w:r>
          </w:p>
        </w:tc>
      </w:tr>
      <w:tr>
        <w:trPr>
          <w:cantSplit/>
        </w:trPr>
        <w:tc>
          <w:tcPr>
            <w:tcW w:type="dxa" w:w="4680"/>
          </w:tcPr>
          <w:p>
            <w:r/>
            <w:r>
              <w:rPr>
                <w:rFonts w:ascii="Times New Roman" w:hAnsi="Times New Roman"/>
                <w:b w:val="0"/>
                <w:i w:val="0"/>
                <w:sz w:val="20"/>
              </w:rPr>
              <w:t>calendar_weather_augmented</w:t>
            </w:r>
          </w:p>
        </w:tc>
        <w:tc>
          <w:tcPr>
            <w:tcW w:type="dxa" w:w="4680"/>
          </w:tcPr>
          <w:p>
            <w:r/>
            <w:r>
              <w:rPr>
                <w:rFonts w:ascii="Times New Roman" w:hAnsi="Times New Roman"/>
                <w:b w:val="0"/>
                <w:i w:val="0"/>
                <w:sz w:val="20"/>
              </w:rPr>
              <w:t>internal_historical + calendar features + weather features</w:t>
            </w:r>
          </w:p>
        </w:tc>
      </w:tr>
    </w:tbl>
    <w:p/>
    <w:p>
      <w:pPr>
        <w:keepNext/>
        <w:spacing w:before="240" w:after="120"/>
      </w:pPr>
      <w:r>
        <w:rPr>
          <w:rFonts w:ascii="Times New Roman" w:hAnsi="Times New Roman"/>
          <w:b/>
          <w:i w:val="0"/>
          <w:sz w:val="24"/>
        </w:rPr>
        <w:t>B. Complaint-group mapping</w:t>
      </w:r>
    </w:p>
    <w:p>
      <w:pPr>
        <w:jc w:val="both"/>
      </w:pPr>
      <w:r>
        <w:rPr>
          <w:rFonts w:ascii="Times New Roman" w:hAnsi="Times New Roman"/>
          <w:b w:val="0"/>
          <w:i w:val="0"/>
          <w:sz w:val="24"/>
        </w:rPr>
        <w:t>Raw complaint types are mapped by a deterministic, order-sensitive substring rule into eight groups (Housing, Noise, Sanitation, Street Condition, Water, Traffic, Public Safety, and a residual Other).</w:t>
      </w:r>
    </w:p>
    <w:p>
      <w:pPr>
        <w:keepNext/>
        <w:spacing w:before="240" w:after="120"/>
      </w:pPr>
      <w:r>
        <w:rPr>
          <w:rFonts w:ascii="Times New Roman" w:hAnsi="Times New Roman"/>
          <w:b/>
          <w:i w:val="0"/>
          <w:sz w:val="24"/>
        </w:rPr>
        <w:t>C. Chronological split and rolling-origin setup</w:t>
      </w:r>
    </w:p>
    <w:p>
      <w:pPr>
        <w:jc w:val="both"/>
      </w:pPr>
      <w:r>
        <w:rPr>
          <w:rFonts w:ascii="Times New Roman" w:hAnsi="Times New Roman"/>
          <w:b w:val="0"/>
          <w:i w:val="0"/>
          <w:sz w:val="24"/>
        </w:rPr>
        <w:t>Chronological 70/15/15 split by date (30,240 / 6,480 / 6,520 rows). Five expanding-window rolling-origin folds; each fold trains on all dates up to a cut point and tests on the next block, with no future information in training. Table A2 reports the mean fold MAE that underlies Figure 4.</w:t>
      </w:r>
    </w:p>
    <w:p>
      <w:pPr>
        <w:keepNext/>
        <w:spacing w:before="160"/>
      </w:pPr>
      <w:r>
        <w:rPr>
          <w:rFonts w:ascii="Times New Roman" w:hAnsi="Times New Roman"/>
          <w:b/>
          <w:i w:val="0"/>
          <w:sz w:val="22"/>
        </w:rPr>
        <w:t>Table A2. Rolling-origin validation: random-forest mean fold test MAE by feature set.</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3120"/>
          </w:tcPr>
          <w:p>
            <w:r/>
            <w:r>
              <w:rPr>
                <w:rFonts w:ascii="Times New Roman" w:hAnsi="Times New Roman"/>
                <w:b/>
                <w:i w:val="0"/>
                <w:sz w:val="20"/>
              </w:rPr>
              <w:t>Configuration</w:t>
            </w:r>
          </w:p>
        </w:tc>
        <w:tc>
          <w:tcPr>
            <w:tcW w:type="dxa" w:w="3120"/>
          </w:tcPr>
          <w:p>
            <w:r/>
            <w:r>
              <w:rPr>
                <w:rFonts w:ascii="Times New Roman" w:hAnsi="Times New Roman"/>
                <w:b/>
                <w:i w:val="0"/>
                <w:sz w:val="20"/>
              </w:rPr>
              <w:t>Mean MAE</w:t>
            </w:r>
          </w:p>
        </w:tc>
        <w:tc>
          <w:tcPr>
            <w:tcW w:type="dxa" w:w="3120"/>
          </w:tcPr>
          <w:p>
            <w:r/>
            <w:r>
              <w:rPr>
                <w:rFonts w:ascii="Times New Roman" w:hAnsi="Times New Roman"/>
                <w:b/>
                <w:i w:val="0"/>
                <w:sz w:val="20"/>
              </w:rPr>
              <w:t>Std</w:t>
            </w:r>
          </w:p>
        </w:tc>
      </w:tr>
      <w:tr>
        <w:trPr>
          <w:cantSplit/>
        </w:trPr>
        <w:tc>
          <w:tcPr>
            <w:tcW w:type="dxa" w:w="3120"/>
          </w:tcPr>
          <w:p>
            <w:r/>
            <w:r>
              <w:rPr>
                <w:rFonts w:ascii="Times New Roman" w:hAnsi="Times New Roman"/>
                <w:b w:val="0"/>
                <w:i w:val="0"/>
                <w:sz w:val="20"/>
              </w:rPr>
              <w:t>naive_seasonal</w:t>
            </w:r>
          </w:p>
        </w:tc>
        <w:tc>
          <w:tcPr>
            <w:tcW w:type="dxa" w:w="3120"/>
          </w:tcPr>
          <w:p>
            <w:r/>
            <w:r>
              <w:rPr>
                <w:rFonts w:ascii="Times New Roman" w:hAnsi="Times New Roman"/>
                <w:b w:val="0"/>
                <w:i w:val="0"/>
                <w:sz w:val="20"/>
              </w:rPr>
              <w:t>61.701</w:t>
            </w:r>
          </w:p>
        </w:tc>
        <w:tc>
          <w:tcPr>
            <w:tcW w:type="dxa" w:w="3120"/>
          </w:tcPr>
          <w:p>
            <w:r/>
            <w:r>
              <w:rPr>
                <w:rFonts w:ascii="Times New Roman" w:hAnsi="Times New Roman"/>
                <w:b w:val="0"/>
                <w:i w:val="0"/>
                <w:sz w:val="20"/>
              </w:rPr>
              <w:t>9.673</w:t>
            </w:r>
          </w:p>
        </w:tc>
      </w:tr>
      <w:tr>
        <w:trPr>
          <w:cantSplit/>
        </w:trPr>
        <w:tc>
          <w:tcPr>
            <w:tcW w:type="dxa" w:w="3120"/>
          </w:tcPr>
          <w:p>
            <w:r/>
            <w:r>
              <w:rPr>
                <w:rFonts w:ascii="Times New Roman" w:hAnsi="Times New Roman"/>
                <w:b w:val="0"/>
                <w:i w:val="0"/>
                <w:sz w:val="20"/>
              </w:rPr>
              <w:t>random_forest internal_historical</w:t>
            </w:r>
          </w:p>
        </w:tc>
        <w:tc>
          <w:tcPr>
            <w:tcW w:type="dxa" w:w="3120"/>
          </w:tcPr>
          <w:p>
            <w:r/>
            <w:r>
              <w:rPr>
                <w:rFonts w:ascii="Times New Roman" w:hAnsi="Times New Roman"/>
                <w:b w:val="0"/>
                <w:i w:val="0"/>
                <w:sz w:val="20"/>
              </w:rPr>
              <w:t>57.027</w:t>
            </w:r>
          </w:p>
        </w:tc>
        <w:tc>
          <w:tcPr>
            <w:tcW w:type="dxa" w:w="3120"/>
          </w:tcPr>
          <w:p>
            <w:r/>
            <w:r>
              <w:rPr>
                <w:rFonts w:ascii="Times New Roman" w:hAnsi="Times New Roman"/>
                <w:b w:val="0"/>
                <w:i w:val="0"/>
                <w:sz w:val="20"/>
              </w:rPr>
              <w:t>8.046</w:t>
            </w:r>
          </w:p>
        </w:tc>
      </w:tr>
      <w:tr>
        <w:trPr>
          <w:cantSplit/>
        </w:trPr>
        <w:tc>
          <w:tcPr>
            <w:tcW w:type="dxa" w:w="3120"/>
          </w:tcPr>
          <w:p>
            <w:r/>
            <w:r>
              <w:rPr>
                <w:rFonts w:ascii="Times New Roman" w:hAnsi="Times New Roman"/>
                <w:b w:val="0"/>
                <w:i w:val="0"/>
                <w:sz w:val="20"/>
              </w:rPr>
              <w:t>random_forest weather_augmented</w:t>
            </w:r>
          </w:p>
        </w:tc>
        <w:tc>
          <w:tcPr>
            <w:tcW w:type="dxa" w:w="3120"/>
          </w:tcPr>
          <w:p>
            <w:r/>
            <w:r>
              <w:rPr>
                <w:rFonts w:ascii="Times New Roman" w:hAnsi="Times New Roman"/>
                <w:b w:val="0"/>
                <w:i w:val="0"/>
                <w:sz w:val="20"/>
              </w:rPr>
              <w:t>56.222</w:t>
            </w:r>
          </w:p>
        </w:tc>
        <w:tc>
          <w:tcPr>
            <w:tcW w:type="dxa" w:w="3120"/>
          </w:tcPr>
          <w:p>
            <w:r/>
            <w:r>
              <w:rPr>
                <w:rFonts w:ascii="Times New Roman" w:hAnsi="Times New Roman"/>
                <w:b w:val="0"/>
                <w:i w:val="0"/>
                <w:sz w:val="20"/>
              </w:rPr>
              <w:t>7.561</w:t>
            </w:r>
          </w:p>
        </w:tc>
      </w:tr>
      <w:tr>
        <w:trPr>
          <w:cantSplit/>
        </w:trPr>
        <w:tc>
          <w:tcPr>
            <w:tcW w:type="dxa" w:w="3120"/>
          </w:tcPr>
          <w:p>
            <w:r/>
            <w:r>
              <w:rPr>
                <w:rFonts w:ascii="Times New Roman" w:hAnsi="Times New Roman"/>
                <w:b w:val="0"/>
                <w:i w:val="0"/>
                <w:sz w:val="20"/>
              </w:rPr>
              <w:t>random_forest calendar_augmented</w:t>
            </w:r>
          </w:p>
        </w:tc>
        <w:tc>
          <w:tcPr>
            <w:tcW w:type="dxa" w:w="3120"/>
          </w:tcPr>
          <w:p>
            <w:r/>
            <w:r>
              <w:rPr>
                <w:rFonts w:ascii="Times New Roman" w:hAnsi="Times New Roman"/>
                <w:b w:val="0"/>
                <w:i w:val="0"/>
                <w:sz w:val="20"/>
              </w:rPr>
              <w:t>48.690</w:t>
            </w:r>
          </w:p>
        </w:tc>
        <w:tc>
          <w:tcPr>
            <w:tcW w:type="dxa" w:w="3120"/>
          </w:tcPr>
          <w:p>
            <w:r/>
            <w:r>
              <w:rPr>
                <w:rFonts w:ascii="Times New Roman" w:hAnsi="Times New Roman"/>
                <w:b w:val="0"/>
                <w:i w:val="0"/>
                <w:sz w:val="20"/>
              </w:rPr>
              <w:t>9.590</w:t>
            </w:r>
          </w:p>
        </w:tc>
      </w:tr>
      <w:tr>
        <w:trPr>
          <w:cantSplit/>
        </w:trPr>
        <w:tc>
          <w:tcPr>
            <w:tcW w:type="dxa" w:w="3120"/>
          </w:tcPr>
          <w:p>
            <w:r/>
            <w:r>
              <w:rPr>
                <w:rFonts w:ascii="Times New Roman" w:hAnsi="Times New Roman"/>
                <w:b w:val="0"/>
                <w:i w:val="0"/>
                <w:sz w:val="20"/>
              </w:rPr>
              <w:t>random_forest calendar_weather_augmented</w:t>
            </w:r>
          </w:p>
        </w:tc>
        <w:tc>
          <w:tcPr>
            <w:tcW w:type="dxa" w:w="3120"/>
          </w:tcPr>
          <w:p>
            <w:r/>
            <w:r>
              <w:rPr>
                <w:rFonts w:ascii="Times New Roman" w:hAnsi="Times New Roman"/>
                <w:b w:val="0"/>
                <w:i w:val="0"/>
                <w:sz w:val="20"/>
              </w:rPr>
              <w:t>47.497</w:t>
            </w:r>
          </w:p>
        </w:tc>
        <w:tc>
          <w:tcPr>
            <w:tcW w:type="dxa" w:w="3120"/>
          </w:tcPr>
          <w:p>
            <w:r/>
            <w:r>
              <w:rPr>
                <w:rFonts w:ascii="Times New Roman" w:hAnsi="Times New Roman"/>
                <w:b w:val="0"/>
                <w:i w:val="0"/>
                <w:sz w:val="20"/>
              </w:rPr>
              <w:t>8.746</w:t>
            </w:r>
          </w:p>
        </w:tc>
      </w:tr>
    </w:tbl>
    <w:p/>
    <w:p>
      <w:pPr>
        <w:keepNext/>
        <w:spacing w:before="240" w:after="120"/>
      </w:pPr>
      <w:r>
        <w:rPr>
          <w:rFonts w:ascii="Times New Roman" w:hAnsi="Times New Roman"/>
          <w:b/>
          <w:i w:val="0"/>
          <w:sz w:val="24"/>
        </w:rPr>
        <w:t>D. Decision-simulation assumptions</w:t>
      </w:r>
    </w:p>
    <w:p>
      <w:pPr>
        <w:jc w:val="both"/>
      </w:pPr>
      <w:r>
        <w:rPr>
          <w:rFonts w:ascii="Times New Roman" w:hAnsi="Times New Roman"/>
          <w:b w:val="0"/>
          <w:i w:val="0"/>
          <w:sz w:val="24"/>
        </w:rPr>
        <w:t>Stylized proportional allocation via a largest-remainder rule; baseline-budget configuration 135 crews × 50 requests per crew over 163 test days; weighted unmet demand up-weights Public Safety, Water, and Traffic; an oracle allocates on true next-day demand. The simulation uses no observed dispatch decisions.</w:t>
      </w:r>
    </w:p>
    <w:p>
      <w:pPr>
        <w:keepNext/>
        <w:spacing w:before="240" w:after="120"/>
      </w:pPr>
      <w:r>
        <w:rPr>
          <w:rFonts w:ascii="Times New Roman" w:hAnsi="Times New Roman"/>
          <w:b/>
          <w:i w:val="0"/>
          <w:sz w:val="24"/>
        </w:rPr>
        <w:t>E. Crew-budget sensitivity</w:t>
      </w:r>
    </w:p>
    <w:p>
      <w:pPr>
        <w:jc w:val="both"/>
      </w:pPr>
      <w:r>
        <w:rPr>
          <w:rFonts w:ascii="Times New Roman" w:hAnsi="Times New Roman"/>
          <w:b w:val="0"/>
          <w:i w:val="0"/>
          <w:sz w:val="24"/>
        </w:rPr>
        <w:t>Three budgets - scarce (100 crews, 5,000 daily capacity), moderate (160 / 8,000), and generous (220 / 11,000); per-policy results are reported in Table 3.</w:t>
      </w:r>
    </w:p>
    <w:p>
      <w:pPr>
        <w:keepNext/>
        <w:spacing w:before="240" w:after="120"/>
      </w:pPr>
      <w:r>
        <w:rPr>
          <w:rFonts w:ascii="Times New Roman" w:hAnsi="Times New Roman"/>
          <w:b/>
          <w:i w:val="0"/>
          <w:sz w:val="24"/>
        </w:rPr>
        <w:t>F. Weather-data treatment</w:t>
      </w:r>
    </w:p>
    <w:p>
      <w:pPr>
        <w:jc w:val="both"/>
      </w:pPr>
      <w:r>
        <w:rPr>
          <w:rFonts w:ascii="Times New Roman" w:hAnsi="Times New Roman"/>
          <w:b w:val="0"/>
          <w:i w:val="0"/>
          <w:sz w:val="24"/>
        </w:rPr>
        <w:t>Single NOAA station (USW00094728) joined to all boroughs by date; temp_avg_c derived from observed daily maximum and minimum (source average-temperature field empty); five missing wind-speed days time-interpolated from real neighbours; no synthetic weather. Figure A1 shows the series.</w:t>
      </w:r>
    </w:p>
    <w:p>
      <w:pPr>
        <w:keepNext/>
        <w:keepLines/>
        <w:spacing w:before="120"/>
        <w:jc w:val="center"/>
      </w:pPr>
      <w:r>
        <w:drawing>
          <wp:inline xmlns:a="http://schemas.openxmlformats.org/drawingml/2006/main" xmlns:pic="http://schemas.openxmlformats.org/drawingml/2006/picture">
            <wp:extent cx="5486400" cy="3288030"/>
            <wp:docPr id="5" name="Picture 5"/>
            <wp:cNvGraphicFramePr>
              <a:graphicFrameLocks noChangeAspect="1"/>
            </wp:cNvGraphicFramePr>
            <a:graphic>
              <a:graphicData uri="http://schemas.openxmlformats.org/drawingml/2006/picture">
                <pic:pic>
                  <pic:nvPicPr>
                    <pic:cNvPr id="0" name="figure_8_weather_feature_summary.png"/>
                    <pic:cNvPicPr/>
                  </pic:nvPicPr>
                  <pic:blipFill>
                    <a:blip r:embed="rId14"/>
                    <a:stretch>
                      <a:fillRect/>
                    </a:stretch>
                  </pic:blipFill>
                  <pic:spPr>
                    <a:xfrm>
                      <a:off x="0" y="0"/>
                      <a:ext cx="5486400" cy="3288030"/>
                    </a:xfrm>
                    <a:prstGeom prst="rect"/>
                  </pic:spPr>
                </pic:pic>
              </a:graphicData>
            </a:graphic>
          </wp:inline>
        </w:drawing>
      </w:r>
    </w:p>
    <w:p>
      <w:pPr>
        <w:keepLines/>
        <w:jc w:val="center"/>
      </w:pPr>
      <w:r>
        <w:rPr>
          <w:rFonts w:ascii="Times New Roman" w:hAnsi="Times New Roman"/>
          <w:b w:val="0"/>
          <w:i/>
          <w:sz w:val="20"/>
        </w:rPr>
        <w:t>Figure A1. Real NOAA daily weather series for the Central Park station, 2022-2024.</w:t>
      </w:r>
    </w:p>
    <w:p>
      <w:pPr>
        <w:keepNext/>
        <w:spacing w:before="240" w:after="120"/>
      </w:pPr>
      <w:r>
        <w:rPr>
          <w:rFonts w:ascii="Times New Roman" w:hAnsi="Times New Roman"/>
          <w:b/>
          <w:i w:val="0"/>
          <w:sz w:val="24"/>
        </w:rPr>
        <w:t>G. Full results tables</w:t>
      </w:r>
    </w:p>
    <w:p>
      <w:pPr>
        <w:jc w:val="both"/>
      </w:pPr>
      <w:r>
        <w:rPr>
          <w:rFonts w:ascii="Times New Roman" w:hAnsi="Times New Roman"/>
          <w:b w:val="0"/>
          <w:i w:val="0"/>
          <w:sz w:val="24"/>
        </w:rPr>
        <w:t>Table A3 is the complete 13-row model comparison (Figure A2). Table A4 reports per-borough robustness (Figure A3) and Table A5 per-complaint-group robustness (Figure A4), each comparing internal history with calendar for the random forest. Figure A6 shows internal history versus calendar per model; Figure A5 shows a baseline-budget policy comparison with the oracle.</w:t>
      </w:r>
    </w:p>
    <w:p>
      <w:pPr>
        <w:keepNext/>
        <w:spacing w:before="160"/>
      </w:pPr>
      <w:r>
        <w:rPr>
          <w:rFonts w:ascii="Times New Roman" w:hAnsi="Times New Roman"/>
          <w:b/>
          <w:i w:val="0"/>
          <w:sz w:val="22"/>
        </w:rPr>
        <w:t>Table A3. Full model comparison (held-out test).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560"/>
          </w:tcPr>
          <w:p>
            <w:r/>
            <w:r>
              <w:rPr>
                <w:rFonts w:ascii="Times New Roman" w:hAnsi="Times New Roman"/>
                <w:b/>
                <w:i w:val="0"/>
                <w:sz w:val="18"/>
              </w:rPr>
              <w:t>Model</w:t>
            </w:r>
          </w:p>
        </w:tc>
        <w:tc>
          <w:tcPr>
            <w:tcW w:type="dxa" w:w="1560"/>
          </w:tcPr>
          <w:p>
            <w:r/>
            <w:r>
              <w:rPr>
                <w:rFonts w:ascii="Times New Roman" w:hAnsi="Times New Roman"/>
                <w:b/>
                <w:i w:val="0"/>
                <w:sz w:val="18"/>
              </w:rPr>
              <w:t>Feature set</w:t>
            </w:r>
          </w:p>
        </w:tc>
        <w:tc>
          <w:tcPr>
            <w:tcW w:type="dxa" w:w="1560"/>
          </w:tcPr>
          <w:p>
            <w:r/>
            <w:r>
              <w:rPr>
                <w:rFonts w:ascii="Times New Roman" w:hAnsi="Times New Roman"/>
                <w:b/>
                <w:i w:val="0"/>
                <w:sz w:val="18"/>
              </w:rPr>
              <w:t>Test MAE</w:t>
            </w:r>
          </w:p>
        </w:tc>
        <w:tc>
          <w:tcPr>
            <w:tcW w:type="dxa" w:w="1560"/>
          </w:tcPr>
          <w:p>
            <w:r/>
            <w:r>
              <w:rPr>
                <w:rFonts w:ascii="Times New Roman" w:hAnsi="Times New Roman"/>
                <w:b/>
                <w:i w:val="0"/>
                <w:sz w:val="18"/>
              </w:rPr>
              <w:t>Test RMSE</w:t>
            </w:r>
          </w:p>
        </w:tc>
        <w:tc>
          <w:tcPr>
            <w:tcW w:type="dxa" w:w="1560"/>
          </w:tcPr>
          <w:p>
            <w:r/>
            <w:r>
              <w:rPr>
                <w:rFonts w:ascii="Times New Roman" w:hAnsi="Times New Roman"/>
                <w:b/>
                <w:i w:val="0"/>
                <w:sz w:val="18"/>
              </w:rPr>
              <w:t>Test MAPE (%)</w:t>
            </w:r>
          </w:p>
        </w:tc>
        <w:tc>
          <w:tcPr>
            <w:tcW w:type="dxa" w:w="1560"/>
          </w:tcPr>
          <w:p>
            <w:r/>
            <w:r>
              <w:rPr>
                <w:rFonts w:ascii="Times New Roman" w:hAnsi="Times New Roman"/>
                <w:b/>
                <w:i w:val="0"/>
                <w:sz w:val="18"/>
              </w:rPr>
              <w:t>Test R²</w:t>
            </w:r>
          </w:p>
        </w:tc>
      </w:tr>
      <w:tr>
        <w:trPr>
          <w:cantSplit/>
        </w:trPr>
        <w:tc>
          <w:tcPr>
            <w:tcW w:type="dxa" w:w="1560"/>
          </w:tcPr>
          <w:p>
            <w:r/>
            <w:r>
              <w:rPr>
                <w:rFonts w:ascii="Times New Roman" w:hAnsi="Times New Roman"/>
                <w:b w:val="0"/>
                <w:i w:val="0"/>
                <w:sz w:val="18"/>
              </w:rPr>
              <w:t>naive_seasonal</w:t>
            </w:r>
          </w:p>
        </w:tc>
        <w:tc>
          <w:tcPr>
            <w:tcW w:type="dxa" w:w="1560"/>
          </w:tcPr>
          <w:p>
            <w:r/>
            <w:r>
              <w:rPr>
                <w:rFonts w:ascii="Times New Roman" w:hAnsi="Times New Roman"/>
                <w:b w:val="0"/>
                <w:i w:val="0"/>
                <w:sz w:val="18"/>
              </w:rPr>
              <w:t>naive_seasonal</w:t>
            </w:r>
          </w:p>
        </w:tc>
        <w:tc>
          <w:tcPr>
            <w:tcW w:type="dxa" w:w="1560"/>
          </w:tcPr>
          <w:p>
            <w:r/>
            <w:r>
              <w:rPr>
                <w:rFonts w:ascii="Times New Roman" w:hAnsi="Times New Roman"/>
                <w:b w:val="0"/>
                <w:i w:val="0"/>
                <w:sz w:val="18"/>
              </w:rPr>
              <w:t>71.848</w:t>
            </w:r>
          </w:p>
        </w:tc>
        <w:tc>
          <w:tcPr>
            <w:tcW w:type="dxa" w:w="1560"/>
          </w:tcPr>
          <w:p>
            <w:r/>
            <w:r>
              <w:rPr>
                <w:rFonts w:ascii="Times New Roman" w:hAnsi="Times New Roman"/>
                <w:b w:val="0"/>
                <w:i w:val="0"/>
                <w:sz w:val="18"/>
              </w:rPr>
              <w:t>197.743</w:t>
            </w:r>
          </w:p>
        </w:tc>
        <w:tc>
          <w:tcPr>
            <w:tcW w:type="dxa" w:w="1560"/>
          </w:tcPr>
          <w:p>
            <w:r/>
            <w:r>
              <w:rPr>
                <w:rFonts w:ascii="Times New Roman" w:hAnsi="Times New Roman"/>
                <w:b w:val="0"/>
                <w:i w:val="0"/>
                <w:sz w:val="18"/>
              </w:rPr>
              <w:t>34.689</w:t>
            </w:r>
          </w:p>
        </w:tc>
        <w:tc>
          <w:tcPr>
            <w:tcW w:type="dxa" w:w="1560"/>
          </w:tcPr>
          <w:p>
            <w:r/>
            <w:r>
              <w:rPr>
                <w:rFonts w:ascii="Times New Roman" w:hAnsi="Times New Roman"/>
                <w:b w:val="0"/>
                <w:i w:val="0"/>
                <w:sz w:val="18"/>
              </w:rPr>
              <w:t>0.563</w:t>
            </w:r>
          </w:p>
        </w:tc>
      </w:tr>
      <w:tr>
        <w:trPr>
          <w:cantSplit/>
        </w:trPr>
        <w:tc>
          <w:tcPr>
            <w:tcW w:type="dxa" w:w="1560"/>
          </w:tcPr>
          <w:p>
            <w:r/>
            <w:r>
              <w:rPr>
                <w:rFonts w:ascii="Times New Roman" w:hAnsi="Times New Roman"/>
                <w:b w:val="0"/>
                <w:i w:val="0"/>
                <w:sz w:val="18"/>
              </w:rPr>
              <w:t>ridge</w:t>
            </w:r>
          </w:p>
        </w:tc>
        <w:tc>
          <w:tcPr>
            <w:tcW w:type="dxa" w:w="1560"/>
          </w:tcPr>
          <w:p>
            <w:r/>
            <w:r>
              <w:rPr>
                <w:rFonts w:ascii="Times New Roman" w:hAnsi="Times New Roman"/>
                <w:b w:val="0"/>
                <w:i w:val="0"/>
                <w:sz w:val="18"/>
              </w:rPr>
              <w:t>internal_historical</w:t>
            </w:r>
          </w:p>
        </w:tc>
        <w:tc>
          <w:tcPr>
            <w:tcW w:type="dxa" w:w="1560"/>
          </w:tcPr>
          <w:p>
            <w:r/>
            <w:r>
              <w:rPr>
                <w:rFonts w:ascii="Times New Roman" w:hAnsi="Times New Roman"/>
                <w:b w:val="0"/>
                <w:i w:val="0"/>
                <w:sz w:val="18"/>
              </w:rPr>
              <w:t>69.219</w:t>
            </w:r>
          </w:p>
        </w:tc>
        <w:tc>
          <w:tcPr>
            <w:tcW w:type="dxa" w:w="1560"/>
          </w:tcPr>
          <w:p>
            <w:r/>
            <w:r>
              <w:rPr>
                <w:rFonts w:ascii="Times New Roman" w:hAnsi="Times New Roman"/>
                <w:b w:val="0"/>
                <w:i w:val="0"/>
                <w:sz w:val="18"/>
              </w:rPr>
              <w:t>187.753</w:t>
            </w:r>
          </w:p>
        </w:tc>
        <w:tc>
          <w:tcPr>
            <w:tcW w:type="dxa" w:w="1560"/>
          </w:tcPr>
          <w:p>
            <w:r/>
            <w:r>
              <w:rPr>
                <w:rFonts w:ascii="Times New Roman" w:hAnsi="Times New Roman"/>
                <w:b w:val="0"/>
                <w:i w:val="0"/>
                <w:sz w:val="18"/>
              </w:rPr>
              <w:t>36.073</w:t>
            </w:r>
          </w:p>
        </w:tc>
        <w:tc>
          <w:tcPr>
            <w:tcW w:type="dxa" w:w="1560"/>
          </w:tcPr>
          <w:p>
            <w:r/>
            <w:r>
              <w:rPr>
                <w:rFonts w:ascii="Times New Roman" w:hAnsi="Times New Roman"/>
                <w:b w:val="0"/>
                <w:i w:val="0"/>
                <w:sz w:val="18"/>
              </w:rPr>
              <w:t>0.606</w:t>
            </w:r>
          </w:p>
        </w:tc>
      </w:tr>
      <w:tr>
        <w:trPr>
          <w:cantSplit/>
        </w:trPr>
        <w:tc>
          <w:tcPr>
            <w:tcW w:type="dxa" w:w="1560"/>
          </w:tcPr>
          <w:p>
            <w:r/>
            <w:r>
              <w:rPr>
                <w:rFonts w:ascii="Times New Roman" w:hAnsi="Times New Roman"/>
                <w:b w:val="0"/>
                <w:i w:val="0"/>
                <w:sz w:val="18"/>
              </w:rPr>
              <w:t>ridge</w:t>
            </w:r>
          </w:p>
        </w:tc>
        <w:tc>
          <w:tcPr>
            <w:tcW w:type="dxa" w:w="1560"/>
          </w:tcPr>
          <w:p>
            <w:r/>
            <w:r>
              <w:rPr>
                <w:rFonts w:ascii="Times New Roman" w:hAnsi="Times New Roman"/>
                <w:b w:val="0"/>
                <w:i w:val="0"/>
                <w:sz w:val="18"/>
              </w:rPr>
              <w:t>calendar_augmented</w:t>
            </w:r>
          </w:p>
        </w:tc>
        <w:tc>
          <w:tcPr>
            <w:tcW w:type="dxa" w:w="1560"/>
          </w:tcPr>
          <w:p>
            <w:r/>
            <w:r>
              <w:rPr>
                <w:rFonts w:ascii="Times New Roman" w:hAnsi="Times New Roman"/>
                <w:b w:val="0"/>
                <w:i w:val="0"/>
                <w:sz w:val="18"/>
              </w:rPr>
              <w:t>68.758</w:t>
            </w:r>
          </w:p>
        </w:tc>
        <w:tc>
          <w:tcPr>
            <w:tcW w:type="dxa" w:w="1560"/>
          </w:tcPr>
          <w:p>
            <w:r/>
            <w:r>
              <w:rPr>
                <w:rFonts w:ascii="Times New Roman" w:hAnsi="Times New Roman"/>
                <w:b w:val="0"/>
                <w:i w:val="0"/>
                <w:sz w:val="18"/>
              </w:rPr>
              <w:t>187.757</w:t>
            </w:r>
          </w:p>
        </w:tc>
        <w:tc>
          <w:tcPr>
            <w:tcW w:type="dxa" w:w="1560"/>
          </w:tcPr>
          <w:p>
            <w:r/>
            <w:r>
              <w:rPr>
                <w:rFonts w:ascii="Times New Roman" w:hAnsi="Times New Roman"/>
                <w:b w:val="0"/>
                <w:i w:val="0"/>
                <w:sz w:val="18"/>
              </w:rPr>
              <w:t>35.729</w:t>
            </w:r>
          </w:p>
        </w:tc>
        <w:tc>
          <w:tcPr>
            <w:tcW w:type="dxa" w:w="1560"/>
          </w:tcPr>
          <w:p>
            <w:r/>
            <w:r>
              <w:rPr>
                <w:rFonts w:ascii="Times New Roman" w:hAnsi="Times New Roman"/>
                <w:b w:val="0"/>
                <w:i w:val="0"/>
                <w:sz w:val="18"/>
              </w:rPr>
              <w:t>0.606</w:t>
            </w:r>
          </w:p>
        </w:tc>
      </w:tr>
      <w:tr>
        <w:trPr>
          <w:cantSplit/>
        </w:trPr>
        <w:tc>
          <w:tcPr>
            <w:tcW w:type="dxa" w:w="1560"/>
          </w:tcPr>
          <w:p>
            <w:r/>
            <w:r>
              <w:rPr>
                <w:rFonts w:ascii="Times New Roman" w:hAnsi="Times New Roman"/>
                <w:b w:val="0"/>
                <w:i w:val="0"/>
                <w:sz w:val="18"/>
              </w:rPr>
              <w:t>ridge</w:t>
            </w:r>
          </w:p>
        </w:tc>
        <w:tc>
          <w:tcPr>
            <w:tcW w:type="dxa" w:w="1560"/>
          </w:tcPr>
          <w:p>
            <w:r/>
            <w:r>
              <w:rPr>
                <w:rFonts w:ascii="Times New Roman" w:hAnsi="Times New Roman"/>
                <w:b w:val="0"/>
                <w:i w:val="0"/>
                <w:sz w:val="18"/>
              </w:rPr>
              <w:t>weather_augmented</w:t>
            </w:r>
          </w:p>
        </w:tc>
        <w:tc>
          <w:tcPr>
            <w:tcW w:type="dxa" w:w="1560"/>
          </w:tcPr>
          <w:p>
            <w:r/>
            <w:r>
              <w:rPr>
                <w:rFonts w:ascii="Times New Roman" w:hAnsi="Times New Roman"/>
                <w:b w:val="0"/>
                <w:i w:val="0"/>
                <w:sz w:val="18"/>
              </w:rPr>
              <w:t>69.283</w:t>
            </w:r>
          </w:p>
        </w:tc>
        <w:tc>
          <w:tcPr>
            <w:tcW w:type="dxa" w:w="1560"/>
          </w:tcPr>
          <w:p>
            <w:r/>
            <w:r>
              <w:rPr>
                <w:rFonts w:ascii="Times New Roman" w:hAnsi="Times New Roman"/>
                <w:b w:val="0"/>
                <w:i w:val="0"/>
                <w:sz w:val="18"/>
              </w:rPr>
              <w:t>187.784</w:t>
            </w:r>
          </w:p>
        </w:tc>
        <w:tc>
          <w:tcPr>
            <w:tcW w:type="dxa" w:w="1560"/>
          </w:tcPr>
          <w:p>
            <w:r/>
            <w:r>
              <w:rPr>
                <w:rFonts w:ascii="Times New Roman" w:hAnsi="Times New Roman"/>
                <w:b w:val="0"/>
                <w:i w:val="0"/>
                <w:sz w:val="18"/>
              </w:rPr>
              <w:t>36.009</w:t>
            </w:r>
          </w:p>
        </w:tc>
        <w:tc>
          <w:tcPr>
            <w:tcW w:type="dxa" w:w="1560"/>
          </w:tcPr>
          <w:p>
            <w:r/>
            <w:r>
              <w:rPr>
                <w:rFonts w:ascii="Times New Roman" w:hAnsi="Times New Roman"/>
                <w:b w:val="0"/>
                <w:i w:val="0"/>
                <w:sz w:val="18"/>
              </w:rPr>
              <w:t>0.606</w:t>
            </w:r>
          </w:p>
        </w:tc>
      </w:tr>
      <w:tr>
        <w:trPr>
          <w:cantSplit/>
        </w:trPr>
        <w:tc>
          <w:tcPr>
            <w:tcW w:type="dxa" w:w="1560"/>
          </w:tcPr>
          <w:p>
            <w:r/>
            <w:r>
              <w:rPr>
                <w:rFonts w:ascii="Times New Roman" w:hAnsi="Times New Roman"/>
                <w:b w:val="0"/>
                <w:i w:val="0"/>
                <w:sz w:val="18"/>
              </w:rPr>
              <w:t>ridge</w:t>
            </w:r>
          </w:p>
        </w:tc>
        <w:tc>
          <w:tcPr>
            <w:tcW w:type="dxa" w:w="1560"/>
          </w:tcPr>
          <w:p>
            <w:r/>
            <w:r>
              <w:rPr>
                <w:rFonts w:ascii="Times New Roman" w:hAnsi="Times New Roman"/>
                <w:b w:val="0"/>
                <w:i w:val="0"/>
                <w:sz w:val="18"/>
              </w:rPr>
              <w:t>calendar_weather_augmented</w:t>
            </w:r>
          </w:p>
        </w:tc>
        <w:tc>
          <w:tcPr>
            <w:tcW w:type="dxa" w:w="1560"/>
          </w:tcPr>
          <w:p>
            <w:r/>
            <w:r>
              <w:rPr>
                <w:rFonts w:ascii="Times New Roman" w:hAnsi="Times New Roman"/>
                <w:b w:val="0"/>
                <w:i w:val="0"/>
                <w:sz w:val="18"/>
              </w:rPr>
              <w:t>68.915</w:t>
            </w:r>
          </w:p>
        </w:tc>
        <w:tc>
          <w:tcPr>
            <w:tcW w:type="dxa" w:w="1560"/>
          </w:tcPr>
          <w:p>
            <w:r/>
            <w:r>
              <w:rPr>
                <w:rFonts w:ascii="Times New Roman" w:hAnsi="Times New Roman"/>
                <w:b w:val="0"/>
                <w:i w:val="0"/>
                <w:sz w:val="18"/>
              </w:rPr>
              <w:t>187.762</w:t>
            </w:r>
          </w:p>
        </w:tc>
        <w:tc>
          <w:tcPr>
            <w:tcW w:type="dxa" w:w="1560"/>
          </w:tcPr>
          <w:p>
            <w:r/>
            <w:r>
              <w:rPr>
                <w:rFonts w:ascii="Times New Roman" w:hAnsi="Times New Roman"/>
                <w:b w:val="0"/>
                <w:i w:val="0"/>
                <w:sz w:val="18"/>
              </w:rPr>
              <w:t>36.140</w:t>
            </w:r>
          </w:p>
        </w:tc>
        <w:tc>
          <w:tcPr>
            <w:tcW w:type="dxa" w:w="1560"/>
          </w:tcPr>
          <w:p>
            <w:r/>
            <w:r>
              <w:rPr>
                <w:rFonts w:ascii="Times New Roman" w:hAnsi="Times New Roman"/>
                <w:b w:val="0"/>
                <w:i w:val="0"/>
                <w:sz w:val="18"/>
              </w:rPr>
              <w:t>0.606</w:t>
            </w:r>
          </w:p>
        </w:tc>
      </w:tr>
      <w:tr>
        <w:trPr>
          <w:cantSplit/>
        </w:trPr>
        <w:tc>
          <w:tcPr>
            <w:tcW w:type="dxa" w:w="1560"/>
          </w:tcPr>
          <w:p>
            <w:r/>
            <w:r>
              <w:rPr>
                <w:rFonts w:ascii="Times New Roman" w:hAnsi="Times New Roman"/>
                <w:b w:val="0"/>
                <w:i w:val="0"/>
                <w:sz w:val="18"/>
              </w:rPr>
              <w:t>random_forest</w:t>
            </w:r>
          </w:p>
        </w:tc>
        <w:tc>
          <w:tcPr>
            <w:tcW w:type="dxa" w:w="1560"/>
          </w:tcPr>
          <w:p>
            <w:r/>
            <w:r>
              <w:rPr>
                <w:rFonts w:ascii="Times New Roman" w:hAnsi="Times New Roman"/>
                <w:b w:val="0"/>
                <w:i w:val="0"/>
                <w:sz w:val="18"/>
              </w:rPr>
              <w:t>internal_historical</w:t>
            </w:r>
          </w:p>
        </w:tc>
        <w:tc>
          <w:tcPr>
            <w:tcW w:type="dxa" w:w="1560"/>
          </w:tcPr>
          <w:p>
            <w:r/>
            <w:r>
              <w:rPr>
                <w:rFonts w:ascii="Times New Roman" w:hAnsi="Times New Roman"/>
                <w:b w:val="0"/>
                <w:i w:val="0"/>
                <w:sz w:val="18"/>
              </w:rPr>
              <w:t>65.282</w:t>
            </w:r>
          </w:p>
        </w:tc>
        <w:tc>
          <w:tcPr>
            <w:tcW w:type="dxa" w:w="1560"/>
          </w:tcPr>
          <w:p>
            <w:r/>
            <w:r>
              <w:rPr>
                <w:rFonts w:ascii="Times New Roman" w:hAnsi="Times New Roman"/>
                <w:b w:val="0"/>
                <w:i w:val="0"/>
                <w:sz w:val="18"/>
              </w:rPr>
              <w:t>184.787</w:t>
            </w:r>
          </w:p>
        </w:tc>
        <w:tc>
          <w:tcPr>
            <w:tcW w:type="dxa" w:w="1560"/>
          </w:tcPr>
          <w:p>
            <w:r/>
            <w:r>
              <w:rPr>
                <w:rFonts w:ascii="Times New Roman" w:hAnsi="Times New Roman"/>
                <w:b w:val="0"/>
                <w:i w:val="0"/>
                <w:sz w:val="18"/>
              </w:rPr>
              <w:t>34.259</w:t>
            </w:r>
          </w:p>
        </w:tc>
        <w:tc>
          <w:tcPr>
            <w:tcW w:type="dxa" w:w="1560"/>
          </w:tcPr>
          <w:p>
            <w:r/>
            <w:r>
              <w:rPr>
                <w:rFonts w:ascii="Times New Roman" w:hAnsi="Times New Roman"/>
                <w:b w:val="0"/>
                <w:i w:val="0"/>
                <w:sz w:val="18"/>
              </w:rPr>
              <w:t>0.618</w:t>
            </w:r>
          </w:p>
        </w:tc>
      </w:tr>
      <w:tr>
        <w:trPr>
          <w:cantSplit/>
        </w:trPr>
        <w:tc>
          <w:tcPr>
            <w:tcW w:type="dxa" w:w="1560"/>
          </w:tcPr>
          <w:p>
            <w:r/>
            <w:r>
              <w:rPr>
                <w:rFonts w:ascii="Times New Roman" w:hAnsi="Times New Roman"/>
                <w:b w:val="0"/>
                <w:i w:val="0"/>
                <w:sz w:val="18"/>
              </w:rPr>
              <w:t>random_forest</w:t>
            </w:r>
          </w:p>
        </w:tc>
        <w:tc>
          <w:tcPr>
            <w:tcW w:type="dxa" w:w="1560"/>
          </w:tcPr>
          <w:p>
            <w:r/>
            <w:r>
              <w:rPr>
                <w:rFonts w:ascii="Times New Roman" w:hAnsi="Times New Roman"/>
                <w:b w:val="0"/>
                <w:i w:val="0"/>
                <w:sz w:val="18"/>
              </w:rPr>
              <w:t>calendar_augmented</w:t>
            </w:r>
          </w:p>
        </w:tc>
        <w:tc>
          <w:tcPr>
            <w:tcW w:type="dxa" w:w="1560"/>
          </w:tcPr>
          <w:p>
            <w:r/>
            <w:r>
              <w:rPr>
                <w:rFonts w:ascii="Times New Roman" w:hAnsi="Times New Roman"/>
                <w:b w:val="0"/>
                <w:i w:val="0"/>
                <w:sz w:val="18"/>
              </w:rPr>
              <w:t>58.082</w:t>
            </w:r>
          </w:p>
        </w:tc>
        <w:tc>
          <w:tcPr>
            <w:tcW w:type="dxa" w:w="1560"/>
          </w:tcPr>
          <w:p>
            <w:r/>
            <w:r>
              <w:rPr>
                <w:rFonts w:ascii="Times New Roman" w:hAnsi="Times New Roman"/>
                <w:b w:val="0"/>
                <w:i w:val="0"/>
                <w:sz w:val="18"/>
              </w:rPr>
              <w:t>181.135</w:t>
            </w:r>
          </w:p>
        </w:tc>
        <w:tc>
          <w:tcPr>
            <w:tcW w:type="dxa" w:w="1560"/>
          </w:tcPr>
          <w:p>
            <w:r/>
            <w:r>
              <w:rPr>
                <w:rFonts w:ascii="Times New Roman" w:hAnsi="Times New Roman"/>
                <w:b w:val="0"/>
                <w:i w:val="0"/>
                <w:sz w:val="18"/>
              </w:rPr>
              <w:t>29.026</w:t>
            </w:r>
          </w:p>
        </w:tc>
        <w:tc>
          <w:tcPr>
            <w:tcW w:type="dxa" w:w="1560"/>
          </w:tcPr>
          <w:p>
            <w:r/>
            <w:r>
              <w:rPr>
                <w:rFonts w:ascii="Times New Roman" w:hAnsi="Times New Roman"/>
                <w:b w:val="0"/>
                <w:i w:val="0"/>
                <w:sz w:val="18"/>
              </w:rPr>
              <w:t>0.633</w:t>
            </w:r>
          </w:p>
        </w:tc>
      </w:tr>
      <w:tr>
        <w:trPr>
          <w:cantSplit/>
        </w:trPr>
        <w:tc>
          <w:tcPr>
            <w:tcW w:type="dxa" w:w="1560"/>
          </w:tcPr>
          <w:p>
            <w:r/>
            <w:r>
              <w:rPr>
                <w:rFonts w:ascii="Times New Roman" w:hAnsi="Times New Roman"/>
                <w:b w:val="0"/>
                <w:i w:val="0"/>
                <w:sz w:val="18"/>
              </w:rPr>
              <w:t>random_forest</w:t>
            </w:r>
          </w:p>
        </w:tc>
        <w:tc>
          <w:tcPr>
            <w:tcW w:type="dxa" w:w="1560"/>
          </w:tcPr>
          <w:p>
            <w:r/>
            <w:r>
              <w:rPr>
                <w:rFonts w:ascii="Times New Roman" w:hAnsi="Times New Roman"/>
                <w:b w:val="0"/>
                <w:i w:val="0"/>
                <w:sz w:val="18"/>
              </w:rPr>
              <w:t>weather_augmented</w:t>
            </w:r>
          </w:p>
        </w:tc>
        <w:tc>
          <w:tcPr>
            <w:tcW w:type="dxa" w:w="1560"/>
          </w:tcPr>
          <w:p>
            <w:r/>
            <w:r>
              <w:rPr>
                <w:rFonts w:ascii="Times New Roman" w:hAnsi="Times New Roman"/>
                <w:b w:val="0"/>
                <w:i w:val="0"/>
                <w:sz w:val="18"/>
              </w:rPr>
              <w:t>64.104</w:t>
            </w:r>
          </w:p>
        </w:tc>
        <w:tc>
          <w:tcPr>
            <w:tcW w:type="dxa" w:w="1560"/>
          </w:tcPr>
          <w:p>
            <w:r/>
            <w:r>
              <w:rPr>
                <w:rFonts w:ascii="Times New Roman" w:hAnsi="Times New Roman"/>
                <w:b w:val="0"/>
                <w:i w:val="0"/>
                <w:sz w:val="18"/>
              </w:rPr>
              <w:t>181.379</w:t>
            </w:r>
          </w:p>
        </w:tc>
        <w:tc>
          <w:tcPr>
            <w:tcW w:type="dxa" w:w="1560"/>
          </w:tcPr>
          <w:p>
            <w:r/>
            <w:r>
              <w:rPr>
                <w:rFonts w:ascii="Times New Roman" w:hAnsi="Times New Roman"/>
                <w:b w:val="0"/>
                <w:i w:val="0"/>
                <w:sz w:val="18"/>
              </w:rPr>
              <w:t>33.614</w:t>
            </w:r>
          </w:p>
        </w:tc>
        <w:tc>
          <w:tcPr>
            <w:tcW w:type="dxa" w:w="1560"/>
          </w:tcPr>
          <w:p>
            <w:r/>
            <w:r>
              <w:rPr>
                <w:rFonts w:ascii="Times New Roman" w:hAnsi="Times New Roman"/>
                <w:b w:val="0"/>
                <w:i w:val="0"/>
                <w:sz w:val="18"/>
              </w:rPr>
              <w:t>0.632</w:t>
            </w:r>
          </w:p>
        </w:tc>
      </w:tr>
      <w:tr>
        <w:trPr>
          <w:cantSplit/>
        </w:trPr>
        <w:tc>
          <w:tcPr>
            <w:tcW w:type="dxa" w:w="1560"/>
          </w:tcPr>
          <w:p>
            <w:r/>
            <w:r>
              <w:rPr>
                <w:rFonts w:ascii="Times New Roman" w:hAnsi="Times New Roman"/>
                <w:b w:val="0"/>
                <w:i w:val="0"/>
                <w:sz w:val="18"/>
              </w:rPr>
              <w:t>random_forest</w:t>
            </w:r>
          </w:p>
        </w:tc>
        <w:tc>
          <w:tcPr>
            <w:tcW w:type="dxa" w:w="1560"/>
          </w:tcPr>
          <w:p>
            <w:r/>
            <w:r>
              <w:rPr>
                <w:rFonts w:ascii="Times New Roman" w:hAnsi="Times New Roman"/>
                <w:b w:val="0"/>
                <w:i w:val="0"/>
                <w:sz w:val="18"/>
              </w:rPr>
              <w:t>calendar_weather_augmented</w:t>
            </w:r>
          </w:p>
        </w:tc>
        <w:tc>
          <w:tcPr>
            <w:tcW w:type="dxa" w:w="1560"/>
          </w:tcPr>
          <w:p>
            <w:r/>
            <w:r>
              <w:rPr>
                <w:rFonts w:ascii="Times New Roman" w:hAnsi="Times New Roman"/>
                <w:b w:val="0"/>
                <w:i w:val="0"/>
                <w:sz w:val="18"/>
              </w:rPr>
              <w:t>56.224</w:t>
            </w:r>
          </w:p>
        </w:tc>
        <w:tc>
          <w:tcPr>
            <w:tcW w:type="dxa" w:w="1560"/>
          </w:tcPr>
          <w:p>
            <w:r/>
            <w:r>
              <w:rPr>
                <w:rFonts w:ascii="Times New Roman" w:hAnsi="Times New Roman"/>
                <w:b w:val="0"/>
                <w:i w:val="0"/>
                <w:sz w:val="18"/>
              </w:rPr>
              <w:t>178.150</w:t>
            </w:r>
          </w:p>
        </w:tc>
        <w:tc>
          <w:tcPr>
            <w:tcW w:type="dxa" w:w="1560"/>
          </w:tcPr>
          <w:p>
            <w:r/>
            <w:r>
              <w:rPr>
                <w:rFonts w:ascii="Times New Roman" w:hAnsi="Times New Roman"/>
                <w:b w:val="0"/>
                <w:i w:val="0"/>
                <w:sz w:val="18"/>
              </w:rPr>
              <w:t>28.173</w:t>
            </w:r>
          </w:p>
        </w:tc>
        <w:tc>
          <w:tcPr>
            <w:tcW w:type="dxa" w:w="1560"/>
          </w:tcPr>
          <w:p>
            <w:r/>
            <w:r>
              <w:rPr>
                <w:rFonts w:ascii="Times New Roman" w:hAnsi="Times New Roman"/>
                <w:b w:val="0"/>
                <w:i w:val="0"/>
                <w:sz w:val="18"/>
              </w:rPr>
              <w:t>0.645</w:t>
            </w:r>
          </w:p>
        </w:tc>
      </w:tr>
      <w:tr>
        <w:trPr>
          <w:cantSplit/>
        </w:trPr>
        <w:tc>
          <w:tcPr>
            <w:tcW w:type="dxa" w:w="1560"/>
          </w:tcPr>
          <w:p>
            <w:r/>
            <w:r>
              <w:rPr>
                <w:rFonts w:ascii="Times New Roman" w:hAnsi="Times New Roman"/>
                <w:b w:val="0"/>
                <w:i w:val="0"/>
                <w:sz w:val="18"/>
              </w:rPr>
              <w:t>gradient_boosting</w:t>
            </w:r>
          </w:p>
        </w:tc>
        <w:tc>
          <w:tcPr>
            <w:tcW w:type="dxa" w:w="1560"/>
          </w:tcPr>
          <w:p>
            <w:r/>
            <w:r>
              <w:rPr>
                <w:rFonts w:ascii="Times New Roman" w:hAnsi="Times New Roman"/>
                <w:b w:val="0"/>
                <w:i w:val="0"/>
                <w:sz w:val="18"/>
              </w:rPr>
              <w:t>internal_historical</w:t>
            </w:r>
          </w:p>
        </w:tc>
        <w:tc>
          <w:tcPr>
            <w:tcW w:type="dxa" w:w="1560"/>
          </w:tcPr>
          <w:p>
            <w:r/>
            <w:r>
              <w:rPr>
                <w:rFonts w:ascii="Times New Roman" w:hAnsi="Times New Roman"/>
                <w:b w:val="0"/>
                <w:i w:val="0"/>
                <w:sz w:val="18"/>
              </w:rPr>
              <w:t>67.493</w:t>
            </w:r>
          </w:p>
        </w:tc>
        <w:tc>
          <w:tcPr>
            <w:tcW w:type="dxa" w:w="1560"/>
          </w:tcPr>
          <w:p>
            <w:r/>
            <w:r>
              <w:rPr>
                <w:rFonts w:ascii="Times New Roman" w:hAnsi="Times New Roman"/>
                <w:b w:val="0"/>
                <w:i w:val="0"/>
                <w:sz w:val="18"/>
              </w:rPr>
              <w:t>187.734</w:t>
            </w:r>
          </w:p>
        </w:tc>
        <w:tc>
          <w:tcPr>
            <w:tcW w:type="dxa" w:w="1560"/>
          </w:tcPr>
          <w:p>
            <w:r/>
            <w:r>
              <w:rPr>
                <w:rFonts w:ascii="Times New Roman" w:hAnsi="Times New Roman"/>
                <w:b w:val="0"/>
                <w:i w:val="0"/>
                <w:sz w:val="18"/>
              </w:rPr>
              <w:t>38.378</w:t>
            </w:r>
          </w:p>
        </w:tc>
        <w:tc>
          <w:tcPr>
            <w:tcW w:type="dxa" w:w="1560"/>
          </w:tcPr>
          <w:p>
            <w:r/>
            <w:r>
              <w:rPr>
                <w:rFonts w:ascii="Times New Roman" w:hAnsi="Times New Roman"/>
                <w:b w:val="0"/>
                <w:i w:val="0"/>
                <w:sz w:val="18"/>
              </w:rPr>
              <w:t>0.606</w:t>
            </w:r>
          </w:p>
        </w:tc>
      </w:tr>
      <w:tr>
        <w:trPr>
          <w:cantSplit/>
        </w:trPr>
        <w:tc>
          <w:tcPr>
            <w:tcW w:type="dxa" w:w="1560"/>
          </w:tcPr>
          <w:p>
            <w:r/>
            <w:r>
              <w:rPr>
                <w:rFonts w:ascii="Times New Roman" w:hAnsi="Times New Roman"/>
                <w:b w:val="0"/>
                <w:i w:val="0"/>
                <w:sz w:val="18"/>
              </w:rPr>
              <w:t>gradient_boosting</w:t>
            </w:r>
          </w:p>
        </w:tc>
        <w:tc>
          <w:tcPr>
            <w:tcW w:type="dxa" w:w="1560"/>
          </w:tcPr>
          <w:p>
            <w:r/>
            <w:r>
              <w:rPr>
                <w:rFonts w:ascii="Times New Roman" w:hAnsi="Times New Roman"/>
                <w:b w:val="0"/>
                <w:i w:val="0"/>
                <w:sz w:val="18"/>
              </w:rPr>
              <w:t>calendar_augmented</w:t>
            </w:r>
          </w:p>
        </w:tc>
        <w:tc>
          <w:tcPr>
            <w:tcW w:type="dxa" w:w="1560"/>
          </w:tcPr>
          <w:p>
            <w:r/>
            <w:r>
              <w:rPr>
                <w:rFonts w:ascii="Times New Roman" w:hAnsi="Times New Roman"/>
                <w:b w:val="0"/>
                <w:i w:val="0"/>
                <w:sz w:val="18"/>
              </w:rPr>
              <w:t>61.710</w:t>
            </w:r>
          </w:p>
        </w:tc>
        <w:tc>
          <w:tcPr>
            <w:tcW w:type="dxa" w:w="1560"/>
          </w:tcPr>
          <w:p>
            <w:r/>
            <w:r>
              <w:rPr>
                <w:rFonts w:ascii="Times New Roman" w:hAnsi="Times New Roman"/>
                <w:b w:val="0"/>
                <w:i w:val="0"/>
                <w:sz w:val="18"/>
              </w:rPr>
              <w:t>183.886</w:t>
            </w:r>
          </w:p>
        </w:tc>
        <w:tc>
          <w:tcPr>
            <w:tcW w:type="dxa" w:w="1560"/>
          </w:tcPr>
          <w:p>
            <w:r/>
            <w:r>
              <w:rPr>
                <w:rFonts w:ascii="Times New Roman" w:hAnsi="Times New Roman"/>
                <w:b w:val="0"/>
                <w:i w:val="0"/>
                <w:sz w:val="18"/>
              </w:rPr>
              <w:t>34.152</w:t>
            </w:r>
          </w:p>
        </w:tc>
        <w:tc>
          <w:tcPr>
            <w:tcW w:type="dxa" w:w="1560"/>
          </w:tcPr>
          <w:p>
            <w:r/>
            <w:r>
              <w:rPr>
                <w:rFonts w:ascii="Times New Roman" w:hAnsi="Times New Roman"/>
                <w:b w:val="0"/>
                <w:i w:val="0"/>
                <w:sz w:val="18"/>
              </w:rPr>
              <w:t>0.622</w:t>
            </w:r>
          </w:p>
        </w:tc>
      </w:tr>
      <w:tr>
        <w:trPr>
          <w:cantSplit/>
        </w:trPr>
        <w:tc>
          <w:tcPr>
            <w:tcW w:type="dxa" w:w="1560"/>
          </w:tcPr>
          <w:p>
            <w:r/>
            <w:r>
              <w:rPr>
                <w:rFonts w:ascii="Times New Roman" w:hAnsi="Times New Roman"/>
                <w:b w:val="0"/>
                <w:i w:val="0"/>
                <w:sz w:val="18"/>
              </w:rPr>
              <w:t>gradient_boosting</w:t>
            </w:r>
          </w:p>
        </w:tc>
        <w:tc>
          <w:tcPr>
            <w:tcW w:type="dxa" w:w="1560"/>
          </w:tcPr>
          <w:p>
            <w:r/>
            <w:r>
              <w:rPr>
                <w:rFonts w:ascii="Times New Roman" w:hAnsi="Times New Roman"/>
                <w:b w:val="0"/>
                <w:i w:val="0"/>
                <w:sz w:val="18"/>
              </w:rPr>
              <w:t>weather_augmented</w:t>
            </w:r>
          </w:p>
        </w:tc>
        <w:tc>
          <w:tcPr>
            <w:tcW w:type="dxa" w:w="1560"/>
          </w:tcPr>
          <w:p>
            <w:r/>
            <w:r>
              <w:rPr>
                <w:rFonts w:ascii="Times New Roman" w:hAnsi="Times New Roman"/>
                <w:b w:val="0"/>
                <w:i w:val="0"/>
                <w:sz w:val="18"/>
              </w:rPr>
              <w:t>67.553</w:t>
            </w:r>
          </w:p>
        </w:tc>
        <w:tc>
          <w:tcPr>
            <w:tcW w:type="dxa" w:w="1560"/>
          </w:tcPr>
          <w:p>
            <w:r/>
            <w:r>
              <w:rPr>
                <w:rFonts w:ascii="Times New Roman" w:hAnsi="Times New Roman"/>
                <w:b w:val="0"/>
                <w:i w:val="0"/>
                <w:sz w:val="18"/>
              </w:rPr>
              <w:t>188.046</w:t>
            </w:r>
          </w:p>
        </w:tc>
        <w:tc>
          <w:tcPr>
            <w:tcW w:type="dxa" w:w="1560"/>
          </w:tcPr>
          <w:p>
            <w:r/>
            <w:r>
              <w:rPr>
                <w:rFonts w:ascii="Times New Roman" w:hAnsi="Times New Roman"/>
                <w:b w:val="0"/>
                <w:i w:val="0"/>
                <w:sz w:val="18"/>
              </w:rPr>
              <w:t>38.236</w:t>
            </w:r>
          </w:p>
        </w:tc>
        <w:tc>
          <w:tcPr>
            <w:tcW w:type="dxa" w:w="1560"/>
          </w:tcPr>
          <w:p>
            <w:r/>
            <w:r>
              <w:rPr>
                <w:rFonts w:ascii="Times New Roman" w:hAnsi="Times New Roman"/>
                <w:b w:val="0"/>
                <w:i w:val="0"/>
                <w:sz w:val="18"/>
              </w:rPr>
              <w:t>0.605</w:t>
            </w:r>
          </w:p>
        </w:tc>
      </w:tr>
      <w:tr>
        <w:trPr>
          <w:cantSplit/>
        </w:trPr>
        <w:tc>
          <w:tcPr>
            <w:tcW w:type="dxa" w:w="1560"/>
          </w:tcPr>
          <w:p>
            <w:r/>
            <w:r>
              <w:rPr>
                <w:rFonts w:ascii="Times New Roman" w:hAnsi="Times New Roman"/>
                <w:b w:val="0"/>
                <w:i w:val="0"/>
                <w:sz w:val="18"/>
              </w:rPr>
              <w:t>gradient_boosting</w:t>
            </w:r>
          </w:p>
        </w:tc>
        <w:tc>
          <w:tcPr>
            <w:tcW w:type="dxa" w:w="1560"/>
          </w:tcPr>
          <w:p>
            <w:r/>
            <w:r>
              <w:rPr>
                <w:rFonts w:ascii="Times New Roman" w:hAnsi="Times New Roman"/>
                <w:b w:val="0"/>
                <w:i w:val="0"/>
                <w:sz w:val="18"/>
              </w:rPr>
              <w:t>calendar_weather_augmented</w:t>
            </w:r>
          </w:p>
        </w:tc>
        <w:tc>
          <w:tcPr>
            <w:tcW w:type="dxa" w:w="1560"/>
          </w:tcPr>
          <w:p>
            <w:r/>
            <w:r>
              <w:rPr>
                <w:rFonts w:ascii="Times New Roman" w:hAnsi="Times New Roman"/>
                <w:b w:val="0"/>
                <w:i w:val="0"/>
                <w:sz w:val="18"/>
              </w:rPr>
              <w:t>61.878</w:t>
            </w:r>
          </w:p>
        </w:tc>
        <w:tc>
          <w:tcPr>
            <w:tcW w:type="dxa" w:w="1560"/>
          </w:tcPr>
          <w:p>
            <w:r/>
            <w:r>
              <w:rPr>
                <w:rFonts w:ascii="Times New Roman" w:hAnsi="Times New Roman"/>
                <w:b w:val="0"/>
                <w:i w:val="0"/>
                <w:sz w:val="18"/>
              </w:rPr>
              <w:t>181.778</w:t>
            </w:r>
          </w:p>
        </w:tc>
        <w:tc>
          <w:tcPr>
            <w:tcW w:type="dxa" w:w="1560"/>
          </w:tcPr>
          <w:p>
            <w:r/>
            <w:r>
              <w:rPr>
                <w:rFonts w:ascii="Times New Roman" w:hAnsi="Times New Roman"/>
                <w:b w:val="0"/>
                <w:i w:val="0"/>
                <w:sz w:val="18"/>
              </w:rPr>
              <w:t>33.822</w:t>
            </w:r>
          </w:p>
        </w:tc>
        <w:tc>
          <w:tcPr>
            <w:tcW w:type="dxa" w:w="1560"/>
          </w:tcPr>
          <w:p>
            <w:r/>
            <w:r>
              <w:rPr>
                <w:rFonts w:ascii="Times New Roman" w:hAnsi="Times New Roman"/>
                <w:b w:val="0"/>
                <w:i w:val="0"/>
                <w:sz w:val="18"/>
              </w:rPr>
              <w:t>0.631</w:t>
            </w:r>
          </w:p>
        </w:tc>
      </w:tr>
    </w:tbl>
    <w:p/>
    <w:p>
      <w:pPr>
        <w:keepNext/>
        <w:spacing w:before="160"/>
      </w:pPr>
      <w:r>
        <w:rPr>
          <w:rFonts w:ascii="Times New Roman" w:hAnsi="Times New Roman"/>
          <w:b/>
          <w:i w:val="0"/>
          <w:sz w:val="22"/>
        </w:rPr>
        <w:t>Table A4. Borough robustness (random forest; internal history versus calendar).</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cantSplit/>
        </w:trPr>
        <w:tc>
          <w:tcPr>
            <w:tcW w:type="dxa" w:w="2340"/>
          </w:tcPr>
          <w:p>
            <w:r/>
            <w:r>
              <w:rPr>
                <w:rFonts w:ascii="Times New Roman" w:hAnsi="Times New Roman"/>
                <w:b/>
                <w:i w:val="0"/>
                <w:sz w:val="18"/>
              </w:rPr>
              <w:t>Borough</w:t>
            </w:r>
          </w:p>
        </w:tc>
        <w:tc>
          <w:tcPr>
            <w:tcW w:type="dxa" w:w="2340"/>
          </w:tcPr>
          <w:p>
            <w:r/>
            <w:r>
              <w:rPr>
                <w:rFonts w:ascii="Times New Roman" w:hAnsi="Times New Roman"/>
                <w:b/>
                <w:i w:val="0"/>
                <w:sz w:val="18"/>
              </w:rPr>
              <w:t>Internal MAE</w:t>
            </w:r>
          </w:p>
        </w:tc>
        <w:tc>
          <w:tcPr>
            <w:tcW w:type="dxa" w:w="2340"/>
          </w:tcPr>
          <w:p>
            <w:r/>
            <w:r>
              <w:rPr>
                <w:rFonts w:ascii="Times New Roman" w:hAnsi="Times New Roman"/>
                <w:b/>
                <w:i w:val="0"/>
                <w:sz w:val="18"/>
              </w:rPr>
              <w:t>Calendar MAE</w:t>
            </w:r>
          </w:p>
        </w:tc>
        <w:tc>
          <w:tcPr>
            <w:tcW w:type="dxa" w:w="2340"/>
          </w:tcPr>
          <w:p>
            <w:r/>
            <w:r>
              <w:rPr>
                <w:rFonts w:ascii="Times New Roman" w:hAnsi="Times New Roman"/>
                <w:b/>
                <w:i w:val="0"/>
                <w:sz w:val="18"/>
              </w:rPr>
              <w:t>Improvement (%)</w:t>
            </w:r>
          </w:p>
        </w:tc>
      </w:tr>
      <w:tr>
        <w:trPr>
          <w:cantSplit/>
        </w:trPr>
        <w:tc>
          <w:tcPr>
            <w:tcW w:type="dxa" w:w="2340"/>
          </w:tcPr>
          <w:p>
            <w:r/>
            <w:r>
              <w:rPr>
                <w:rFonts w:ascii="Times New Roman" w:hAnsi="Times New Roman"/>
                <w:b w:val="0"/>
                <w:i w:val="0"/>
                <w:sz w:val="18"/>
              </w:rPr>
              <w:t>Bronx</w:t>
            </w:r>
          </w:p>
        </w:tc>
        <w:tc>
          <w:tcPr>
            <w:tcW w:type="dxa" w:w="2340"/>
          </w:tcPr>
          <w:p>
            <w:r/>
            <w:r>
              <w:rPr>
                <w:rFonts w:ascii="Times New Roman" w:hAnsi="Times New Roman"/>
                <w:b w:val="0"/>
                <w:i w:val="0"/>
                <w:sz w:val="18"/>
              </w:rPr>
              <w:t>120.194</w:t>
            </w:r>
          </w:p>
        </w:tc>
        <w:tc>
          <w:tcPr>
            <w:tcW w:type="dxa" w:w="2340"/>
          </w:tcPr>
          <w:p>
            <w:r/>
            <w:r>
              <w:rPr>
                <w:rFonts w:ascii="Times New Roman" w:hAnsi="Times New Roman"/>
                <w:b w:val="0"/>
                <w:i w:val="0"/>
                <w:sz w:val="18"/>
              </w:rPr>
              <w:t>109.567</w:t>
            </w:r>
          </w:p>
        </w:tc>
        <w:tc>
          <w:tcPr>
            <w:tcW w:type="dxa" w:w="2340"/>
          </w:tcPr>
          <w:p>
            <w:r/>
            <w:r>
              <w:rPr>
                <w:rFonts w:ascii="Times New Roman" w:hAnsi="Times New Roman"/>
                <w:b w:val="0"/>
                <w:i w:val="0"/>
                <w:sz w:val="18"/>
              </w:rPr>
              <w:t>8.84</w:t>
            </w:r>
          </w:p>
        </w:tc>
      </w:tr>
      <w:tr>
        <w:trPr>
          <w:cantSplit/>
        </w:trPr>
        <w:tc>
          <w:tcPr>
            <w:tcW w:type="dxa" w:w="2340"/>
          </w:tcPr>
          <w:p>
            <w:r/>
            <w:r>
              <w:rPr>
                <w:rFonts w:ascii="Times New Roman" w:hAnsi="Times New Roman"/>
                <w:b w:val="0"/>
                <w:i w:val="0"/>
                <w:sz w:val="18"/>
              </w:rPr>
              <w:t>Brooklyn</w:t>
            </w:r>
          </w:p>
        </w:tc>
        <w:tc>
          <w:tcPr>
            <w:tcW w:type="dxa" w:w="2340"/>
          </w:tcPr>
          <w:p>
            <w:r/>
            <w:r>
              <w:rPr>
                <w:rFonts w:ascii="Times New Roman" w:hAnsi="Times New Roman"/>
                <w:b w:val="0"/>
                <w:i w:val="0"/>
                <w:sz w:val="18"/>
              </w:rPr>
              <w:t>76.991</w:t>
            </w:r>
          </w:p>
        </w:tc>
        <w:tc>
          <w:tcPr>
            <w:tcW w:type="dxa" w:w="2340"/>
          </w:tcPr>
          <w:p>
            <w:r/>
            <w:r>
              <w:rPr>
                <w:rFonts w:ascii="Times New Roman" w:hAnsi="Times New Roman"/>
                <w:b w:val="0"/>
                <w:i w:val="0"/>
                <w:sz w:val="18"/>
              </w:rPr>
              <w:t>64.175</w:t>
            </w:r>
          </w:p>
        </w:tc>
        <w:tc>
          <w:tcPr>
            <w:tcW w:type="dxa" w:w="2340"/>
          </w:tcPr>
          <w:p>
            <w:r/>
            <w:r>
              <w:rPr>
                <w:rFonts w:ascii="Times New Roman" w:hAnsi="Times New Roman"/>
                <w:b w:val="0"/>
                <w:i w:val="0"/>
                <w:sz w:val="18"/>
              </w:rPr>
              <w:t>16.65</w:t>
            </w:r>
          </w:p>
        </w:tc>
      </w:tr>
      <w:tr>
        <w:trPr>
          <w:cantSplit/>
        </w:trPr>
        <w:tc>
          <w:tcPr>
            <w:tcW w:type="dxa" w:w="2340"/>
          </w:tcPr>
          <w:p>
            <w:r/>
            <w:r>
              <w:rPr>
                <w:rFonts w:ascii="Times New Roman" w:hAnsi="Times New Roman"/>
                <w:b w:val="0"/>
                <w:i w:val="0"/>
                <w:sz w:val="18"/>
              </w:rPr>
              <w:t>Manhattan</w:t>
            </w:r>
          </w:p>
        </w:tc>
        <w:tc>
          <w:tcPr>
            <w:tcW w:type="dxa" w:w="2340"/>
          </w:tcPr>
          <w:p>
            <w:r/>
            <w:r>
              <w:rPr>
                <w:rFonts w:ascii="Times New Roman" w:hAnsi="Times New Roman"/>
                <w:b w:val="0"/>
                <w:i w:val="0"/>
                <w:sz w:val="18"/>
              </w:rPr>
              <w:t>58.178</w:t>
            </w:r>
          </w:p>
        </w:tc>
        <w:tc>
          <w:tcPr>
            <w:tcW w:type="dxa" w:w="2340"/>
          </w:tcPr>
          <w:p>
            <w:r/>
            <w:r>
              <w:rPr>
                <w:rFonts w:ascii="Times New Roman" w:hAnsi="Times New Roman"/>
                <w:b w:val="0"/>
                <w:i w:val="0"/>
                <w:sz w:val="18"/>
              </w:rPr>
              <w:t>48.078</w:t>
            </w:r>
          </w:p>
        </w:tc>
        <w:tc>
          <w:tcPr>
            <w:tcW w:type="dxa" w:w="2340"/>
          </w:tcPr>
          <w:p>
            <w:r/>
            <w:r>
              <w:rPr>
                <w:rFonts w:ascii="Times New Roman" w:hAnsi="Times New Roman"/>
                <w:b w:val="0"/>
                <w:i w:val="0"/>
                <w:sz w:val="18"/>
              </w:rPr>
              <w:t>17.36</w:t>
            </w:r>
          </w:p>
        </w:tc>
      </w:tr>
      <w:tr>
        <w:trPr>
          <w:cantSplit/>
        </w:trPr>
        <w:tc>
          <w:tcPr>
            <w:tcW w:type="dxa" w:w="2340"/>
          </w:tcPr>
          <w:p>
            <w:r/>
            <w:r>
              <w:rPr>
                <w:rFonts w:ascii="Times New Roman" w:hAnsi="Times New Roman"/>
                <w:b w:val="0"/>
                <w:i w:val="0"/>
                <w:sz w:val="18"/>
              </w:rPr>
              <w:t>Queens</w:t>
            </w:r>
          </w:p>
        </w:tc>
        <w:tc>
          <w:tcPr>
            <w:tcW w:type="dxa" w:w="2340"/>
          </w:tcPr>
          <w:p>
            <w:r/>
            <w:r>
              <w:rPr>
                <w:rFonts w:ascii="Times New Roman" w:hAnsi="Times New Roman"/>
                <w:b w:val="0"/>
                <w:i w:val="0"/>
                <w:sz w:val="18"/>
              </w:rPr>
              <w:t>53.771</w:t>
            </w:r>
          </w:p>
        </w:tc>
        <w:tc>
          <w:tcPr>
            <w:tcW w:type="dxa" w:w="2340"/>
          </w:tcPr>
          <w:p>
            <w:r/>
            <w:r>
              <w:rPr>
                <w:rFonts w:ascii="Times New Roman" w:hAnsi="Times New Roman"/>
                <w:b w:val="0"/>
                <w:i w:val="0"/>
                <w:sz w:val="18"/>
              </w:rPr>
              <w:t>43.675</w:t>
            </w:r>
          </w:p>
        </w:tc>
        <w:tc>
          <w:tcPr>
            <w:tcW w:type="dxa" w:w="2340"/>
          </w:tcPr>
          <w:p>
            <w:r/>
            <w:r>
              <w:rPr>
                <w:rFonts w:ascii="Times New Roman" w:hAnsi="Times New Roman"/>
                <w:b w:val="0"/>
                <w:i w:val="0"/>
                <w:sz w:val="18"/>
              </w:rPr>
              <w:t>18.78</w:t>
            </w:r>
          </w:p>
        </w:tc>
      </w:tr>
      <w:tr>
        <w:trPr>
          <w:cantSplit/>
        </w:trPr>
        <w:tc>
          <w:tcPr>
            <w:tcW w:type="dxa" w:w="2340"/>
          </w:tcPr>
          <w:p>
            <w:r/>
            <w:r>
              <w:rPr>
                <w:rFonts w:ascii="Times New Roman" w:hAnsi="Times New Roman"/>
                <w:b w:val="0"/>
                <w:i w:val="0"/>
                <w:sz w:val="18"/>
              </w:rPr>
              <w:t>Staten Island</w:t>
            </w:r>
          </w:p>
        </w:tc>
        <w:tc>
          <w:tcPr>
            <w:tcW w:type="dxa" w:w="2340"/>
          </w:tcPr>
          <w:p>
            <w:r/>
            <w:r>
              <w:rPr>
                <w:rFonts w:ascii="Times New Roman" w:hAnsi="Times New Roman"/>
                <w:b w:val="0"/>
                <w:i w:val="0"/>
                <w:sz w:val="18"/>
              </w:rPr>
              <w:t>12.766</w:t>
            </w:r>
          </w:p>
        </w:tc>
        <w:tc>
          <w:tcPr>
            <w:tcW w:type="dxa" w:w="2340"/>
          </w:tcPr>
          <w:p>
            <w:r/>
            <w:r>
              <w:rPr>
                <w:rFonts w:ascii="Times New Roman" w:hAnsi="Times New Roman"/>
                <w:b w:val="0"/>
                <w:i w:val="0"/>
                <w:sz w:val="18"/>
              </w:rPr>
              <w:t>11.129</w:t>
            </w:r>
          </w:p>
        </w:tc>
        <w:tc>
          <w:tcPr>
            <w:tcW w:type="dxa" w:w="2340"/>
          </w:tcPr>
          <w:p>
            <w:r/>
            <w:r>
              <w:rPr>
                <w:rFonts w:ascii="Times New Roman" w:hAnsi="Times New Roman"/>
                <w:b w:val="0"/>
                <w:i w:val="0"/>
                <w:sz w:val="18"/>
              </w:rPr>
              <w:t>12.82</w:t>
            </w:r>
          </w:p>
        </w:tc>
      </w:tr>
    </w:tbl>
    <w:p/>
    <w:p>
      <w:pPr>
        <w:keepNext/>
        <w:spacing w:before="160"/>
      </w:pPr>
      <w:r>
        <w:rPr>
          <w:rFonts w:ascii="Times New Roman" w:hAnsi="Times New Roman"/>
          <w:b/>
          <w:i w:val="0"/>
          <w:sz w:val="22"/>
        </w:rPr>
        <w:t>Table A5. Complaint-group robustness (random forest; internal history versus calendar).</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cantSplit/>
        </w:trPr>
        <w:tc>
          <w:tcPr>
            <w:tcW w:type="dxa" w:w="2340"/>
          </w:tcPr>
          <w:p>
            <w:r/>
            <w:r>
              <w:rPr>
                <w:rFonts w:ascii="Times New Roman" w:hAnsi="Times New Roman"/>
                <w:b/>
                <w:i w:val="0"/>
                <w:sz w:val="18"/>
              </w:rPr>
              <w:t>Complaint group</w:t>
            </w:r>
          </w:p>
        </w:tc>
        <w:tc>
          <w:tcPr>
            <w:tcW w:type="dxa" w:w="2340"/>
          </w:tcPr>
          <w:p>
            <w:r/>
            <w:r>
              <w:rPr>
                <w:rFonts w:ascii="Times New Roman" w:hAnsi="Times New Roman"/>
                <w:b/>
                <w:i w:val="0"/>
                <w:sz w:val="18"/>
              </w:rPr>
              <w:t>Internal MAE</w:t>
            </w:r>
          </w:p>
        </w:tc>
        <w:tc>
          <w:tcPr>
            <w:tcW w:type="dxa" w:w="2340"/>
          </w:tcPr>
          <w:p>
            <w:r/>
            <w:r>
              <w:rPr>
                <w:rFonts w:ascii="Times New Roman" w:hAnsi="Times New Roman"/>
                <w:b/>
                <w:i w:val="0"/>
                <w:sz w:val="18"/>
              </w:rPr>
              <w:t>Calendar MAE</w:t>
            </w:r>
          </w:p>
        </w:tc>
        <w:tc>
          <w:tcPr>
            <w:tcW w:type="dxa" w:w="2340"/>
          </w:tcPr>
          <w:p>
            <w:r/>
            <w:r>
              <w:rPr>
                <w:rFonts w:ascii="Times New Roman" w:hAnsi="Times New Roman"/>
                <w:b/>
                <w:i w:val="0"/>
                <w:sz w:val="18"/>
              </w:rPr>
              <w:t>Improvement (%)</w:t>
            </w:r>
          </w:p>
        </w:tc>
      </w:tr>
      <w:tr>
        <w:trPr>
          <w:cantSplit/>
        </w:trPr>
        <w:tc>
          <w:tcPr>
            <w:tcW w:type="dxa" w:w="2340"/>
          </w:tcPr>
          <w:p>
            <w:r/>
            <w:r>
              <w:rPr>
                <w:rFonts w:ascii="Times New Roman" w:hAnsi="Times New Roman"/>
                <w:b w:val="0"/>
                <w:i w:val="0"/>
                <w:sz w:val="18"/>
              </w:rPr>
              <w:t>Noise</w:t>
            </w:r>
          </w:p>
        </w:tc>
        <w:tc>
          <w:tcPr>
            <w:tcW w:type="dxa" w:w="2340"/>
          </w:tcPr>
          <w:p>
            <w:r/>
            <w:r>
              <w:rPr>
                <w:rFonts w:ascii="Times New Roman" w:hAnsi="Times New Roman"/>
                <w:b w:val="0"/>
                <w:i w:val="0"/>
                <w:sz w:val="18"/>
              </w:rPr>
              <w:t>194.882</w:t>
            </w:r>
          </w:p>
        </w:tc>
        <w:tc>
          <w:tcPr>
            <w:tcW w:type="dxa" w:w="2340"/>
          </w:tcPr>
          <w:p>
            <w:r/>
            <w:r>
              <w:rPr>
                <w:rFonts w:ascii="Times New Roman" w:hAnsi="Times New Roman"/>
                <w:b w:val="0"/>
                <w:i w:val="0"/>
                <w:sz w:val="18"/>
              </w:rPr>
              <w:t>168.272</w:t>
            </w:r>
          </w:p>
        </w:tc>
        <w:tc>
          <w:tcPr>
            <w:tcW w:type="dxa" w:w="2340"/>
          </w:tcPr>
          <w:p>
            <w:r/>
            <w:r>
              <w:rPr>
                <w:rFonts w:ascii="Times New Roman" w:hAnsi="Times New Roman"/>
                <w:b w:val="0"/>
                <w:i w:val="0"/>
                <w:sz w:val="18"/>
              </w:rPr>
              <w:t>13.65</w:t>
            </w:r>
          </w:p>
        </w:tc>
      </w:tr>
      <w:tr>
        <w:trPr>
          <w:cantSplit/>
        </w:trPr>
        <w:tc>
          <w:tcPr>
            <w:tcW w:type="dxa" w:w="2340"/>
          </w:tcPr>
          <w:p>
            <w:r/>
            <w:r>
              <w:rPr>
                <w:rFonts w:ascii="Times New Roman" w:hAnsi="Times New Roman"/>
                <w:b w:val="0"/>
                <w:i w:val="0"/>
                <w:sz w:val="18"/>
              </w:rPr>
              <w:t>Housing</w:t>
            </w:r>
          </w:p>
        </w:tc>
        <w:tc>
          <w:tcPr>
            <w:tcW w:type="dxa" w:w="2340"/>
          </w:tcPr>
          <w:p>
            <w:r/>
            <w:r>
              <w:rPr>
                <w:rFonts w:ascii="Times New Roman" w:hAnsi="Times New Roman"/>
                <w:b w:val="0"/>
                <w:i w:val="0"/>
                <w:sz w:val="18"/>
              </w:rPr>
              <w:t>121.762</w:t>
            </w:r>
          </w:p>
        </w:tc>
        <w:tc>
          <w:tcPr>
            <w:tcW w:type="dxa" w:w="2340"/>
          </w:tcPr>
          <w:p>
            <w:r/>
            <w:r>
              <w:rPr>
                <w:rFonts w:ascii="Times New Roman" w:hAnsi="Times New Roman"/>
                <w:b w:val="0"/>
                <w:i w:val="0"/>
                <w:sz w:val="18"/>
              </w:rPr>
              <w:t>106.839</w:t>
            </w:r>
          </w:p>
        </w:tc>
        <w:tc>
          <w:tcPr>
            <w:tcW w:type="dxa" w:w="2340"/>
          </w:tcPr>
          <w:p>
            <w:r/>
            <w:r>
              <w:rPr>
                <w:rFonts w:ascii="Times New Roman" w:hAnsi="Times New Roman"/>
                <w:b w:val="0"/>
                <w:i w:val="0"/>
                <w:sz w:val="18"/>
              </w:rPr>
              <w:t>12.26</w:t>
            </w:r>
          </w:p>
        </w:tc>
      </w:tr>
      <w:tr>
        <w:trPr>
          <w:cantSplit/>
        </w:trPr>
        <w:tc>
          <w:tcPr>
            <w:tcW w:type="dxa" w:w="2340"/>
          </w:tcPr>
          <w:p>
            <w:r/>
            <w:r>
              <w:rPr>
                <w:rFonts w:ascii="Times New Roman" w:hAnsi="Times New Roman"/>
                <w:b w:val="0"/>
                <w:i w:val="0"/>
                <w:sz w:val="18"/>
              </w:rPr>
              <w:t>Other</w:t>
            </w:r>
          </w:p>
        </w:tc>
        <w:tc>
          <w:tcPr>
            <w:tcW w:type="dxa" w:w="2340"/>
          </w:tcPr>
          <w:p>
            <w:r/>
            <w:r>
              <w:rPr>
                <w:rFonts w:ascii="Times New Roman" w:hAnsi="Times New Roman"/>
                <w:b w:val="0"/>
                <w:i w:val="0"/>
                <w:sz w:val="18"/>
              </w:rPr>
              <w:t>54.794</w:t>
            </w:r>
          </w:p>
        </w:tc>
        <w:tc>
          <w:tcPr>
            <w:tcW w:type="dxa" w:w="2340"/>
          </w:tcPr>
          <w:p>
            <w:r/>
            <w:r>
              <w:rPr>
                <w:rFonts w:ascii="Times New Roman" w:hAnsi="Times New Roman"/>
                <w:b w:val="0"/>
                <w:i w:val="0"/>
                <w:sz w:val="18"/>
              </w:rPr>
              <w:t>44.474</w:t>
            </w:r>
          </w:p>
        </w:tc>
        <w:tc>
          <w:tcPr>
            <w:tcW w:type="dxa" w:w="2340"/>
          </w:tcPr>
          <w:p>
            <w:r/>
            <w:r>
              <w:rPr>
                <w:rFonts w:ascii="Times New Roman" w:hAnsi="Times New Roman"/>
                <w:b w:val="0"/>
                <w:i w:val="0"/>
                <w:sz w:val="18"/>
              </w:rPr>
              <w:t>18.83</w:t>
            </w:r>
          </w:p>
        </w:tc>
      </w:tr>
      <w:tr>
        <w:trPr>
          <w:cantSplit/>
        </w:trPr>
        <w:tc>
          <w:tcPr>
            <w:tcW w:type="dxa" w:w="2340"/>
          </w:tcPr>
          <w:p>
            <w:r/>
            <w:r>
              <w:rPr>
                <w:rFonts w:ascii="Times New Roman" w:hAnsi="Times New Roman"/>
                <w:b w:val="0"/>
                <w:i w:val="0"/>
                <w:sz w:val="18"/>
              </w:rPr>
              <w:t>Traffic</w:t>
            </w:r>
          </w:p>
        </w:tc>
        <w:tc>
          <w:tcPr>
            <w:tcW w:type="dxa" w:w="2340"/>
          </w:tcPr>
          <w:p>
            <w:r/>
            <w:r>
              <w:rPr>
                <w:rFonts w:ascii="Times New Roman" w:hAnsi="Times New Roman"/>
                <w:b w:val="0"/>
                <w:i w:val="0"/>
                <w:sz w:val="18"/>
              </w:rPr>
              <w:t>45.000</w:t>
            </w:r>
          </w:p>
        </w:tc>
        <w:tc>
          <w:tcPr>
            <w:tcW w:type="dxa" w:w="2340"/>
          </w:tcPr>
          <w:p>
            <w:r/>
            <w:r>
              <w:rPr>
                <w:rFonts w:ascii="Times New Roman" w:hAnsi="Times New Roman"/>
                <w:b w:val="0"/>
                <w:i w:val="0"/>
                <w:sz w:val="18"/>
              </w:rPr>
              <w:t>40.990</w:t>
            </w:r>
          </w:p>
        </w:tc>
        <w:tc>
          <w:tcPr>
            <w:tcW w:type="dxa" w:w="2340"/>
          </w:tcPr>
          <w:p>
            <w:r/>
            <w:r>
              <w:rPr>
                <w:rFonts w:ascii="Times New Roman" w:hAnsi="Times New Roman"/>
                <w:b w:val="0"/>
                <w:i w:val="0"/>
                <w:sz w:val="18"/>
              </w:rPr>
              <w:t>8.91</w:t>
            </w:r>
          </w:p>
        </w:tc>
      </w:tr>
      <w:tr>
        <w:trPr>
          <w:cantSplit/>
        </w:trPr>
        <w:tc>
          <w:tcPr>
            <w:tcW w:type="dxa" w:w="2340"/>
          </w:tcPr>
          <w:p>
            <w:r/>
            <w:r>
              <w:rPr>
                <w:rFonts w:ascii="Times New Roman" w:hAnsi="Times New Roman"/>
                <w:b w:val="0"/>
                <w:i w:val="0"/>
                <w:sz w:val="18"/>
              </w:rPr>
              <w:t>Sanitation</w:t>
            </w:r>
          </w:p>
        </w:tc>
        <w:tc>
          <w:tcPr>
            <w:tcW w:type="dxa" w:w="2340"/>
          </w:tcPr>
          <w:p>
            <w:r/>
            <w:r>
              <w:rPr>
                <w:rFonts w:ascii="Times New Roman" w:hAnsi="Times New Roman"/>
                <w:b w:val="0"/>
                <w:i w:val="0"/>
                <w:sz w:val="18"/>
              </w:rPr>
              <w:t>24.957</w:t>
            </w:r>
          </w:p>
        </w:tc>
        <w:tc>
          <w:tcPr>
            <w:tcW w:type="dxa" w:w="2340"/>
          </w:tcPr>
          <w:p>
            <w:r/>
            <w:r>
              <w:rPr>
                <w:rFonts w:ascii="Times New Roman" w:hAnsi="Times New Roman"/>
                <w:b w:val="0"/>
                <w:i w:val="0"/>
                <w:sz w:val="18"/>
              </w:rPr>
              <w:t>22.078</w:t>
            </w:r>
          </w:p>
        </w:tc>
        <w:tc>
          <w:tcPr>
            <w:tcW w:type="dxa" w:w="2340"/>
          </w:tcPr>
          <w:p>
            <w:r/>
            <w:r>
              <w:rPr>
                <w:rFonts w:ascii="Times New Roman" w:hAnsi="Times New Roman"/>
                <w:b w:val="0"/>
                <w:i w:val="0"/>
                <w:sz w:val="18"/>
              </w:rPr>
              <w:t>11.54</w:t>
            </w:r>
          </w:p>
        </w:tc>
      </w:tr>
      <w:tr>
        <w:trPr>
          <w:cantSplit/>
        </w:trPr>
        <w:tc>
          <w:tcPr>
            <w:tcW w:type="dxa" w:w="2340"/>
          </w:tcPr>
          <w:p>
            <w:r/>
            <w:r>
              <w:rPr>
                <w:rFonts w:ascii="Times New Roman" w:hAnsi="Times New Roman"/>
                <w:b w:val="0"/>
                <w:i w:val="0"/>
                <w:sz w:val="18"/>
              </w:rPr>
              <w:t>Public Safety</w:t>
            </w:r>
          </w:p>
        </w:tc>
        <w:tc>
          <w:tcPr>
            <w:tcW w:type="dxa" w:w="2340"/>
          </w:tcPr>
          <w:p>
            <w:r/>
            <w:r>
              <w:rPr>
                <w:rFonts w:ascii="Times New Roman" w:hAnsi="Times New Roman"/>
                <w:b w:val="0"/>
                <w:i w:val="0"/>
                <w:sz w:val="18"/>
              </w:rPr>
              <w:t>24.449</w:t>
            </w:r>
          </w:p>
        </w:tc>
        <w:tc>
          <w:tcPr>
            <w:tcW w:type="dxa" w:w="2340"/>
          </w:tcPr>
          <w:p>
            <w:r/>
            <w:r>
              <w:rPr>
                <w:rFonts w:ascii="Times New Roman" w:hAnsi="Times New Roman"/>
                <w:b w:val="0"/>
                <w:i w:val="0"/>
                <w:sz w:val="18"/>
              </w:rPr>
              <w:t>21.496</w:t>
            </w:r>
          </w:p>
        </w:tc>
        <w:tc>
          <w:tcPr>
            <w:tcW w:type="dxa" w:w="2340"/>
          </w:tcPr>
          <w:p>
            <w:r/>
            <w:r>
              <w:rPr>
                <w:rFonts w:ascii="Times New Roman" w:hAnsi="Times New Roman"/>
                <w:b w:val="0"/>
                <w:i w:val="0"/>
                <w:sz w:val="18"/>
              </w:rPr>
              <w:t>12.08</w:t>
            </w:r>
          </w:p>
        </w:tc>
      </w:tr>
      <w:tr>
        <w:trPr>
          <w:cantSplit/>
        </w:trPr>
        <w:tc>
          <w:tcPr>
            <w:tcW w:type="dxa" w:w="2340"/>
          </w:tcPr>
          <w:p>
            <w:r/>
            <w:r>
              <w:rPr>
                <w:rFonts w:ascii="Times New Roman" w:hAnsi="Times New Roman"/>
                <w:b w:val="0"/>
                <w:i w:val="0"/>
                <w:sz w:val="18"/>
              </w:rPr>
              <w:t>Water</w:t>
            </w:r>
          </w:p>
        </w:tc>
        <w:tc>
          <w:tcPr>
            <w:tcW w:type="dxa" w:w="2340"/>
          </w:tcPr>
          <w:p>
            <w:r/>
            <w:r>
              <w:rPr>
                <w:rFonts w:ascii="Times New Roman" w:hAnsi="Times New Roman"/>
                <w:b w:val="0"/>
                <w:i w:val="0"/>
                <w:sz w:val="18"/>
              </w:rPr>
              <w:t>25.111</w:t>
            </w:r>
          </w:p>
        </w:tc>
        <w:tc>
          <w:tcPr>
            <w:tcW w:type="dxa" w:w="2340"/>
          </w:tcPr>
          <w:p>
            <w:r/>
            <w:r>
              <w:rPr>
                <w:rFonts w:ascii="Times New Roman" w:hAnsi="Times New Roman"/>
                <w:b w:val="0"/>
                <w:i w:val="0"/>
                <w:sz w:val="18"/>
              </w:rPr>
              <w:t>20.585</w:t>
            </w:r>
          </w:p>
        </w:tc>
        <w:tc>
          <w:tcPr>
            <w:tcW w:type="dxa" w:w="2340"/>
          </w:tcPr>
          <w:p>
            <w:r/>
            <w:r>
              <w:rPr>
                <w:rFonts w:ascii="Times New Roman" w:hAnsi="Times New Roman"/>
                <w:b w:val="0"/>
                <w:i w:val="0"/>
                <w:sz w:val="18"/>
              </w:rPr>
              <w:t>18.02</w:t>
            </w:r>
          </w:p>
        </w:tc>
      </w:tr>
      <w:tr>
        <w:trPr>
          <w:cantSplit/>
        </w:trPr>
        <w:tc>
          <w:tcPr>
            <w:tcW w:type="dxa" w:w="2340"/>
          </w:tcPr>
          <w:p>
            <w:r/>
            <w:r>
              <w:rPr>
                <w:rFonts w:ascii="Times New Roman" w:hAnsi="Times New Roman"/>
                <w:b w:val="0"/>
                <w:i w:val="0"/>
                <w:sz w:val="18"/>
              </w:rPr>
              <w:t>Street Condition</w:t>
            </w:r>
          </w:p>
        </w:tc>
        <w:tc>
          <w:tcPr>
            <w:tcW w:type="dxa" w:w="2340"/>
          </w:tcPr>
          <w:p>
            <w:r/>
            <w:r>
              <w:rPr>
                <w:rFonts w:ascii="Times New Roman" w:hAnsi="Times New Roman"/>
                <w:b w:val="0"/>
                <w:i w:val="0"/>
                <w:sz w:val="18"/>
              </w:rPr>
              <w:t>24.084</w:t>
            </w:r>
          </w:p>
        </w:tc>
        <w:tc>
          <w:tcPr>
            <w:tcW w:type="dxa" w:w="2340"/>
          </w:tcPr>
          <w:p>
            <w:r/>
            <w:r>
              <w:rPr>
                <w:rFonts w:ascii="Times New Roman" w:hAnsi="Times New Roman"/>
                <w:b w:val="0"/>
                <w:i w:val="0"/>
                <w:sz w:val="18"/>
              </w:rPr>
              <w:t>17.865</w:t>
            </w:r>
          </w:p>
        </w:tc>
        <w:tc>
          <w:tcPr>
            <w:tcW w:type="dxa" w:w="2340"/>
          </w:tcPr>
          <w:p>
            <w:r/>
            <w:r>
              <w:rPr>
                <w:rFonts w:ascii="Times New Roman" w:hAnsi="Times New Roman"/>
                <w:b w:val="0"/>
                <w:i w:val="0"/>
                <w:sz w:val="18"/>
              </w:rPr>
              <w:t>25.82</w:t>
            </w:r>
          </w:p>
        </w:tc>
      </w:tr>
    </w:tbl>
    <w:p/>
    <w:p>
      <w:pPr>
        <w:keepNext/>
        <w:spacing w:before="160"/>
      </w:pPr>
      <w:r>
        <w:rPr>
          <w:rFonts w:ascii="Times New Roman" w:hAnsi="Times New Roman"/>
          <w:b/>
          <w:i w:val="0"/>
          <w:sz w:val="22"/>
        </w:rPr>
        <w:t>Table A6. Limitations and mitigations.</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4680"/>
          </w:tcPr>
          <w:p>
            <w:r/>
            <w:r>
              <w:rPr>
                <w:rFonts w:ascii="Times New Roman" w:hAnsi="Times New Roman"/>
                <w:b/>
                <w:i w:val="0"/>
                <w:sz w:val="18"/>
              </w:rPr>
              <w:t>Limitation</w:t>
            </w:r>
          </w:p>
        </w:tc>
        <w:tc>
          <w:tcPr>
            <w:tcW w:type="dxa" w:w="4680"/>
          </w:tcPr>
          <w:p>
            <w:r/>
            <w:r>
              <w:rPr>
                <w:rFonts w:ascii="Times New Roman" w:hAnsi="Times New Roman"/>
                <w:b/>
                <w:i w:val="0"/>
                <w:sz w:val="18"/>
              </w:rPr>
              <w:t>Mitigation / Scope statement</w:t>
            </w:r>
          </w:p>
        </w:tc>
      </w:tr>
      <w:tr>
        <w:trPr>
          <w:cantSplit/>
        </w:trPr>
        <w:tc>
          <w:tcPr>
            <w:tcW w:type="dxa" w:w="4680"/>
          </w:tcPr>
          <w:p>
            <w:r/>
            <w:r>
              <w:rPr>
                <w:rFonts w:ascii="Times New Roman" w:hAnsi="Times New Roman"/>
                <w:b w:val="0"/>
                <w:i w:val="0"/>
                <w:sz w:val="18"/>
              </w:rPr>
              <w:t>311 reporting bias</w:t>
            </w:r>
          </w:p>
        </w:tc>
        <w:tc>
          <w:tcPr>
            <w:tcW w:type="dxa" w:w="4680"/>
          </w:tcPr>
          <w:p>
            <w:r/>
            <w:r>
              <w:rPr>
                <w:rFonts w:ascii="Times New Roman" w:hAnsi="Times New Roman"/>
                <w:b w:val="0"/>
                <w:i w:val="0"/>
                <w:sz w:val="18"/>
              </w:rPr>
              <w:t>Documented; target framed as reported volume; no need-based or causal claim</w:t>
            </w:r>
          </w:p>
        </w:tc>
      </w:tr>
      <w:tr>
        <w:trPr>
          <w:cantSplit/>
        </w:trPr>
        <w:tc>
          <w:tcPr>
            <w:tcW w:type="dxa" w:w="4680"/>
          </w:tcPr>
          <w:p>
            <w:r/>
            <w:r>
              <w:rPr>
                <w:rFonts w:ascii="Times New Roman" w:hAnsi="Times New Roman"/>
                <w:b w:val="0"/>
                <w:i w:val="0"/>
                <w:sz w:val="18"/>
              </w:rPr>
              <w:t>Borough-level aggregation</w:t>
            </w:r>
          </w:p>
        </w:tc>
        <w:tc>
          <w:tcPr>
            <w:tcW w:type="dxa" w:w="4680"/>
          </w:tcPr>
          <w:p>
            <w:r/>
            <w:r>
              <w:rPr>
                <w:rFonts w:ascii="Times New Roman" w:hAnsi="Times New Roman"/>
                <w:b w:val="0"/>
                <w:i w:val="0"/>
                <w:sz w:val="18"/>
              </w:rPr>
              <w:t>Granularity stated; within-borough variation not captured</w:t>
            </w:r>
          </w:p>
        </w:tc>
      </w:tr>
      <w:tr>
        <w:trPr>
          <w:cantSplit/>
        </w:trPr>
        <w:tc>
          <w:tcPr>
            <w:tcW w:type="dxa" w:w="4680"/>
          </w:tcPr>
          <w:p>
            <w:r/>
            <w:r>
              <w:rPr>
                <w:rFonts w:ascii="Times New Roman" w:hAnsi="Times New Roman"/>
                <w:b w:val="0"/>
                <w:i w:val="0"/>
                <w:sz w:val="18"/>
              </w:rPr>
              <w:t>Complaint-group mapping coarseness</w:t>
            </w:r>
          </w:p>
        </w:tc>
        <w:tc>
          <w:tcPr>
            <w:tcW w:type="dxa" w:w="4680"/>
          </w:tcPr>
          <w:p>
            <w:r/>
            <w:r>
              <w:rPr>
                <w:rFonts w:ascii="Times New Roman" w:hAnsi="Times New Roman"/>
                <w:b w:val="0"/>
                <w:i w:val="0"/>
                <w:sz w:val="18"/>
              </w:rPr>
              <w:t>Deterministic, documented; residual Other group reported</w:t>
            </w:r>
          </w:p>
        </w:tc>
      </w:tr>
      <w:tr>
        <w:trPr>
          <w:cantSplit/>
        </w:trPr>
        <w:tc>
          <w:tcPr>
            <w:tcW w:type="dxa" w:w="4680"/>
          </w:tcPr>
          <w:p>
            <w:r/>
            <w:r>
              <w:rPr>
                <w:rFonts w:ascii="Times New Roman" w:hAnsi="Times New Roman"/>
                <w:b w:val="0"/>
                <w:i w:val="0"/>
                <w:sz w:val="18"/>
              </w:rPr>
              <w:t>Single-station weather proxy</w:t>
            </w:r>
          </w:p>
        </w:tc>
        <w:tc>
          <w:tcPr>
            <w:tcW w:type="dxa" w:w="4680"/>
          </w:tcPr>
          <w:p>
            <w:r/>
            <w:r>
              <w:rPr>
                <w:rFonts w:ascii="Times New Roman" w:hAnsi="Times New Roman"/>
                <w:b w:val="0"/>
                <w:i w:val="0"/>
                <w:sz w:val="18"/>
              </w:rPr>
              <w:t>Documented spatial-resolution limitation; city-level proxy</w:t>
            </w:r>
          </w:p>
        </w:tc>
      </w:tr>
      <w:tr>
        <w:trPr>
          <w:cantSplit/>
        </w:trPr>
        <w:tc>
          <w:tcPr>
            <w:tcW w:type="dxa" w:w="4680"/>
          </w:tcPr>
          <w:p>
            <w:r/>
            <w:r>
              <w:rPr>
                <w:rFonts w:ascii="Times New Roman" w:hAnsi="Times New Roman"/>
                <w:b w:val="0"/>
                <w:i w:val="0"/>
                <w:sz w:val="18"/>
              </w:rPr>
              <w:t>Derived average temperature</w:t>
            </w:r>
          </w:p>
        </w:tc>
        <w:tc>
          <w:tcPr>
            <w:tcW w:type="dxa" w:w="4680"/>
          </w:tcPr>
          <w:p>
            <w:r/>
            <w:r>
              <w:rPr>
                <w:rFonts w:ascii="Times New Roman" w:hAnsi="Times New Roman"/>
                <w:b w:val="0"/>
                <w:i w:val="0"/>
                <w:sz w:val="18"/>
              </w:rPr>
              <w:t>Mean of observed daily max/min; source field empty; documented</w:t>
            </w:r>
          </w:p>
        </w:tc>
      </w:tr>
      <w:tr>
        <w:trPr>
          <w:cantSplit/>
        </w:trPr>
        <w:tc>
          <w:tcPr>
            <w:tcW w:type="dxa" w:w="4680"/>
          </w:tcPr>
          <w:p>
            <w:r/>
            <w:r>
              <w:rPr>
                <w:rFonts w:ascii="Times New Roman" w:hAnsi="Times New Roman"/>
                <w:b w:val="0"/>
                <w:i w:val="0"/>
                <w:sz w:val="18"/>
              </w:rPr>
              <w:t>No transit or event data</w:t>
            </w:r>
          </w:p>
        </w:tc>
        <w:tc>
          <w:tcPr>
            <w:tcW w:type="dxa" w:w="4680"/>
          </w:tcPr>
          <w:p>
            <w:r/>
            <w:r>
              <w:rPr>
                <w:rFonts w:ascii="Times New Roman" w:hAnsi="Times New Roman"/>
                <w:b w:val="0"/>
                <w:i w:val="0"/>
                <w:sz w:val="18"/>
              </w:rPr>
              <w:t>Scope stated; future work</w:t>
            </w:r>
          </w:p>
        </w:tc>
      </w:tr>
      <w:tr>
        <w:trPr>
          <w:cantSplit/>
        </w:trPr>
        <w:tc>
          <w:tcPr>
            <w:tcW w:type="dxa" w:w="4680"/>
          </w:tcPr>
          <w:p>
            <w:r/>
            <w:r>
              <w:rPr>
                <w:rFonts w:ascii="Times New Roman" w:hAnsi="Times New Roman"/>
                <w:b w:val="0"/>
                <w:i w:val="0"/>
                <w:sz w:val="18"/>
              </w:rPr>
              <w:t>Stylized decision simulation</w:t>
            </w:r>
          </w:p>
        </w:tc>
        <w:tc>
          <w:tcPr>
            <w:tcW w:type="dxa" w:w="4680"/>
          </w:tcPr>
          <w:p>
            <w:r/>
            <w:r>
              <w:rPr>
                <w:rFonts w:ascii="Times New Roman" w:hAnsi="Times New Roman"/>
                <w:b w:val="0"/>
                <w:i w:val="0"/>
                <w:sz w:val="18"/>
              </w:rPr>
              <w:t>Labelled stylized; oracle bound included for context</w:t>
            </w:r>
          </w:p>
        </w:tc>
      </w:tr>
      <w:tr>
        <w:trPr>
          <w:cantSplit/>
        </w:trPr>
        <w:tc>
          <w:tcPr>
            <w:tcW w:type="dxa" w:w="4680"/>
          </w:tcPr>
          <w:p>
            <w:r/>
            <w:r>
              <w:rPr>
                <w:rFonts w:ascii="Times New Roman" w:hAnsi="Times New Roman"/>
                <w:b w:val="0"/>
                <w:i w:val="0"/>
                <w:sz w:val="18"/>
              </w:rPr>
              <w:t>No observed dispatch decisions</w:t>
            </w:r>
          </w:p>
        </w:tc>
        <w:tc>
          <w:tcPr>
            <w:tcW w:type="dxa" w:w="4680"/>
          </w:tcPr>
          <w:p>
            <w:r/>
            <w:r>
              <w:rPr>
                <w:rFonts w:ascii="Times New Roman" w:hAnsi="Times New Roman"/>
                <w:b w:val="0"/>
                <w:i w:val="0"/>
                <w:sz w:val="18"/>
              </w:rPr>
              <w:t>Counterfactual only; no real-dispatch or optimization claim</w:t>
            </w:r>
          </w:p>
        </w:tc>
      </w:tr>
      <w:tr>
        <w:trPr>
          <w:cantSplit/>
        </w:trPr>
        <w:tc>
          <w:tcPr>
            <w:tcW w:type="dxa" w:w="4680"/>
          </w:tcPr>
          <w:p>
            <w:r/>
            <w:r>
              <w:rPr>
                <w:rFonts w:ascii="Times New Roman" w:hAnsi="Times New Roman"/>
                <w:b w:val="0"/>
                <w:i w:val="0"/>
                <w:sz w:val="18"/>
              </w:rPr>
              <w:t>Forecast-versus-decision gap</w:t>
            </w:r>
          </w:p>
        </w:tc>
        <w:tc>
          <w:tcPr>
            <w:tcW w:type="dxa" w:w="4680"/>
          </w:tcPr>
          <w:p>
            <w:r/>
            <w:r>
              <w:rPr>
                <w:rFonts w:ascii="Times New Roman" w:hAnsi="Times New Roman"/>
                <w:b w:val="0"/>
                <w:i w:val="0"/>
                <w:sz w:val="18"/>
              </w:rPr>
              <w:t>Decision metrics reported; transfer honestly attenuated/budget-dependent</w:t>
            </w:r>
          </w:p>
        </w:tc>
      </w:tr>
      <w:tr>
        <w:trPr>
          <w:cantSplit/>
        </w:trPr>
        <w:tc>
          <w:tcPr>
            <w:tcW w:type="dxa" w:w="4680"/>
          </w:tcPr>
          <w:p>
            <w:r/>
            <w:r>
              <w:rPr>
                <w:rFonts w:ascii="Times New Roman" w:hAnsi="Times New Roman"/>
                <w:b w:val="0"/>
                <w:i w:val="0"/>
                <w:sz w:val="18"/>
              </w:rPr>
              <w:t>No causal inference</w:t>
            </w:r>
          </w:p>
        </w:tc>
        <w:tc>
          <w:tcPr>
            <w:tcW w:type="dxa" w:w="4680"/>
          </w:tcPr>
          <w:p>
            <w:r/>
            <w:r>
              <w:rPr>
                <w:rFonts w:ascii="Times New Roman" w:hAnsi="Times New Roman"/>
                <w:b w:val="0"/>
                <w:i w:val="0"/>
                <w:sz w:val="18"/>
              </w:rPr>
              <w:t>No causal claim anywhere</w:t>
            </w:r>
          </w:p>
        </w:tc>
      </w:tr>
      <w:tr>
        <w:trPr>
          <w:cantSplit/>
        </w:trPr>
        <w:tc>
          <w:tcPr>
            <w:tcW w:type="dxa" w:w="4680"/>
          </w:tcPr>
          <w:p>
            <w:r/>
            <w:r>
              <w:rPr>
                <w:rFonts w:ascii="Times New Roman" w:hAnsi="Times New Roman"/>
                <w:b w:val="0"/>
                <w:i w:val="0"/>
                <w:sz w:val="18"/>
              </w:rPr>
              <w:t>NYC-only, 2022-2024</w:t>
            </w:r>
          </w:p>
        </w:tc>
        <w:tc>
          <w:tcPr>
            <w:tcW w:type="dxa" w:w="4680"/>
          </w:tcPr>
          <w:p>
            <w:r/>
            <w:r>
              <w:rPr>
                <w:rFonts w:ascii="Times New Roman" w:hAnsi="Times New Roman"/>
                <w:b w:val="0"/>
                <w:i w:val="0"/>
                <w:sz w:val="18"/>
              </w:rPr>
              <w:t>External-validity limitation stated explicitly</w:t>
            </w:r>
          </w:p>
        </w:tc>
      </w:tr>
    </w:tbl>
    <w:p/>
    <w:p>
      <w:pPr>
        <w:keepNext/>
        <w:spacing w:before="240" w:after="120"/>
      </w:pPr>
      <w:r>
        <w:rPr>
          <w:rFonts w:ascii="Times New Roman" w:hAnsi="Times New Roman"/>
          <w:b/>
          <w:i w:val="0"/>
          <w:sz w:val="24"/>
        </w:rPr>
        <w:t>H. Reproducibility</w:t>
      </w:r>
    </w:p>
    <w:p>
      <w:pPr>
        <w:jc w:val="both"/>
      </w:pPr>
      <w:r>
        <w:rPr>
          <w:rFonts w:ascii="Times New Roman" w:hAnsi="Times New Roman"/>
          <w:b w:val="0"/>
          <w:i w:val="0"/>
          <w:sz w:val="24"/>
        </w:rPr>
        <w:t>The full analysis is reproducible from the public data sources following the protocol described in Sections 3-7; see the Reproducibility Statement.</w:t>
      </w:r>
    </w:p>
    <w:p>
      <w:pPr>
        <w:keepNext/>
        <w:spacing w:before="240" w:after="120"/>
      </w:pPr>
      <w:r>
        <w:rPr>
          <w:rFonts w:ascii="Times New Roman" w:hAnsi="Times New Roman"/>
          <w:b/>
          <w:i w:val="0"/>
          <w:sz w:val="24"/>
        </w:rPr>
        <w:t>Appendix Figures</w:t>
      </w:r>
    </w:p>
    <w:p>
      <w:pPr>
        <w:keepNext/>
        <w:keepLines/>
        <w:spacing w:before="120"/>
        <w:jc w:val="center"/>
      </w:pPr>
      <w:r>
        <w:drawing>
          <wp:inline xmlns:a="http://schemas.openxmlformats.org/drawingml/2006/main" xmlns:pic="http://schemas.openxmlformats.org/drawingml/2006/picture">
            <wp:extent cx="5486400" cy="2286000"/>
            <wp:docPr id="6" name="Picture 6"/>
            <wp:cNvGraphicFramePr>
              <a:graphicFrameLocks noChangeAspect="1"/>
            </wp:cNvGraphicFramePr>
            <a:graphic>
              <a:graphicData uri="http://schemas.openxmlformats.org/drawingml/2006/picture">
                <pic:pic>
                  <pic:nvPicPr>
                    <pic:cNvPr id="0" name="figure_1_model_comparison_mae.png"/>
                    <pic:cNvPicPr/>
                  </pic:nvPicPr>
                  <pic:blipFill>
                    <a:blip r:embed="rId15"/>
                    <a:stretch>
                      <a:fillRect/>
                    </a:stretch>
                  </pic:blipFill>
                  <pic:spPr>
                    <a:xfrm>
                      <a:off x="0" y="0"/>
                      <a:ext cx="5486400" cy="2286000"/>
                    </a:xfrm>
                    <a:prstGeom prst="rect"/>
                  </pic:spPr>
                </pic:pic>
              </a:graphicData>
            </a:graphic>
          </wp:inline>
        </w:drawing>
      </w:r>
    </w:p>
    <w:p>
      <w:pPr>
        <w:keepLines/>
        <w:jc w:val="center"/>
      </w:pPr>
      <w:r>
        <w:rPr>
          <w:rFonts w:ascii="Times New Roman" w:hAnsi="Times New Roman"/>
          <w:b w:val="0"/>
          <w:i/>
          <w:sz w:val="20"/>
        </w:rPr>
        <w:t>Figure A2. Held-out test MAE for the naive baseline and every model and feature-set combination.</w:t>
      </w:r>
    </w:p>
    <w:p>
      <w:pPr>
        <w:keepNext/>
        <w:keepLines/>
        <w:spacing w:before="12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figure_4_borough_robustness_mae.png"/>
                    <pic:cNvPicPr/>
                  </pic:nvPicPr>
                  <pic:blipFill>
                    <a:blip r:embed="rId16"/>
                    <a:stretch>
                      <a:fillRect/>
                    </a:stretch>
                  </pic:blipFill>
                  <pic:spPr>
                    <a:xfrm>
                      <a:off x="0" y="0"/>
                      <a:ext cx="5486400" cy="3429000"/>
                    </a:xfrm>
                    <a:prstGeom prst="rect"/>
                  </pic:spPr>
                </pic:pic>
              </a:graphicData>
            </a:graphic>
          </wp:inline>
        </w:drawing>
      </w:r>
    </w:p>
    <w:p>
      <w:pPr>
        <w:keepLines/>
        <w:jc w:val="center"/>
      </w:pPr>
      <w:r>
        <w:rPr>
          <w:rFonts w:ascii="Times New Roman" w:hAnsi="Times New Roman"/>
          <w:b w:val="0"/>
          <w:i/>
          <w:sz w:val="20"/>
        </w:rPr>
        <w:t>Figure A3. Internal history versus Calendar test MAE by borough (random forest).</w:t>
      </w:r>
    </w:p>
    <w:p>
      <w:pPr>
        <w:keepNext/>
        <w:keepLines/>
        <w:spacing w:before="120"/>
        <w:jc w:val="center"/>
      </w:pPr>
      <w:r>
        <w:drawing>
          <wp:inline xmlns:a="http://schemas.openxmlformats.org/drawingml/2006/main" xmlns:pic="http://schemas.openxmlformats.org/drawingml/2006/picture">
            <wp:extent cx="5486400" cy="3117273"/>
            <wp:docPr id="8" name="Picture 8"/>
            <wp:cNvGraphicFramePr>
              <a:graphicFrameLocks noChangeAspect="1"/>
            </wp:cNvGraphicFramePr>
            <a:graphic>
              <a:graphicData uri="http://schemas.openxmlformats.org/drawingml/2006/picture">
                <pic:pic>
                  <pic:nvPicPr>
                    <pic:cNvPr id="0" name="figure_5_complaint_group_robustness_mae.png"/>
                    <pic:cNvPicPr/>
                  </pic:nvPicPr>
                  <pic:blipFill>
                    <a:blip r:embed="rId17"/>
                    <a:stretch>
                      <a:fillRect/>
                    </a:stretch>
                  </pic:blipFill>
                  <pic:spPr>
                    <a:xfrm>
                      <a:off x="0" y="0"/>
                      <a:ext cx="5486400" cy="3117273"/>
                    </a:xfrm>
                    <a:prstGeom prst="rect"/>
                  </pic:spPr>
                </pic:pic>
              </a:graphicData>
            </a:graphic>
          </wp:inline>
        </w:drawing>
      </w:r>
    </w:p>
    <w:p>
      <w:pPr>
        <w:keepLines/>
        <w:jc w:val="center"/>
      </w:pPr>
      <w:r>
        <w:rPr>
          <w:rFonts w:ascii="Times New Roman" w:hAnsi="Times New Roman"/>
          <w:b w:val="0"/>
          <w:i/>
          <w:sz w:val="20"/>
        </w:rPr>
        <w:t>Figure A4. Internal history versus Calendar test MAE by complaint group (random forest).</w:t>
      </w:r>
    </w:p>
    <w:p>
      <w:pPr>
        <w:keepNext/>
        <w:keepLines/>
        <w:spacing w:before="12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figure_9_decision_quality_comparison.png"/>
                    <pic:cNvPicPr/>
                  </pic:nvPicPr>
                  <pic:blipFill>
                    <a:blip r:embed="rId18"/>
                    <a:stretch>
                      <a:fillRect/>
                    </a:stretch>
                  </pic:blipFill>
                  <pic:spPr>
                    <a:xfrm>
                      <a:off x="0" y="0"/>
                      <a:ext cx="5486400" cy="3429000"/>
                    </a:xfrm>
                    <a:prstGeom prst="rect"/>
                  </pic:spPr>
                </pic:pic>
              </a:graphicData>
            </a:graphic>
          </wp:inline>
        </w:drawing>
      </w:r>
    </w:p>
    <w:p>
      <w:pPr>
        <w:keepLines/>
        <w:jc w:val="center"/>
      </w:pPr>
      <w:r>
        <w:rPr>
          <w:rFonts w:ascii="Times New Roman" w:hAnsi="Times New Roman"/>
          <w:b w:val="0"/>
          <w:i/>
          <w:sz w:val="20"/>
        </w:rPr>
        <w:t>Figure A5. Total weighted unmet demand by policy at the baseline crew budget, with the oracle benchmark.</w:t>
      </w:r>
    </w:p>
    <w:p>
      <w:pPr>
        <w:keepNext/>
        <w:keepLines/>
        <w:spacing w:before="120"/>
        <w:jc w:val="center"/>
      </w:pPr>
      <w:r>
        <w:drawing>
          <wp:inline xmlns:a="http://schemas.openxmlformats.org/drawingml/2006/main" xmlns:pic="http://schemas.openxmlformats.org/drawingml/2006/picture">
            <wp:extent cx="5486400" cy="3048000"/>
            <wp:docPr id="10" name="Picture 10"/>
            <wp:cNvGraphicFramePr>
              <a:graphicFrameLocks noChangeAspect="1"/>
            </wp:cNvGraphicFramePr>
            <a:graphic>
              <a:graphicData uri="http://schemas.openxmlformats.org/drawingml/2006/picture">
                <pic:pic>
                  <pic:nvPicPr>
                    <pic:cNvPr id="0" name="figure_10_internal_vs_calendar_augmented_mae.png"/>
                    <pic:cNvPicPr/>
                  </pic:nvPicPr>
                  <pic:blipFill>
                    <a:blip r:embed="rId19"/>
                    <a:stretch>
                      <a:fillRect/>
                    </a:stretch>
                  </pic:blipFill>
                  <pic:spPr>
                    <a:xfrm>
                      <a:off x="0" y="0"/>
                      <a:ext cx="5486400" cy="3048000"/>
                    </a:xfrm>
                    <a:prstGeom prst="rect"/>
                  </pic:spPr>
                </pic:pic>
              </a:graphicData>
            </a:graphic>
          </wp:inline>
        </w:drawing>
      </w:r>
    </w:p>
    <w:p>
      <w:pPr>
        <w:keepLines/>
        <w:jc w:val="center"/>
      </w:pPr>
      <w:r>
        <w:rPr>
          <w:rFonts w:ascii="Times New Roman" w:hAnsi="Times New Roman"/>
          <w:b w:val="0"/>
          <w:i/>
          <w:sz w:val="20"/>
        </w:rPr>
        <w:t>Figure A6. Internal history versus Calendar test MAE per non-naive model.</w:t>
      </w:r>
    </w:p>
    <w:p>
      <w:r>
        <w:br w:type="page"/>
      </w:r>
    </w:p>
    <w:p>
      <w:pPr>
        <w:keepNext/>
        <w:spacing w:before="240" w:after="120"/>
      </w:pPr>
      <w:r>
        <w:rPr>
          <w:rFonts w:ascii="Times New Roman" w:hAnsi="Times New Roman"/>
          <w:b/>
          <w:i w:val="0"/>
          <w:sz w:val="28"/>
        </w:rPr>
        <w:t>References</w:t>
      </w:r>
    </w:p>
    <w:p>
      <w:pPr>
        <w:ind w:left="720" w:hanging="720"/>
      </w:pPr>
      <w:r>
        <w:rPr>
          <w:rFonts w:ascii="Times New Roman" w:hAnsi="Times New Roman"/>
          <w:b w:val="0"/>
          <w:i w:val="0"/>
          <w:sz w:val="24"/>
        </w:rPr>
        <w:t>City of New York. (2026). 311 Service Requests from 2010 to Present [data set]. NYC Open Data, Socrata dataset erm2-nwe9. Retrieved 2026-06-03 from https://data.cityofnewyork.us/Social-Services/311-Service-Requests-from-2010-to-Present/erm2-nwe9</w:t>
      </w:r>
    </w:p>
    <w:p>
      <w:pPr>
        <w:ind w:left="720" w:hanging="720"/>
      </w:pPr>
      <w:r>
        <w:rPr>
          <w:rFonts w:ascii="Times New Roman" w:hAnsi="Times New Roman"/>
          <w:b w:val="0"/>
          <w:i w:val="0"/>
          <w:sz w:val="24"/>
        </w:rPr>
        <w:t>Cui, R., Gallino, S., Moreno, A., &amp; Zhang, D. J. (2018). The Operational Value of Social Media Information. Production and Operations Management, 27(10), 1749-1769. https://doi.org/10.1111/poms.12707</w:t>
      </w:r>
    </w:p>
    <w:p>
      <w:pPr>
        <w:ind w:left="720" w:hanging="720"/>
      </w:pPr>
      <w:r>
        <w:rPr>
          <w:rFonts w:ascii="Times New Roman" w:hAnsi="Times New Roman"/>
          <w:b w:val="0"/>
          <w:i w:val="0"/>
          <w:sz w:val="24"/>
        </w:rPr>
        <w:t>National Oceanic and Atmospheric Administration, National Centers for Environmental Information. (2026). Global Historical Climatology Network Daily (GHCNd) [data set]. NOAA NCEI Daily Summaries; station USW00094728, NY City Central Park. Retrieved 2026-06-03 from https://www.ncei.noaa.gov/products/land-based-station/global-historical-climatology-network-daily</w:t>
      </w:r>
    </w:p>
    <w:p>
      <w:pPr>
        <w:ind w:left="720" w:hanging="720"/>
      </w:pPr>
      <w:r>
        <w:rPr>
          <w:rFonts w:ascii="Times New Roman" w:hAnsi="Times New Roman"/>
          <w:b w:val="0"/>
          <w:i w:val="0"/>
          <w:sz w:val="24"/>
        </w:rPr>
        <w:t>Samorani, M., Harris, S. L., Blount, L. G., Lu, H., &amp; Santoro, M. A. (2022). Overbooked and Overlooked: Machine Learning and Racial Bias in Medical Appointment Scheduling. Manufacturing &amp; Service Operations Management, 24(6), 2825-2842. https://doi.org/10.1287/msom.2021.0999</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