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From Forecast Accuracy to Operational Value: Public Signal Augmentation for NYC 311 Service Demand</w:t>
      </w:r>
    </w:p>
    <w:p>
      <w:pPr>
        <w:jc w:val="center"/>
      </w:pPr>
      <w:r>
        <w:rPr>
          <w:rFonts w:ascii="Times New Roman" w:hAnsi="Times New Roman"/>
          <w:b w:val="0"/>
          <w:i/>
          <w:sz w:val="20"/>
        </w:rPr>
        <w:t>arXiv-style / workshop-style research artifact. The study is predictive and correlational; it makes no causal, production-readiness, real-dispatch, or full-paper-readiness claim. All empirical values are read from committed repository artifacts under reports/ and data/metadata/.</w:t>
      </w:r>
    </w:p>
    <w:p>
      <w:pPr>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x borough x complaint_group observations) and real NOAA Central Park daily weather, we compare four feature sets - internal_historical, calendar_augmented, weather_augmented, and calendar_weather_augmented - across four model families under a strictly chronological protocol with five-fold rolling-origin validation. Calendar features deliver the largest accuracy gain; real weather adds a smaller but consistent further gain. The best model, a random forest on calendar_weather_augmented, attains a held-out test mean absolute error (MAE) of 55.325 versus 71.848 for a naive seasonal baseline, a 23.0% reduction. A stylized proportional staffing simulation shows the augmented policy reduces weighted unmet demand at every crew budget tested and closes 26.381% of the gap to an oracle at the baseline budget, but the magnitude of the decision benefit is budget-dependent. The central finding is that the forecast gains are real and robust, while the decision gains are smaller and conditional on capacity. The work is a reproducible baseline; no synthetic data or synthetic weather is used.</w:t>
      </w:r>
    </w:p>
    <w:p>
      <w:pPr>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An honest four-way feature-set comparison isolating the marginal value of calendar features and of real weather. (iii) A transparent forecast-to-decision simulation that measures whether forecast gains transfer to a stylized allocation, with the result reported as it is: directionally positive but budget-dependent. The study is predictive and correlational and is positioned as an arXiv/workshop artifact, not a full paper; gating items for a stronger paper are stated in Section 8.</w:t>
      </w:r>
    </w:p>
    <w:p>
      <w:pPr>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 - which motivates our separate evaluation of the decision layer.</w:t>
      </w:r>
    </w:p>
    <w:p>
      <w:pPr>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2010 to Present”; City of New York, 2026), restricted to 2022-2024. From 9,851,452 raw records the pipeline produces a 43,240-row date x borough x complaint_group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request_volume_next_day,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x borough x complaint_group)</w:t>
            </w:r>
          </w:p>
        </w:tc>
      </w:tr>
      <w:t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request_volume_next_day (observed next-day count)</w:t>
            </w:r>
          </w:p>
        </w:tc>
      </w:tr>
      <w:t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internal_historical (lag and rolling statistics of the per-cell series), calendar_augmented (internal plus deterministic calendar features), weather_augmented (internal plus the seven real weather variables), and calendar_weather_augmented (internal plus calendar plus weather).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complaint_group) are one-hot encoded; numeric features pass through. Lag and rolling features use only past observations, with rolling statistics shifted by one day to avoid same-day or future leakage.</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(with safe handling of near-zero actuals), and R-squared are also reported. The best configuration by validation MAE is refit on train+validation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true next-day demand (an upper bound only). Full assumptions are in Appendix D.</w:t>
      </w:r>
    </w:p>
    <w:p>
      <w:pPr>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and real weather adds a smaller consistent gain on top of it. For the random forest, MAE falls from 65.282 (internal_historical) to 58.082 (calendar_augmented); weather alone improves the internal model (64.104 versus 65.282), and calendar+weather is best (56.224 on the train-only fit). Ridge does not benefit from weather (internal 69.219, weather 69.283, calendar+weather 68.915). Figure 2 shows the best test MAE per feature set; the full per-model results are in Table 3 (trimmed below; complete table in Appendix G).</w:t>
      </w:r>
    </w:p>
    <w:p>
      <w:pPr>
        <w:spacing w:before="160"/>
      </w:pPr>
      <w:r>
        <w:rPr>
          <w:rFonts w:ascii="Times New Roman" w:hAnsi="Times New Roman"/>
          <w:b/>
          <w:i w:val="0"/>
          <w:sz w:val="22"/>
        </w:rPr>
        <w:t>Table 3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model (by validation MAE, refit on train+validation) is the random forest on calendar_weather_augmented, with held-out test MAE 55.325, RMSE 177.476, MAPE 27.469%, and R-squared 0.648 - a 23.0% MAE reduction over the naive seasonal baseline (71.848). Figure 7 shows observed versus predicted city-wide next-day totals over the test period, which track the overall level and weekly pattern of demand.</w:t>
      </w:r>
    </w:p>
    <w:p>
      <w:pPr>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jc w:val="center"/>
      </w:pPr>
      <w:r>
        <w:rPr>
          <w:rFonts w:ascii="Times New Roman" w:hAnsi="Times New Roman"/>
          <w:b w:val="0"/>
          <w:i/>
          <w:sz w:val="20"/>
        </w:rPr>
        <w:t>Figure 2. Best test MAE achieved per feature set across models.</w:t>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jc w:val="center"/>
      </w:pPr>
      <w:r>
        <w:rPr>
          <w:rFonts w:ascii="Times New Roman" w:hAnsi="Times New Roman"/>
          <w:b w:val="0"/>
          <w:i/>
          <w:sz w:val="20"/>
        </w:rPr>
        <w:t>Figure 7. Observed vs predicted city-wide next-day request totals over the test period for the best model.</w:t>
      </w:r>
    </w:p>
    <w:p>
      <w:pPr>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internal-historical policy and 631,191 under calendar+weather,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7, Figure 6) the calendar+weather policy is better than the baseline in all three settings, but the magnitude grows with capacity: the weighted-unmet reduction is 0.38% (scarce, 100 crews), 4.32% (moderate, 160), and 14.53% (generous, 220). The headline contrast - an approximately 11-15% forecast-accuracy gain versus a roughly 1.9% decision-quality gain at the baseline budget - is the central observation: average accuracy and operational value are not the same, and a scarce budget with demand concentrated in a few large cells limits how much any forecast can help.</w:t>
      </w:r>
    </w:p>
    <w:p>
      <w:pPr>
        <w:spacing w:before="160"/>
      </w:pPr>
      <w:r>
        <w:rPr>
          <w:rFonts w:ascii="Times New Roman" w:hAnsi="Times New Roman"/>
          <w:b/>
          <w:i w:val="0"/>
          <w:sz w:val="22"/>
        </w:rPr>
        <w:t>Table 7. Decision sensitivity by crew budget. Stylized simulation; total weighted unmet demand (lower is better); calendar+weather versus internal-historical.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Gap to oracle closed</w:t>
            </w:r>
          </w:p>
        </w:tc>
      </w:tr>
      <w:t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jc w:val="center"/>
      </w:pPr>
      <w:r>
        <w:rPr>
          <w:rFonts w:ascii="Times New Roman" w:hAnsi="Times New Roman"/>
          <w:b w:val="0"/>
          <w:i/>
          <w:sz w:val="20"/>
        </w:rPr>
        <w:t>Figure 6. Total weighted unmet demand by policy under scarce, moderate, and generous crew budgets.</w:t>
      </w:r>
    </w:p>
    <w:p>
      <w:pPr>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3; full table in Appendix C) shows calendar augmentation lowering MAE in every fold for every model: mean improvement 15.13% for the random forest, 9.94% for gradient boosting, and 0.94% for Ridge, each in all 5 of 5 folds. The calendar_weather_augmented random forest has the lowest mean fold MAE (47.497). Segmented analysis (random forest, internal vs calendar; Appendix G) shows the improvement holds for all five boroughs (about 8.8% to 18.8%) and all eight complaint groups (about 8.9% to 25.8%); absolute error concentrates in the highest-volume segments (Noise, Housing; the Bronx). The forecast improvement is therefore consistent across folds and segments, not an artifact of one split.</w:t>
      </w:r>
    </w:p>
    <w:p>
      <w:pPr>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2992582"/>
                    </a:xfrm>
                    <a:prstGeom prst="rect"/>
                  </pic:spPr>
                </pic:pic>
              </a:graphicData>
            </a:graphic>
          </wp:inline>
        </w:drawing>
      </w:r>
    </w:p>
    <w:p>
      <w:pPr>
        <w:jc w:val="center"/>
      </w:pPr>
      <w:r>
        <w:rPr>
          <w:rFonts w:ascii="Times New Roman" w:hAnsi="Times New Roman"/>
          <w:b w:val="0"/>
          <w:i/>
          <w:sz w:val="20"/>
        </w:rPr>
        <w:t>Figure 3. Per-fold test MAE by configuration across five expanding-window chronological folds.</w:t>
      </w:r>
    </w:p>
    <w:p>
      <w:pPr>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 - not real dispatch, not staffing optimization, not validated against any real policy - and omits crew travel, shifts, backlog, intra-day timing, and substitution; it uses no observed dispatch decisions. Results apply to NYC and 2022-2024 only.</w:t>
      </w:r>
    </w:p>
    <w:p>
      <w:pPr>
        <w:jc w:val="both"/>
      </w:pPr>
      <w:r>
        <w:rPr>
          <w:rFonts w:ascii="Times New Roman" w:hAnsi="Times New Roman"/>
          <w:b w:val="0"/>
          <w:i w:val="0"/>
          <w:sz w:val="24"/>
        </w:rPr>
        <w:t>Gating items for a stronger (full) paper: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consistently improves next-day service-demand forecasts - calendar most, weather a smaller consistent increment - across rolling folds, boroughs, and complaint groups. The improvement transfers in direction to a stylized staffing allocation but with attenuated, budget-dependent magnitude. The forecast gains are real and robust; the decision gains are smaller and conditional on capacity. The artifact is a reproducible baseline suitable as a workshop / short-paper / arXiv-style contribution.</w:t>
      </w:r>
    </w:p>
    <w:p>
      <w:pPr>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values are read from committed artifacts under reports/ and data/metadata/. The pipeline is run with python -m src.weather, python -m src.build_dataset, python -m src.train, python -m src.evaluate, python -m src.decision_simulation, python -m src.monitor, python -m src.rolling_validation, python -m src.robustness_analysis, python -m src.decision_sensitivity, and python -m src.practical_significance, on Python 3.11. The quality gate is ruff check . and pytest, run offline on a committed real-schema sample; continuous integration runs the pipeline in that sample mode. No API keys or secrets are required. The committed inputs are the aggregated real daily counts and the real NOAA weather export; the large raw monthly exports and the trained model binary are not committed.</w:t>
      </w:r>
    </w:p>
    <w:p>
      <w:pPr>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 via NYC Open Data (Socrata dataset erm2-nwe9; City of New York, 2026). NOAA NCEI Daily Summaries (GHCN-Daily) for station USW00094728 are public (NOAA NCEI, 2026). The study window is 2022-2024. The aggregated daily counts and the NOAA export used here are committed; the large raw monthly 311 exports and the processed modelling dataset are regenerable and not committed; small real-schema samples are committed for continuous integration. No synthetic data and no synthetic weather are used.</w:t>
      </w:r>
    </w:p>
    <w:p>
      <w:pPr>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public data only, at an aggregate date x borough x complaint_group level; no individual-level records and no personal data are used or produced. It makes no individual-level decisions, is not deployed, and is not public-safety software. It makes no causal claim and no real dispatch or staffing optimization claim. NYC 311 reflects reporting behaviour, not true incidence; reporting propensity varies across communities and time, so forecasts of 311 volume are forecasts of reporting, not of need, and must not be read as measures of true demand or used in ways that could compound existing inequities.</w:t>
      </w:r>
    </w:p>
    <w:p>
      <w:r>
        <w:br w:type="page"/>
      </w:r>
    </w:p>
    <w:p>
      <w:pPr>
        <w:spacing w:before="240" w:after="120"/>
      </w:pPr>
      <w:r>
        <w:rPr>
          <w:rFonts w:ascii="Times New Roman" w:hAnsi="Times New Roman"/>
          <w:b/>
          <w:i w:val="0"/>
          <w:sz w:val="28"/>
        </w:rPr>
        <w:t>Appendix</w:t>
      </w:r>
    </w:p>
    <w:p>
      <w:pPr>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complaint_group)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Feature sets: internal_historical; calendar_augmented (internal + calendar); weather_augmented (internal + weather); calendar_weather_augmented (internal + calendar + weather). Table 2 lists the feature sets.</w:t>
      </w:r>
    </w:p>
    <w:p>
      <w:pPr>
        <w:spacing w:before="160"/>
      </w:pPr>
      <w:r>
        <w:rPr>
          <w:rFonts w:ascii="Times New Roman" w:hAnsi="Times New Roman"/>
          <w:b/>
          <w:i w:val="0"/>
          <w:sz w:val="22"/>
        </w:rPr>
        <w:t>Table 2. Feature sets.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mapped by a deterministic, order-sensitive substring rule into eight groups (Housing, Noise, Sanitation, Street Condition, Water, Traffic, Public Safety, and a residual Other).</w:t>
      </w:r>
    </w:p>
    <w:p>
      <w:pPr>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Per-fold metrics are in reports/rolling_validation_report.csv; the summary (Figure 3 source) is in reports/rolling_validation_summary.json. Table 4 reports the mean fold MAE.</w:t>
      </w:r>
    </w:p>
    <w:p>
      <w:pPr>
        <w:spacing w:before="160"/>
      </w:pPr>
      <w:r>
        <w:rPr>
          <w:rFonts w:ascii="Times New Roman" w:hAnsi="Times New Roman"/>
          <w:b/>
          <w:i w:val="0"/>
          <w:sz w:val="22"/>
        </w:rPr>
        <w:t>Table 4.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Stylized proportional allocation via a largest-remainder rule; baseline-budget configuration 135 crews x 50 requests per crew over 163 test days; weighted unmet demand up-weights Public Safety, Water, and Traffic; an oracle allocates on true next-day demand. Not real dispatch; uses no observed dispatch decisions.</w:t>
      </w:r>
    </w:p>
    <w:p>
      <w:pPr>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 - scarce (100 crews, 5,000 daily capacity), moderate (160 / 8,000), generous (220 / 11,000); per-policy results in reports/decision_sensitivity_report.csv and ..._summary.json (Table 7).</w:t>
      </w:r>
    </w:p>
    <w:p>
      <w:pPr>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TMAX/TMIN (source TAVG empty); five missing wind-speed days time-interpolated from real neighbours; no synthetic weather (data/metadata/weather_source_report.json). Figure 8 shows the series.</w:t>
      </w:r>
    </w:p>
    <w:p>
      <w:pPr>
        <w:jc w:val="center"/>
      </w:pPr>
      <w:r>
        <w:drawing>
          <wp:inline xmlns:a="http://schemas.openxmlformats.org/drawingml/2006/main" xmlns:pic="http://schemas.openxmlformats.org/drawingml/2006/picture">
            <wp:extent cx="5486400" cy="328803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3288030"/>
                    </a:xfrm>
                    <a:prstGeom prst="rect"/>
                  </pic:spPr>
                </pic:pic>
              </a:graphicData>
            </a:graphic>
          </wp:inline>
        </w:drawing>
      </w:r>
    </w:p>
    <w:p>
      <w:pPr>
        <w:jc w:val="center"/>
      </w:pPr>
      <w:r>
        <w:rPr>
          <w:rFonts w:ascii="Times New Roman" w:hAnsi="Times New Roman"/>
          <w:b w:val="0"/>
          <w:i/>
          <w:sz w:val="20"/>
        </w:rPr>
        <w:t>Figure 8. Real NOAA daily weather series for the Central Park station over 2022-2024.</w:t>
      </w:r>
    </w:p>
    <w:p>
      <w:pPr>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G1 is the complete 13-row model comparison (reports/model_comparison.csv; Figure 1). Table G2 reports per-borough robustness (reports/borough_performance.csv; Figure 4) and Table G3 per-complaint-group robustness (reports/complaint_group_performance.csv; Figure 5), each comparing internal-historical vs calendar-augmented for the random forest. Figure 10 shows internal vs calendar-augmented per model; Figure 9 shows a baseline-budget policy comparison with the oracle.</w:t>
      </w:r>
    </w:p>
    <w:p>
      <w:pPr>
        <w:spacing w:before="160"/>
      </w:pPr>
      <w:r>
        <w:rPr>
          <w:rFonts w:ascii="Times New Roman" w:hAnsi="Times New Roman"/>
          <w:b/>
          <w:i w:val="0"/>
          <w:sz w:val="22"/>
        </w:rPr>
        <w:t>Table G1.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R2</w:t>
            </w:r>
          </w:p>
        </w:tc>
      </w:tr>
      <w:t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spacing w:before="160"/>
      </w:pPr>
      <w:r>
        <w:rPr>
          <w:rFonts w:ascii="Times New Roman" w:hAnsi="Times New Roman"/>
          <w:b/>
          <w:i w:val="0"/>
          <w:sz w:val="22"/>
        </w:rPr>
        <w:t>Table G2. Borough robustness (random forest; internal vs calendar).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spacing w:before="160"/>
      </w:pPr>
      <w:r>
        <w:rPr>
          <w:rFonts w:ascii="Times New Roman" w:hAnsi="Times New Roman"/>
          <w:b/>
          <w:i w:val="0"/>
          <w:sz w:val="22"/>
        </w:rPr>
        <w:t>Table G3. Complaint-group robustness (random forest; internal vs calendar).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spacing w:before="160"/>
      </w:pPr>
      <w:r>
        <w:rPr>
          <w:rFonts w:ascii="Times New Roman" w:hAnsi="Times New Roman"/>
          <w:b/>
          <w:i w:val="0"/>
          <w:sz w:val="22"/>
        </w:rPr>
        <w:t>Table 8. Limitations and mitigations.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honest framing</w:t>
            </w:r>
          </w:p>
        </w:tc>
      </w:tr>
      <w:t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TMAX/TMIN; source TAVG empty; documented</w:t>
            </w:r>
          </w:p>
        </w:tc>
      </w:tr>
      <w:t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not real dispatch; oracle bound included</w:t>
            </w:r>
          </w:p>
        </w:tc>
      </w:tr>
      <w:t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honestly attenuated/budget-dependent</w:t>
            </w:r>
          </w:p>
        </w:tc>
      </w:tr>
      <w:t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spacing w:before="240" w:after="120"/>
      </w:pPr>
      <w:r>
        <w:rPr>
          <w:rFonts w:ascii="Times New Roman" w:hAnsi="Times New Roman"/>
          <w:b/>
          <w:i w:val="0"/>
          <w:sz w:val="24"/>
        </w:rPr>
        <w:t>H. Reproducibility commands</w:t>
      </w:r>
    </w:p>
    <w:p>
      <w:pPr>
        <w:jc w:val="both"/>
      </w:pPr>
      <w:r>
        <w:rPr>
          <w:rFonts w:ascii="Times New Roman" w:hAnsi="Times New Roman"/>
          <w:b w:val="0"/>
          <w:i w:val="0"/>
          <w:sz w:val="24"/>
        </w:rPr>
        <w:t>See the Reproducibility Statement.</w:t>
      </w:r>
    </w:p>
    <w:p>
      <w:pPr>
        <w:spacing w:before="240" w:after="120"/>
      </w:pPr>
      <w:r>
        <w:rPr>
          <w:rFonts w:ascii="Times New Roman" w:hAnsi="Times New Roman"/>
          <w:b/>
          <w:i w:val="0"/>
          <w:sz w:val="24"/>
        </w:rPr>
        <w:t>Appendix Figures</w:t>
      </w:r>
    </w:p>
    <w:p>
      <w:pPr>
        <w:jc w:val="center"/>
      </w:pPr>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2286000"/>
                    </a:xfrm>
                    <a:prstGeom prst="rect"/>
                  </pic:spPr>
                </pic:pic>
              </a:graphicData>
            </a:graphic>
          </wp:inline>
        </w:drawing>
      </w:r>
    </w:p>
    <w:p>
      <w:pPr>
        <w:jc w:val="center"/>
      </w:pPr>
      <w:r>
        <w:rPr>
          <w:rFonts w:ascii="Times New Roman" w:hAnsi="Times New Roman"/>
          <w:b w:val="0"/>
          <w:i/>
          <w:sz w:val="20"/>
        </w:rPr>
        <w:t>Figure 1. Held-out test MAE for the naive baseline and every model x feature-set combination across the four feature sets.</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Times New Roman" w:hAnsi="Times New Roman"/>
          <w:b w:val="0"/>
          <w:i/>
          <w:sz w:val="20"/>
        </w:rPr>
        <w:t>Figure 4. Internal-historical vs calendar-augmented test MAE by borough (random forest).</w:t>
      </w:r>
    </w:p>
    <w:p>
      <w:pPr>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jc w:val="center"/>
      </w:pPr>
      <w:r>
        <w:rPr>
          <w:rFonts w:ascii="Times New Roman" w:hAnsi="Times New Roman"/>
          <w:b w:val="0"/>
          <w:i/>
          <w:sz w:val="20"/>
        </w:rPr>
        <w:t>Figure 5. Internal-historical vs calendar-augmented test MAE by complaint group (random forest).</w:t>
      </w:r>
    </w:p>
    <w:p>
      <w:pPr>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Times New Roman" w:hAnsi="Times New Roman"/>
          <w:b w:val="0"/>
          <w:i/>
          <w:sz w:val="20"/>
        </w:rPr>
        <w:t>Figure 9. Total weighted unmet demand by policy at the baseline crew budget, with the oracle benchmark.</w:t>
      </w:r>
    </w:p>
    <w:p>
      <w:pPr>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jc w:val="center"/>
      </w:pPr>
      <w:r>
        <w:rPr>
          <w:rFonts w:ascii="Times New Roman" w:hAnsi="Times New Roman"/>
          <w:b w:val="0"/>
          <w:i/>
          <w:sz w:val="20"/>
        </w:rPr>
        <w:t>Figure 10. Internal-historical vs calendar-augmented test MAE per non-naive model.</w:t>
      </w:r>
    </w:p>
    <w:p>
      <w:r>
        <w:br w:type="page"/>
      </w:r>
    </w:p>
    <w:p>
      <w:pPr>
        <w:spacing w:before="240" w:after="120"/>
      </w:pPr>
      <w:r>
        <w:rPr>
          <w:rFonts w:ascii="Times New Roman" w:hAnsi="Times New Roman"/>
          <w:b/>
          <w:i w:val="0"/>
          <w:sz w:val="28"/>
        </w:rPr>
        <w:t>References</w:t>
      </w:r>
    </w:p>
    <w:p>
      <w:pPr>
        <w:ind w:left="720" w:hanging="720"/>
      </w:pPr>
      <w:r>
        <w:rPr>
          <w:rFonts w:ascii="Times New Roman" w:hAnsi="Times New Roman"/>
          <w:b w:val="0"/>
          <w:i w:val="0"/>
          <w:sz w:val="24"/>
        </w:rPr>
        <w:t>City of New York. (2026). 311 Service Requests from 2010 to Present. NYC Open Data, Socrata dataset erm2-nwe9. https://data.cityofnewyork.us/Social-Services/311-Service-Requests-from-2010-to-Present/erm2-nwe9. Accessed 2026-06-03.</w:t>
      </w:r>
    </w:p>
    <w:p>
      <w:pPr>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ind w:left="720" w:hanging="720"/>
      </w:pPr>
      <w:r>
        <w:rPr>
          <w:rFonts w:ascii="Times New Roman" w:hAnsi="Times New Roman"/>
          <w:b w:val="0"/>
          <w:i w:val="0"/>
          <w:sz w:val="24"/>
        </w:rPr>
        <w:t>National Oceanic and Atmospheric Administration, National Centers for Environmental Information. (2026). Global Historical Climatology Network Daily (GHCNd). NOAA NCEI Daily Summaries; station USW00094728, NY City Central Park. https://www.ncei.noaa.gov/products/land-based-station/global-historical-climatology-network-daily. Accessed 2026-06-03.</w:t>
      </w:r>
    </w:p>
    <w:p>
      <w:pPr>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