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DB519" w14:textId="77777777" w:rsidR="00FB5D9D" w:rsidRPr="00931053" w:rsidRDefault="00FB5D9D" w:rsidP="00FB5D9D">
      <w:pPr>
        <w:jc w:val="center"/>
        <w:rPr>
          <w:b/>
          <w:bCs/>
        </w:rPr>
      </w:pPr>
      <w:r w:rsidRPr="00931053">
        <w:rPr>
          <w:b/>
          <w:bCs/>
        </w:rPr>
        <w:t xml:space="preserve">Evaluating the Effects of Drought-Resistant Forages and Improved Grazing Management </w:t>
      </w:r>
      <w:r w:rsidR="00C02D09" w:rsidRPr="00931053">
        <w:rPr>
          <w:b/>
          <w:bCs/>
        </w:rPr>
        <w:t xml:space="preserve">Practices </w:t>
      </w:r>
      <w:r w:rsidRPr="00931053">
        <w:rPr>
          <w:b/>
          <w:bCs/>
        </w:rPr>
        <w:t>on Beef Cattle Performance in the Semi-Arid Agro ecological Zone of Tanzania</w:t>
      </w:r>
    </w:p>
    <w:p w14:paraId="2A894BE9" w14:textId="77777777" w:rsidR="00FB5D9D" w:rsidRPr="00421BDB" w:rsidRDefault="00FB5D9D" w:rsidP="00FB5D9D">
      <w:pPr>
        <w:jc w:val="center"/>
        <w:rPr>
          <w:b/>
          <w:bCs/>
        </w:rPr>
      </w:pPr>
      <w:r w:rsidRPr="00931053">
        <w:rPr>
          <w:b/>
          <w:bCs/>
        </w:rPr>
        <w:t>Kabuni Thomas Kabuni</w:t>
      </w:r>
      <w:r w:rsidRPr="00931053">
        <w:rPr>
          <w:b/>
          <w:bCs/>
          <w:vertAlign w:val="superscript"/>
        </w:rPr>
        <w:t>1*</w:t>
      </w:r>
      <w:r w:rsidRPr="00931053">
        <w:rPr>
          <w:b/>
          <w:bCs/>
        </w:rPr>
        <w:t xml:space="preserve">, </w:t>
      </w:r>
      <w:r w:rsidR="007E47BA" w:rsidRPr="00931053">
        <w:rPr>
          <w:b/>
          <w:bCs/>
        </w:rPr>
        <w:t>Erick Vitus Komba</w:t>
      </w:r>
      <w:r w:rsidR="007E47BA" w:rsidRPr="00931053">
        <w:rPr>
          <w:b/>
          <w:bCs/>
          <w:vertAlign w:val="superscript"/>
        </w:rPr>
        <w:t>1</w:t>
      </w:r>
      <w:r w:rsidR="007E47BA" w:rsidRPr="00931053">
        <w:rPr>
          <w:b/>
          <w:bCs/>
        </w:rPr>
        <w:t xml:space="preserve">, </w:t>
      </w:r>
      <w:r w:rsidR="006C37DF">
        <w:rPr>
          <w:b/>
          <w:bCs/>
        </w:rPr>
        <w:t>Pascal Seleman</w:t>
      </w:r>
      <w:r w:rsidR="006C37DF" w:rsidRPr="006C37DF">
        <w:rPr>
          <w:b/>
          <w:bCs/>
          <w:vertAlign w:val="superscript"/>
        </w:rPr>
        <w:t>1</w:t>
      </w:r>
      <w:r w:rsidR="006C37DF">
        <w:rPr>
          <w:b/>
          <w:bCs/>
        </w:rPr>
        <w:t xml:space="preserve">, </w:t>
      </w:r>
      <w:r w:rsidR="00341DEC" w:rsidRPr="00421BDB">
        <w:rPr>
          <w:b/>
          <w:bCs/>
        </w:rPr>
        <w:t>Mwemezi Kabululu</w:t>
      </w:r>
      <w:r w:rsidR="00341DEC" w:rsidRPr="00421BDB">
        <w:rPr>
          <w:b/>
          <w:bCs/>
          <w:vertAlign w:val="superscript"/>
        </w:rPr>
        <w:t>1</w:t>
      </w:r>
      <w:r w:rsidR="00341DEC" w:rsidRPr="00421BDB">
        <w:rPr>
          <w:b/>
          <w:bCs/>
        </w:rPr>
        <w:t xml:space="preserve">, </w:t>
      </w:r>
      <w:r w:rsidR="00CE360B" w:rsidRPr="00421BDB">
        <w:rPr>
          <w:b/>
          <w:bCs/>
        </w:rPr>
        <w:t>Joel Malagila</w:t>
      </w:r>
      <w:r w:rsidR="00CE360B" w:rsidRPr="00421BDB">
        <w:rPr>
          <w:b/>
          <w:bCs/>
          <w:vertAlign w:val="superscript"/>
        </w:rPr>
        <w:t>1</w:t>
      </w:r>
      <w:r w:rsidR="00CE360B" w:rsidRPr="00421BDB">
        <w:rPr>
          <w:b/>
          <w:bCs/>
        </w:rPr>
        <w:t>, Felista Perfect Nicolaus</w:t>
      </w:r>
      <w:r w:rsidR="00CE360B" w:rsidRPr="00421BDB">
        <w:rPr>
          <w:b/>
          <w:bCs/>
          <w:vertAlign w:val="superscript"/>
        </w:rPr>
        <w:t>1</w:t>
      </w:r>
      <w:r w:rsidR="00CE360B" w:rsidRPr="00421BDB">
        <w:rPr>
          <w:b/>
          <w:bCs/>
        </w:rPr>
        <w:t>, Janet</w:t>
      </w:r>
      <w:r w:rsidR="00421BDB" w:rsidRPr="00421BDB">
        <w:rPr>
          <w:b/>
          <w:bCs/>
        </w:rPr>
        <w:t>h</w:t>
      </w:r>
      <w:r w:rsidR="00CE360B" w:rsidRPr="00421BDB">
        <w:rPr>
          <w:b/>
          <w:bCs/>
        </w:rPr>
        <w:t xml:space="preserve"> </w:t>
      </w:r>
      <w:r w:rsidR="00341DEC" w:rsidRPr="00421BDB">
        <w:rPr>
          <w:b/>
          <w:bCs/>
        </w:rPr>
        <w:t>Frank</w:t>
      </w:r>
      <w:r w:rsidR="00341DEC" w:rsidRPr="00421BDB">
        <w:rPr>
          <w:b/>
          <w:bCs/>
          <w:vertAlign w:val="superscript"/>
        </w:rPr>
        <w:t>1</w:t>
      </w:r>
      <w:r w:rsidR="00341DEC" w:rsidRPr="00421BDB">
        <w:rPr>
          <w:b/>
          <w:bCs/>
        </w:rPr>
        <w:t>, Jefta Mgalula</w:t>
      </w:r>
      <w:r w:rsidR="00341DEC" w:rsidRPr="00421BDB">
        <w:rPr>
          <w:b/>
          <w:bCs/>
          <w:vertAlign w:val="superscript"/>
        </w:rPr>
        <w:t>1</w:t>
      </w:r>
      <w:r w:rsidR="00341DEC" w:rsidRPr="00421BDB">
        <w:rPr>
          <w:b/>
          <w:bCs/>
        </w:rPr>
        <w:t>, Deogratias Fidelis Masao</w:t>
      </w:r>
      <w:r w:rsidR="00341DEC" w:rsidRPr="00421BDB">
        <w:rPr>
          <w:b/>
          <w:bCs/>
          <w:vertAlign w:val="superscript"/>
        </w:rPr>
        <w:t>1</w:t>
      </w:r>
      <w:r w:rsidR="00341DEC" w:rsidRPr="00421BDB">
        <w:rPr>
          <w:b/>
          <w:bCs/>
        </w:rPr>
        <w:t>, Maximillian Zitatu</w:t>
      </w:r>
      <w:r w:rsidR="00341DEC" w:rsidRPr="00421BDB">
        <w:rPr>
          <w:b/>
          <w:bCs/>
          <w:vertAlign w:val="superscript"/>
        </w:rPr>
        <w:t>1</w:t>
      </w:r>
      <w:r w:rsidR="00341DEC" w:rsidRPr="00421BDB">
        <w:rPr>
          <w:b/>
          <w:bCs/>
        </w:rPr>
        <w:t xml:space="preserve">, </w:t>
      </w:r>
      <w:r w:rsidRPr="00421BDB">
        <w:rPr>
          <w:b/>
          <w:bCs/>
        </w:rPr>
        <w:t>Anthony Witbread</w:t>
      </w:r>
      <w:r w:rsidRPr="00421BDB">
        <w:rPr>
          <w:b/>
          <w:bCs/>
          <w:vertAlign w:val="superscript"/>
        </w:rPr>
        <w:t>2</w:t>
      </w:r>
      <w:r w:rsidRPr="00421BDB">
        <w:rPr>
          <w:b/>
          <w:bCs/>
        </w:rPr>
        <w:t>, Shikuku Kelvin</w:t>
      </w:r>
      <w:r w:rsidRPr="00421BDB">
        <w:rPr>
          <w:b/>
          <w:bCs/>
          <w:vertAlign w:val="superscript"/>
        </w:rPr>
        <w:t>2</w:t>
      </w:r>
      <w:r w:rsidR="007E47BA" w:rsidRPr="00421BDB">
        <w:rPr>
          <w:b/>
          <w:bCs/>
        </w:rPr>
        <w:t>, Ibrahim Mumani Ochenje</w:t>
      </w:r>
      <w:r w:rsidR="007E47BA" w:rsidRPr="00421BDB">
        <w:rPr>
          <w:b/>
          <w:bCs/>
          <w:vertAlign w:val="superscript"/>
        </w:rPr>
        <w:t>2</w:t>
      </w:r>
    </w:p>
    <w:p w14:paraId="7031FC96" w14:textId="77777777" w:rsidR="0001161D" w:rsidRPr="00931053" w:rsidRDefault="0001161D" w:rsidP="0001161D">
      <w:pPr>
        <w:jc w:val="center"/>
        <w:rPr>
          <w:b/>
          <w:bCs/>
        </w:rPr>
      </w:pPr>
      <w:r w:rsidRPr="00931053">
        <w:rPr>
          <w:b/>
          <w:bCs/>
          <w:vertAlign w:val="superscript"/>
        </w:rPr>
        <w:t>1</w:t>
      </w:r>
      <w:r w:rsidRPr="00931053">
        <w:rPr>
          <w:b/>
          <w:bCs/>
        </w:rPr>
        <w:t>Livestock Research Department, Tanzania Livestock Research Institute (TALIRI)</w:t>
      </w:r>
    </w:p>
    <w:p w14:paraId="48B4099E" w14:textId="77777777" w:rsidR="0001161D" w:rsidRPr="00931053" w:rsidRDefault="0001161D" w:rsidP="0001161D">
      <w:pPr>
        <w:jc w:val="center"/>
        <w:rPr>
          <w:b/>
          <w:bCs/>
        </w:rPr>
      </w:pPr>
      <w:r w:rsidRPr="00931053">
        <w:rPr>
          <w:b/>
          <w:bCs/>
          <w:vertAlign w:val="superscript"/>
        </w:rPr>
        <w:t>2</w:t>
      </w:r>
      <w:r w:rsidRPr="00931053">
        <w:rPr>
          <w:b/>
          <w:bCs/>
        </w:rPr>
        <w:t>Livestock Climate and Environment Program, International Livestock Research Institute (ILRI)</w:t>
      </w:r>
    </w:p>
    <w:p w14:paraId="3DE1C771" w14:textId="77777777" w:rsidR="0001161D" w:rsidRPr="006A4AB8" w:rsidRDefault="0001161D" w:rsidP="0001161D">
      <w:pPr>
        <w:jc w:val="both"/>
        <w:rPr>
          <w:b/>
        </w:rPr>
      </w:pPr>
      <w:r>
        <w:rPr>
          <w:b/>
        </w:rPr>
        <w:t>ABSTRACT</w:t>
      </w:r>
    </w:p>
    <w:p w14:paraId="19AD1A1D" w14:textId="77777777" w:rsidR="00FB5D9D" w:rsidRDefault="00D44170" w:rsidP="00D44170">
      <w:pPr>
        <w:jc w:val="both"/>
        <w:rPr>
          <w:bCs/>
        </w:rPr>
      </w:pPr>
      <w:r w:rsidRPr="00D44170">
        <w:rPr>
          <w:bCs/>
        </w:rPr>
        <w:t xml:space="preserve">This study explored the </w:t>
      </w:r>
      <w:r w:rsidR="0000427D" w:rsidRPr="00D44170">
        <w:rPr>
          <w:bCs/>
        </w:rPr>
        <w:t>complex</w:t>
      </w:r>
      <w:r w:rsidRPr="00D44170">
        <w:rPr>
          <w:bCs/>
        </w:rPr>
        <w:t xml:space="preserve"> relationships between socio-economic factors, farming practices, and climate change perceptions among livestock farmers, revealing a complex interplay of variables. A significant association was found between cultivating forage and stronger farmer beliefs in crop-livestock production outcomes (p=0.050), suggesting proactive management fosters optimism. However, a weak negative correlation between forage cultivation and milk production (r=-0.0640, p=0.010) indicates potential short-term trade-offs for long-term herd health. Notably, forage cultivation was strongly linked to the absence of livestock types 3 and 4 (p=0.001 and p=0.010), suggesting a shift in livestock management systems. Income, particularly within the income_1 category, significantly predicted both grazing management training and forage cultivation (p&lt;0.05), highlighting the crucial role of financial resources in practice adoption. While education showed a marginally significant positive association with grazing management training (p=0.0584), it did not significantly relate to forage management training (p=0.0762) or climate change strategies (p=0.073). These findings underscore the importance of tailored interventions that consider economic capacity and specific management techniques, rather than solely relying on education or water access. The study also revealed significant links between forage preservation methods and farmer beliefs (p=0.039), emphasizing the importance of appropriate techniques. Furthermore, grazing management training was significantly associated with the type of grazing system used (p=0.022), suggesting training can influence niche practice adoption. The absence of a significant relationship between water access and feed sources (p=0.232) points to the influence of other factors in feed selection. Overall, the research highlights that the adoption of climate-smart practices is driven by a complex interplay of socio-economic, environmental, and perceptual factors, necessitating context-specific approaches for effective implementation and sustainable livestock development.</w:t>
      </w:r>
    </w:p>
    <w:p w14:paraId="20CF78C5" w14:textId="77777777" w:rsidR="00FB5D9D" w:rsidRPr="00F23D26" w:rsidRDefault="00FB5D9D" w:rsidP="00FB5D9D">
      <w:pPr>
        <w:jc w:val="both"/>
        <w:rPr>
          <w:b/>
          <w:bCs/>
        </w:rPr>
      </w:pPr>
      <w:r>
        <w:rPr>
          <w:b/>
          <w:bCs/>
        </w:rPr>
        <w:t xml:space="preserve">INTRODUCTION </w:t>
      </w:r>
    </w:p>
    <w:p w14:paraId="5258D3D0" w14:textId="77777777" w:rsidR="00FB5D9D" w:rsidRPr="00F23D26" w:rsidRDefault="00FB5D9D" w:rsidP="00FB5D9D">
      <w:pPr>
        <w:jc w:val="both"/>
      </w:pPr>
      <w:r w:rsidRPr="00F23D26">
        <w:t>Livestock production plays a critical role in the livelihoods, food security, and economic well-being of millions across Africa. However, this sector is increasingly threatened by the impacts of climate change, including rising temperatures, erratic rainfall patterns, and more frequent and intense droughts (Thornton et al., 2021). These changes directly affect the availability of feed and water resources, increase the prevalence of animal diseases, and ultimately undermine the productivity and resilience of livestock systems. In response to these challenges, Climate-Smart Livestock Farming (CSLF) has emerged as a promising approach (FAO, 2013). CSLF aims to achieve a triple win: sustainably increasing livestock productivity, enhancing the resilience of livestock systems to climate-related shocks, and reducing greenhouse gas (GHG) emissions from the sector. While the potential benefits of CSLF are widely recognized, its adoption across the African continent remains inconsistent and limited, particularly among smallholder farmers who constitute the majority of livestock keepers (IFAD, 2022; Ajayi et al., 2017).</w:t>
      </w:r>
    </w:p>
    <w:p w14:paraId="34C2BFE2" w14:textId="77777777" w:rsidR="00FB5D9D" w:rsidRPr="00F23D26" w:rsidRDefault="00FB5D9D" w:rsidP="00FB5D9D">
      <w:pPr>
        <w:jc w:val="both"/>
      </w:pPr>
      <w:r w:rsidRPr="00F23D26">
        <w:lastRenderedPageBreak/>
        <w:t>The implementation of CSLF practices varies significantly across different regions of Africa, reflecting the diverse agro-ecological conditions and farming systems. In East Africa, there is a growing emphasis on improved grazing management techniques, such as rotational grazing and fodder conservation, to optimize pasture utilization and enhance animal nutrition (Mureithi et al., 2019). West African livestock farmers often rely on crop residues and agro-industrial by-products as valuable feed resources, especially during the dry season when pasture availability is limited (Tarawali et al., 2011). In the more arid regions of Southern Africa, the focus is shifting towards the adoption of drought-resistant livestock breeds and the implementation of water harvesting and storage technologies to ensure a reliable water supply for livestock (Mapfumo et al., 2016). Furthermore, the increasing use of mobile technologies to provide farmers with timely information on weather patterns, disease outbreaks, and market prices is enabling more informed decision-making and adaptive management (GSMA, 2023). Common CSLF practices encompass a wide range of strategies, including enhanced grazing systems, water harvesting and efficient irrigation, manure management techniques, and the introduction of drought-resistant livestock breeds (FAO, 2013). These practices are applied in various livestock systems, from traditional pastoral and agro-pastoral systems in drylands to more intensive dairy and poultry operations in wetter, temperate regions (Herrero et al., 2010). Innovative feed production approaches, such as hydroponic fodder systems, are also gaining traction as sustainable and climate-resilient alternatives to conventional feed sources (Al-Karaki &amp; Al-Hashimi, 2012). Accumulating scientific evidence supports the effectiveness of CSLF practices in achieving their intended goals. For instance, improved grazing management has been shown to significantly increase carbon sequestration in grassland ecosystems (</w:t>
      </w:r>
      <w:proofErr w:type="spellStart"/>
      <w:r w:rsidRPr="00F23D26">
        <w:t>Franzluebbers</w:t>
      </w:r>
      <w:proofErr w:type="spellEnd"/>
      <w:r w:rsidRPr="00F23D26">
        <w:t xml:space="preserve"> et al., 2018), while better feed digestibility can reduce methane emissions from livestock (Knapp et al., 2014). The adoption of drought-resistant breeds has proven effective in maintaining livestock production during periods of water scarcity (Moyo et al., 2020), and manure management strategies can lower GHG emissions and improve soil quality (Sommer et al., 2013). Integrating local knowledge with modern CSLF practices is increasingly recognized as crucial for ensuring cultural appropriateness and long-term sustainability (Agrawal, 2009).</w:t>
      </w:r>
    </w:p>
    <w:p w14:paraId="2E481B77" w14:textId="77777777" w:rsidR="00FB5D9D" w:rsidRPr="00FA6EE0" w:rsidRDefault="00FB5D9D" w:rsidP="00FB5D9D">
      <w:pPr>
        <w:jc w:val="both"/>
      </w:pPr>
      <w:r w:rsidRPr="00F23D26">
        <w:t>Despite the demonstrated potential of CSLF, several challenges impede its widespread adoption in Africa. A major constraint is the limited access to information and suitable technologies, particularly among smallholder farmers (Ajayi et al., 2017). This lack of knowledge is often compounded by weak support services and a persistent digital gap, hindering the effective dissemination of information and the adoption of innovative practices (World Bank, 2022; ITU, 2023). Financial limitations, including high initial investment costs and restricted access to credit, also pose significant barriers to CSLF uptake (McCarthy et al., 2018; FAO, 2021). Furthermore, insufficient policy support and weak institutional structures often hamper the effective implementation of CSLF initiatives (Steinfeld et al., 2006; Anderson &amp; Feder, 2007). However, significant opportunities exist for scaling up CSLF across Africa. Strategic policy measures, such as providing targeted incentives for CSLF practices and strengthening land tenure security, can create a more enabling environment for sustainable livestock production (</w:t>
      </w:r>
      <w:proofErr w:type="spellStart"/>
      <w:r w:rsidRPr="00F23D26">
        <w:t>Olwande</w:t>
      </w:r>
      <w:proofErr w:type="spellEnd"/>
      <w:r w:rsidRPr="00F23D26">
        <w:t xml:space="preserve"> et al., 2015). Increased investment in research and development is needed to generate and disseminate CSLF technologies that are specifically tailored to local agro-ecological conditions and are affordable and accessible to smallholder farmers (Rao et al., 2015). Capacity building initiatives, such as farmer field schools and participatory extension strategies, can empower farmers with the necessary skills and knowledge to implement and adapt CSLF practices to their specific contexts (Sumberg &amp; Thompson, 2012). Finally, fostering collaboration and knowledge exchange among farmers, researchers, policymakers, and other stakeholders can accelerate the adoption and scaling up of CSLF practices throughout the continent (Pretty, 1995).</w:t>
      </w:r>
    </w:p>
    <w:p w14:paraId="1F528052" w14:textId="77777777" w:rsidR="00FB5D9D" w:rsidRDefault="00FB5725" w:rsidP="00FB5D9D">
      <w:pPr>
        <w:jc w:val="both"/>
      </w:pPr>
      <w:r>
        <w:lastRenderedPageBreak/>
        <w:t>Thus</w:t>
      </w:r>
      <w:r w:rsidR="00FB5D9D" w:rsidRPr="006E1624">
        <w:t>, within Africa's Climate-Smart Livestock Framework (CSLF), this baseline survey targets Tanzania's drought-prone semi-arid zone, where livestock and livelihoods are acutely threatened. While drought-resistant forages and improved grazing are promoted as key CSLF strategies, their </w:t>
      </w:r>
      <w:r w:rsidR="00FB5D9D" w:rsidRPr="006E1624">
        <w:rPr>
          <w:iCs/>
        </w:rPr>
        <w:t>actual</w:t>
      </w:r>
      <w:r w:rsidR="00FB5D9D" w:rsidRPr="006E1624">
        <w:t xml:space="preserve"> effectiveness remains unclear. This survey </w:t>
      </w:r>
      <w:r w:rsidR="00FB5D9D">
        <w:t>will provide</w:t>
      </w:r>
      <w:r w:rsidR="00FB5D9D" w:rsidRPr="006E1624">
        <w:t xml:space="preserve"> critical, synthesized evidence for researchers, policymakers, and practitioners aiming to build resilient and sustainable beef cattle farming across Tanzania and similar African environments. It directly addresses the core problem: a lack of proof that these strategies </w:t>
      </w:r>
      <w:r w:rsidR="00FB5D9D" w:rsidRPr="006E1624">
        <w:rPr>
          <w:iCs/>
        </w:rPr>
        <w:t>actually</w:t>
      </w:r>
      <w:r w:rsidR="00FB5D9D" w:rsidRPr="006E1624">
        <w:t> improve beef cattle performance in this challenging landscape.</w:t>
      </w:r>
    </w:p>
    <w:p w14:paraId="3B118655" w14:textId="77777777" w:rsidR="00C02D09" w:rsidRDefault="00AE731C" w:rsidP="00FB5D9D">
      <w:pPr>
        <w:jc w:val="both"/>
        <w:rPr>
          <w:b/>
        </w:rPr>
      </w:pPr>
      <w:r w:rsidRPr="00E4081F">
        <w:rPr>
          <w:b/>
        </w:rPr>
        <w:t>MATERIALS AND METHODS</w:t>
      </w:r>
    </w:p>
    <w:p w14:paraId="2A5B3BBA" w14:textId="77777777" w:rsidR="00964905" w:rsidRDefault="003D7B09" w:rsidP="00FB5D9D">
      <w:pPr>
        <w:jc w:val="both"/>
        <w:rPr>
          <w:b/>
        </w:rPr>
      </w:pPr>
      <w:r>
        <w:rPr>
          <w:b/>
        </w:rPr>
        <w:t>Study Area</w:t>
      </w:r>
    </w:p>
    <w:p w14:paraId="090F280A" w14:textId="77777777" w:rsidR="007B7E9C" w:rsidRDefault="0095566A" w:rsidP="00FB5D9D">
      <w:pPr>
        <w:jc w:val="both"/>
        <w:rPr>
          <w:color w:val="FF0000"/>
        </w:rPr>
      </w:pPr>
      <w:r w:rsidRPr="0095566A">
        <w:t>The survey was conducted in the Mpwapwa and Kongwa districts, both located within the Dodoma region of Tanzania. These two districts were specifically chosen for the study due to their unique characteristics and vulnerabilities. Firstly, both districts share a semi-arid climate, typical of the central zone of Tanzania. This climate is characterized by a prolonged dry season, stretching from May to December, followed by a shorter wet season from January to April. Secondly, Mpwapwa and Kongwa are highly susceptible to the adverse effects of climate change, making them critical areas for studying the effects of climate change on forage and grazing management practices on beef cattle farming. The Dodoma region is also renowned for its vibrant beef cattle farming activities. Farmers in this region predominantly belong to agro-pastoral communities, where they integrate crop cultivation with livestock production in an agro-pastoral system.</w:t>
      </w:r>
      <w:r w:rsidRPr="000A1976">
        <w:rPr>
          <w:color w:val="FF0000"/>
        </w:rPr>
        <w:t xml:space="preserve"> </w:t>
      </w:r>
      <w:r w:rsidRPr="007B7E9C">
        <w:t>The survey was</w:t>
      </w:r>
      <w:r w:rsidR="007B7E9C">
        <w:t xml:space="preserve"> conducted</w:t>
      </w:r>
      <w:r w:rsidRPr="007B7E9C">
        <w:t xml:space="preserve"> with</w:t>
      </w:r>
      <w:r w:rsidR="007B7E9C">
        <w:t>in</w:t>
      </w:r>
      <w:r w:rsidRPr="007B7E9C">
        <w:t xml:space="preserve"> the wet season in January 2026. </w:t>
      </w:r>
    </w:p>
    <w:p w14:paraId="257FB677" w14:textId="77777777" w:rsidR="00964905" w:rsidRDefault="00964905" w:rsidP="00FB5D9D">
      <w:pPr>
        <w:jc w:val="both"/>
        <w:rPr>
          <w:b/>
        </w:rPr>
      </w:pPr>
      <w:r>
        <w:rPr>
          <w:b/>
        </w:rPr>
        <w:t>Sample Size</w:t>
      </w:r>
    </w:p>
    <w:p w14:paraId="2F87BADD" w14:textId="77777777" w:rsidR="00926DB2" w:rsidRPr="00926DB2" w:rsidRDefault="00926DB2" w:rsidP="00926DB2">
      <w:pPr>
        <w:jc w:val="both"/>
      </w:pPr>
      <w:r w:rsidRPr="00926DB2">
        <w:t>The sample size for the survey, targeting a population of 415 farmers in Mpwapwa and Kongwa districts, was calculated as follows:</w:t>
      </w:r>
    </w:p>
    <w:p w14:paraId="05187CA4" w14:textId="77777777" w:rsidR="00926DB2" w:rsidRPr="002A1436" w:rsidRDefault="00926DB2" w:rsidP="00926DB2">
      <w:pPr>
        <w:jc w:val="both"/>
      </w:pPr>
      <w:r w:rsidRPr="002A1436">
        <w:t>Parameters</w:t>
      </w:r>
    </w:p>
    <w:p w14:paraId="17725694" w14:textId="77777777" w:rsidR="00926DB2" w:rsidRPr="00926DB2" w:rsidRDefault="00926DB2" w:rsidP="00926DB2">
      <w:pPr>
        <w:jc w:val="both"/>
      </w:pPr>
      <w:r w:rsidRPr="00926DB2">
        <w:t>Population Size (N): 415</w:t>
      </w:r>
    </w:p>
    <w:p w14:paraId="18702BAF" w14:textId="77777777" w:rsidR="00926DB2" w:rsidRPr="00926DB2" w:rsidRDefault="00926DB2" w:rsidP="00926DB2">
      <w:pPr>
        <w:jc w:val="both"/>
      </w:pPr>
      <w:r w:rsidRPr="00926DB2">
        <w:t>Confidence Level: 95% (Z-score = 1.96)</w:t>
      </w:r>
    </w:p>
    <w:p w14:paraId="224889BB" w14:textId="77777777" w:rsidR="00926DB2" w:rsidRPr="00926DB2" w:rsidRDefault="00926DB2" w:rsidP="00926DB2">
      <w:pPr>
        <w:jc w:val="both"/>
      </w:pPr>
      <w:r w:rsidRPr="00926DB2">
        <w:t>Margin of Error (E): 5% (0.05)</w:t>
      </w:r>
    </w:p>
    <w:p w14:paraId="53D88467" w14:textId="77777777" w:rsidR="00926DB2" w:rsidRPr="00926DB2" w:rsidRDefault="00926DB2" w:rsidP="00926DB2">
      <w:pPr>
        <w:jc w:val="both"/>
      </w:pPr>
      <w:r w:rsidRPr="00926DB2">
        <w:t>Estimated Proportion (p): 0.5 (50% - for maximum sample size)</w:t>
      </w:r>
    </w:p>
    <w:p w14:paraId="345C4979" w14:textId="77777777" w:rsidR="00926DB2" w:rsidRPr="00926DB2" w:rsidRDefault="00926DB2" w:rsidP="00926DB2">
      <w:pPr>
        <w:jc w:val="both"/>
      </w:pPr>
      <w:r w:rsidRPr="00926DB2">
        <w:t>Design Effect (D): 1 (assuming simple random sampling)</w:t>
      </w:r>
    </w:p>
    <w:p w14:paraId="537B6991" w14:textId="77777777" w:rsidR="00926DB2" w:rsidRPr="00926DB2" w:rsidRDefault="00926DB2" w:rsidP="00926DB2">
      <w:pPr>
        <w:jc w:val="both"/>
      </w:pPr>
      <w:r w:rsidRPr="00926DB2">
        <w:t>Formula (Finite Population):</w:t>
      </w:r>
    </w:p>
    <w:p w14:paraId="408DCBDF" w14:textId="77777777" w:rsidR="00926DB2" w:rsidRPr="00926DB2" w:rsidRDefault="00926DB2" w:rsidP="00926DB2">
      <w:pPr>
        <w:jc w:val="both"/>
      </w:pPr>
      <w:r w:rsidRPr="00926DB2">
        <w:t>n = (N * (Z^2) * p * (1-p)) / ((E^2) * (N-1) + (Z^2) * p * (1-p))</w:t>
      </w:r>
    </w:p>
    <w:p w14:paraId="1AD30EF1" w14:textId="77777777" w:rsidR="00926DB2" w:rsidRPr="002A1436" w:rsidRDefault="00926DB2" w:rsidP="00926DB2">
      <w:pPr>
        <w:jc w:val="both"/>
      </w:pPr>
      <w:r w:rsidRPr="002A1436">
        <w:t>Calculation</w:t>
      </w:r>
    </w:p>
    <w:p w14:paraId="2DF100BA" w14:textId="77777777" w:rsidR="00926DB2" w:rsidRPr="00926DB2" w:rsidRDefault="00926DB2" w:rsidP="00926DB2">
      <w:pPr>
        <w:jc w:val="both"/>
      </w:pPr>
      <w:r w:rsidRPr="00926DB2">
        <w:t>n = (415 * (1.96^2) * 0.5 * (1-0.5)) / ((0.05^2) * (415-1) + (1.96^2) * 0.5 * (1-0.5))</w:t>
      </w:r>
    </w:p>
    <w:p w14:paraId="11B5BCDC" w14:textId="77777777" w:rsidR="00926DB2" w:rsidRPr="00926DB2" w:rsidRDefault="00926DB2" w:rsidP="00926DB2">
      <w:pPr>
        <w:jc w:val="both"/>
      </w:pPr>
      <w:r w:rsidRPr="00926DB2">
        <w:t>n = (415 * 3.8416 * 0.25) / (0.0025 * 414 + 3.8416 * 0.25)</w:t>
      </w:r>
    </w:p>
    <w:p w14:paraId="041AFCDF" w14:textId="77777777" w:rsidR="00926DB2" w:rsidRPr="00926DB2" w:rsidRDefault="00926DB2" w:rsidP="00926DB2">
      <w:pPr>
        <w:jc w:val="both"/>
      </w:pPr>
      <w:r w:rsidRPr="00926DB2">
        <w:t>n = 399.181 / (1.035 + 0.9604)</w:t>
      </w:r>
    </w:p>
    <w:p w14:paraId="1A63AC4A" w14:textId="77777777" w:rsidR="00926DB2" w:rsidRPr="00926DB2" w:rsidRDefault="00926DB2" w:rsidP="00926DB2">
      <w:pPr>
        <w:jc w:val="both"/>
      </w:pPr>
      <w:r w:rsidRPr="00926DB2">
        <w:t>n = 399.181 / 1.9954</w:t>
      </w:r>
    </w:p>
    <w:p w14:paraId="7CD54BFA" w14:textId="77777777" w:rsidR="00926DB2" w:rsidRPr="00926DB2" w:rsidRDefault="00926DB2" w:rsidP="00926DB2">
      <w:pPr>
        <w:jc w:val="both"/>
      </w:pPr>
      <w:r w:rsidRPr="00926DB2">
        <w:lastRenderedPageBreak/>
        <w:t>n ≈ 199.9</w:t>
      </w:r>
    </w:p>
    <w:p w14:paraId="1DD09F66" w14:textId="77777777" w:rsidR="00926DB2" w:rsidRPr="00926DB2" w:rsidRDefault="00926DB2" w:rsidP="00926DB2">
      <w:pPr>
        <w:jc w:val="both"/>
      </w:pPr>
      <w:r w:rsidRPr="00926DB2">
        <w:t>n ≈ 200</w:t>
      </w:r>
    </w:p>
    <w:p w14:paraId="677FBCFB" w14:textId="77777777" w:rsidR="00926DB2" w:rsidRPr="002A1436" w:rsidRDefault="002A1436" w:rsidP="00926DB2">
      <w:pPr>
        <w:jc w:val="both"/>
      </w:pPr>
      <w:r>
        <w:t>Adjustment</w:t>
      </w:r>
    </w:p>
    <w:p w14:paraId="2A81DA7A" w14:textId="77777777" w:rsidR="00926DB2" w:rsidRPr="002A1436" w:rsidRDefault="00926DB2" w:rsidP="00926DB2">
      <w:pPr>
        <w:jc w:val="both"/>
      </w:pPr>
      <w:r w:rsidRPr="002A1436">
        <w:t>Adjusted by 5%: 5% * 200 = 10</w:t>
      </w:r>
    </w:p>
    <w:p w14:paraId="52A7465F" w14:textId="77777777" w:rsidR="00926DB2" w:rsidRPr="002A1436" w:rsidRDefault="00926DB2" w:rsidP="00926DB2">
      <w:pPr>
        <w:jc w:val="both"/>
      </w:pPr>
      <w:r w:rsidRPr="002A1436">
        <w:t>n = 210</w:t>
      </w:r>
    </w:p>
    <w:p w14:paraId="7643925C" w14:textId="77777777" w:rsidR="00964905" w:rsidRPr="002A1436" w:rsidRDefault="00926DB2" w:rsidP="00926DB2">
      <w:pPr>
        <w:jc w:val="both"/>
      </w:pPr>
      <w:r w:rsidRPr="002A1436">
        <w:t>Therefore, a sample size of approximately 210 farmers was required for the survey.</w:t>
      </w:r>
    </w:p>
    <w:p w14:paraId="1952CA30" w14:textId="77777777" w:rsidR="00AE731C" w:rsidRPr="00E4081F" w:rsidRDefault="00AE731C" w:rsidP="00FB5D9D">
      <w:pPr>
        <w:jc w:val="both"/>
        <w:rPr>
          <w:b/>
        </w:rPr>
      </w:pPr>
      <w:r w:rsidRPr="00E4081F">
        <w:rPr>
          <w:b/>
        </w:rPr>
        <w:t>Selection of Respondents</w:t>
      </w:r>
      <w:r w:rsidR="005F42E4">
        <w:rPr>
          <w:b/>
        </w:rPr>
        <w:t xml:space="preserve"> (farmers)</w:t>
      </w:r>
    </w:p>
    <w:p w14:paraId="1823432B" w14:textId="77777777" w:rsidR="007405BB" w:rsidRPr="00B34E1B" w:rsidRDefault="007A6FA7" w:rsidP="00AE731C">
      <w:pPr>
        <w:jc w:val="both"/>
      </w:pPr>
      <w:r w:rsidRPr="007A6FA7">
        <w:t xml:space="preserve">The selection process began at the village level, with a survey conducted in six villages in the Mpwapwa district and two </w:t>
      </w:r>
      <w:r w:rsidR="0022164A">
        <w:t>villages in the Kongwa district</w:t>
      </w:r>
      <w:r w:rsidRPr="0022164A">
        <w:t xml:space="preserve">. </w:t>
      </w:r>
      <w:r w:rsidRPr="007A6FA7">
        <w:t xml:space="preserve">These villages were chosen based on their involvement in beef cattle farming. Within these villages, respondents were selected with the assistance of the ward livestock extension officer. </w:t>
      </w:r>
      <w:r w:rsidR="00803344" w:rsidRPr="00803344">
        <w:t xml:space="preserve">A total of </w:t>
      </w:r>
      <w:r w:rsidR="00803344" w:rsidRPr="005E3929">
        <w:t>206 f</w:t>
      </w:r>
      <w:r w:rsidR="00803344" w:rsidRPr="00803344">
        <w:t xml:space="preserve">armers agreed to participate, exceeding the projected sample size of 200. This included 103 farmers from Mpwapwa district (Ving'awe (5), Kimagai (45), Ilolo (7), Lupeta (21), </w:t>
      </w:r>
      <w:proofErr w:type="spellStart"/>
      <w:r w:rsidR="00803344" w:rsidRPr="00803344">
        <w:t>Makutupa</w:t>
      </w:r>
      <w:proofErr w:type="spellEnd"/>
      <w:r w:rsidR="00803344" w:rsidRPr="00803344">
        <w:t xml:space="preserve"> (22), and Bumila (1)) and 103 farmers from Kongwa district (</w:t>
      </w:r>
      <w:proofErr w:type="spellStart"/>
      <w:r w:rsidR="00803344" w:rsidRPr="00803344">
        <w:t>Sejeli</w:t>
      </w:r>
      <w:proofErr w:type="spellEnd"/>
      <w:r w:rsidR="00803344" w:rsidRPr="00803344">
        <w:t xml:space="preserve"> (77) and </w:t>
      </w:r>
      <w:proofErr w:type="spellStart"/>
      <w:r w:rsidR="00803344" w:rsidRPr="00803344">
        <w:t>Mbande</w:t>
      </w:r>
      <w:proofErr w:type="spellEnd"/>
      <w:r w:rsidR="00803344" w:rsidRPr="00803344">
        <w:t xml:space="preserve"> (23)) across the eight villages.</w:t>
      </w:r>
    </w:p>
    <w:p w14:paraId="1BD49726" w14:textId="77777777" w:rsidR="00AA28DA" w:rsidRPr="00C551D5" w:rsidRDefault="00C551D5" w:rsidP="00AE731C">
      <w:pPr>
        <w:jc w:val="both"/>
        <w:rPr>
          <w:b/>
        </w:rPr>
      </w:pPr>
      <w:r w:rsidRPr="00C551D5">
        <w:rPr>
          <w:b/>
        </w:rPr>
        <w:t>Development of the Questionnaire</w:t>
      </w:r>
    </w:p>
    <w:p w14:paraId="45B74E11" w14:textId="77777777" w:rsidR="00C551D5" w:rsidRPr="00C551D5" w:rsidRDefault="0003054A" w:rsidP="00C551D5">
      <w:pPr>
        <w:jc w:val="both"/>
      </w:pPr>
      <w:r w:rsidRPr="0003054A">
        <w:t>The questionnaire was designed to gather information on key factors such as farm details, farming systems, livestock ownership and management, grazing practices, forage and water management, animal health and breeding practices, challenges, opportunities, and climate change (Solans Domenech et al., 2019; Aithal &amp; Aithal, 2020). It included both structured and unstructured questions.</w:t>
      </w:r>
    </w:p>
    <w:p w14:paraId="243AC409" w14:textId="77777777" w:rsidR="00AA28DA" w:rsidRPr="00D75555" w:rsidRDefault="00D75555" w:rsidP="00AE731C">
      <w:pPr>
        <w:jc w:val="both"/>
        <w:rPr>
          <w:b/>
        </w:rPr>
      </w:pPr>
      <w:r w:rsidRPr="00D75555">
        <w:rPr>
          <w:b/>
        </w:rPr>
        <w:t>Pre-testing of the Survey Questionnaire</w:t>
      </w:r>
    </w:p>
    <w:p w14:paraId="7D7F4949" w14:textId="77777777" w:rsidR="00D75555" w:rsidRDefault="006B3500" w:rsidP="00D75555">
      <w:pPr>
        <w:jc w:val="both"/>
      </w:pPr>
      <w:r w:rsidRPr="006B3500">
        <w:t>Prior to commencing the survey, ethical clearance was obtained from the Tanzania Livestock Research Institute (TALIRI).</w:t>
      </w:r>
      <w:r>
        <w:t xml:space="preserve"> </w:t>
      </w:r>
      <w:r w:rsidR="00D07C6B" w:rsidRPr="00D07C6B">
        <w:t>The survey questionnaire was piloted during the first two days of the survey with 25 farmers who met the criteria for the main study. The data from this pilot study was used to train the enumerators and identify questions that needed modification for clarity, but it was not included in the main study, and these farmers were not resurveyed.</w:t>
      </w:r>
      <w:r>
        <w:t xml:space="preserve"> </w:t>
      </w:r>
    </w:p>
    <w:p w14:paraId="172B6251" w14:textId="77777777" w:rsidR="00AB5B95" w:rsidRPr="003C255C" w:rsidRDefault="00AB5B95" w:rsidP="00D75555">
      <w:pPr>
        <w:jc w:val="both"/>
        <w:rPr>
          <w:b/>
        </w:rPr>
      </w:pPr>
      <w:r w:rsidRPr="003C255C">
        <w:rPr>
          <w:b/>
        </w:rPr>
        <w:t>Data Collection</w:t>
      </w:r>
    </w:p>
    <w:p w14:paraId="76678D5F" w14:textId="77777777" w:rsidR="00AB5B95" w:rsidRDefault="00F34D9D" w:rsidP="003C255C">
      <w:pPr>
        <w:jc w:val="both"/>
      </w:pPr>
      <w:r w:rsidRPr="00F34D9D">
        <w:t xml:space="preserve">Following the pretesting and piloting of the survey questionnaire, data collection was conducted over 13 days starting in January 2026. The author and four trained enumerators administered the survey through individual face-to-face interviews with each of the </w:t>
      </w:r>
      <w:r w:rsidRPr="00670E9D">
        <w:t xml:space="preserve">206 </w:t>
      </w:r>
      <w:r w:rsidRPr="00F34D9D">
        <w:t>farmers. The enumerators had received training on administering the questionnaire during the pilot stage.</w:t>
      </w:r>
    </w:p>
    <w:p w14:paraId="7DA76E71" w14:textId="77777777" w:rsidR="00F34D9D" w:rsidRPr="00E23DDD" w:rsidRDefault="00F34D9D" w:rsidP="003C255C">
      <w:pPr>
        <w:jc w:val="both"/>
        <w:rPr>
          <w:b/>
        </w:rPr>
      </w:pPr>
      <w:r w:rsidRPr="00E23DDD">
        <w:rPr>
          <w:b/>
        </w:rPr>
        <w:t>Statistical Analysis</w:t>
      </w:r>
    </w:p>
    <w:p w14:paraId="1B44EBD9" w14:textId="77777777" w:rsidR="00670E9D" w:rsidRPr="00B34E1B" w:rsidRDefault="00950E17" w:rsidP="00B34E1B">
      <w:pPr>
        <w:jc w:val="both"/>
        <w:rPr>
          <w:rFonts w:ascii="Calibri" w:eastAsia="Calibri" w:hAnsi="Calibri" w:cs="Times New Roman"/>
          <w:kern w:val="2"/>
          <w:lang w:val="en-US"/>
          <w14:ligatures w14:val="standardContextual"/>
        </w:rPr>
      </w:pPr>
      <w:r w:rsidRPr="00950E17">
        <w:rPr>
          <w:rFonts w:ascii="Calibri" w:eastAsia="Calibri" w:hAnsi="Calibri" w:cs="Times New Roman"/>
          <w:kern w:val="2"/>
          <w:lang w:val="en-US"/>
          <w14:ligatures w14:val="standardContextual"/>
        </w:rPr>
        <w:t>Descriptive statistics were calculated for key demographic and household characteristics. The average age of surveyed farmers was 49 years (SD = 15), with a range from 19 to 88 years. The average household size was 7 members (SD = 4), ranging from 1 to 26 members.</w:t>
      </w:r>
      <w:r w:rsidR="0070763E">
        <w:rPr>
          <w:rFonts w:ascii="Calibri" w:eastAsia="Calibri" w:hAnsi="Calibri" w:cs="Times New Roman"/>
          <w:kern w:val="2"/>
          <w:lang w:val="en-US"/>
          <w14:ligatures w14:val="standardContextual"/>
        </w:rPr>
        <w:t xml:space="preserve"> </w:t>
      </w:r>
      <w:r w:rsidRPr="00950E17">
        <w:rPr>
          <w:rFonts w:ascii="Calibri" w:eastAsia="Calibri" w:hAnsi="Calibri" w:cs="Times New Roman"/>
          <w:kern w:val="2"/>
          <w:lang w:val="en-US"/>
          <w14:ligatures w14:val="standardContextual"/>
        </w:rPr>
        <w:t>A cross-tabulation of gender and district revealed a significant gender imbalance in the sample. Out of 206 respondents, 179 were male and 27 were female. This imbalance was more pronounced in the Mpwapwa district, where 97 out of 101 respondents were male, compared to Kongwa district where 82 ou</w:t>
      </w:r>
      <w:r w:rsidR="0070763E">
        <w:rPr>
          <w:rFonts w:ascii="Calibri" w:eastAsia="Calibri" w:hAnsi="Calibri" w:cs="Times New Roman"/>
          <w:kern w:val="2"/>
          <w:lang w:val="en-US"/>
          <w14:ligatures w14:val="standardContextual"/>
        </w:rPr>
        <w:t xml:space="preserve">t of 105 respondents were male. </w:t>
      </w:r>
      <w:r w:rsidRPr="00950E17">
        <w:rPr>
          <w:rFonts w:ascii="Calibri" w:eastAsia="Calibri" w:hAnsi="Calibri" w:cs="Times New Roman"/>
          <w:kern w:val="2"/>
          <w:lang w:val="en-US"/>
          <w14:ligatures w14:val="standardContextual"/>
        </w:rPr>
        <w:t xml:space="preserve">Information on education levels, village distribution, land ownership, land farmed, and reasons for keeping livestock was also collected and analyzed to provide context for the subsequent </w:t>
      </w:r>
      <w:r w:rsidRPr="00950E17">
        <w:rPr>
          <w:rFonts w:ascii="Calibri" w:eastAsia="Calibri" w:hAnsi="Calibri" w:cs="Times New Roman"/>
          <w:kern w:val="2"/>
          <w:lang w:val="en-US"/>
          <w14:ligatures w14:val="standardContextual"/>
        </w:rPr>
        <w:lastRenderedPageBreak/>
        <w:t>statistical tests.</w:t>
      </w:r>
      <w:r w:rsidR="00670E9D" w:rsidRPr="00670E9D">
        <w:t xml:space="preserve"> </w:t>
      </w:r>
      <w:r w:rsidR="00670E9D" w:rsidRPr="00670E9D">
        <w:rPr>
          <w:rFonts w:ascii="Calibri" w:eastAsia="Calibri" w:hAnsi="Calibri" w:cs="Times New Roman"/>
          <w:kern w:val="2"/>
          <w:lang w:val="en-US"/>
          <w14:ligatures w14:val="standardContextual"/>
        </w:rPr>
        <w:t>The statistical analysis revealed several significant relationships between farming practices, socio-economic factors, and climate change-related variables. A significant association was found between cultivating forage and farmers' beliefs about crop-livestock production (p=0.050), with forage cultivators expressing stronger beliefs. Conversely, cultivating forage was significantly associated with not having livestock types 3 and 4 (p=0.001 and p=0.010, respectively), while no significant relationship was observed with livestock type 2 (p=0.803). A weak, yet significant, negative correlation indicated that increased forage cultivation was associated with slightly decreased milk production (r=-0.0640, p=0.010). Furthermore, forage preservation methods showed a significant association with crop-livestock production beliefs (p=0.039), suggesting different techniques align with varying levels of belief. Regression analyses indicated that income_1 significantly predicted both grazing management training (p&lt;0.05) and forage cultivation (p&lt;0.05), with higher income in this category associated with increased adoption. While education showed a marginally significant positive association with grazing management training (p=0.0584), no significant link was found with forage management training (p=0.0762). Finally, no significant association was detected between climate change strategies and education level (p=0.073).</w:t>
      </w:r>
      <w:r w:rsidR="00670E9D">
        <w:rPr>
          <w:rFonts w:ascii="Calibri" w:eastAsia="Calibri" w:hAnsi="Calibri" w:cs="Times New Roman"/>
          <w:kern w:val="2"/>
          <w:lang w:val="en-US"/>
          <w14:ligatures w14:val="standardContextual"/>
        </w:rPr>
        <w:t xml:space="preserve"> </w:t>
      </w:r>
    </w:p>
    <w:p w14:paraId="3E18B4FB" w14:textId="77777777" w:rsidR="00684147" w:rsidRDefault="00684147" w:rsidP="00BF4863">
      <w:pPr>
        <w:rPr>
          <w:rFonts w:ascii="Calibri" w:eastAsia="Calibri" w:hAnsi="Calibri" w:cs="Times New Roman"/>
          <w:b/>
          <w:kern w:val="2"/>
          <w:lang w:val="en-US"/>
          <w14:ligatures w14:val="standardContextual"/>
        </w:rPr>
      </w:pPr>
      <w:r>
        <w:rPr>
          <w:rFonts w:ascii="Calibri" w:eastAsia="Calibri" w:hAnsi="Calibri" w:cs="Times New Roman"/>
          <w:b/>
          <w:kern w:val="2"/>
          <w:lang w:val="en-US"/>
          <w14:ligatures w14:val="standardContextual"/>
        </w:rPr>
        <w:t xml:space="preserve">RESULTS </w:t>
      </w:r>
    </w:p>
    <w:p w14:paraId="54E3D028" w14:textId="77777777" w:rsidR="006A1E59" w:rsidRPr="006A1E59" w:rsidRDefault="006A1E59" w:rsidP="006A1E59">
      <w:pPr>
        <w:jc w:val="both"/>
        <w:rPr>
          <w:rFonts w:ascii="Calibri" w:eastAsia="Calibri" w:hAnsi="Calibri" w:cs="Times New Roman"/>
          <w:kern w:val="2"/>
          <w:lang w:val="en-US"/>
          <w14:ligatures w14:val="standardContextual"/>
        </w:rPr>
      </w:pPr>
      <w:r w:rsidRPr="006A1E59">
        <w:rPr>
          <w:rFonts w:ascii="Calibri" w:eastAsia="Calibri" w:hAnsi="Calibri" w:cs="Times New Roman"/>
          <w:kern w:val="2"/>
          <w:lang w:val="en-US"/>
          <w14:ligatures w14:val="standardContextual"/>
        </w:rPr>
        <w:t>This section presents the findings of the study, encompassing descriptive statistics, chi-square analyses, correlation analyses, and regression analyses to explore the relationships between various socio-economic factors, farming practices, and climate change-related variables.</w:t>
      </w:r>
    </w:p>
    <w:p w14:paraId="42B5799B" w14:textId="77777777" w:rsidR="00BF4863" w:rsidRPr="00D104BA" w:rsidRDefault="00BF4863" w:rsidP="00BF4863">
      <w:pPr>
        <w:rPr>
          <w:rFonts w:ascii="Calibri" w:eastAsia="Calibri" w:hAnsi="Calibri" w:cs="Times New Roman"/>
          <w:b/>
          <w:kern w:val="2"/>
          <w:lang w:val="en-US"/>
          <w14:ligatures w14:val="standardContextual"/>
        </w:rPr>
      </w:pPr>
      <w:r w:rsidRPr="00D104BA">
        <w:rPr>
          <w:rFonts w:ascii="Calibri" w:eastAsia="Calibri" w:hAnsi="Calibri" w:cs="Times New Roman"/>
          <w:b/>
          <w:kern w:val="2"/>
          <w:lang w:val="en-US"/>
          <w14:ligatures w14:val="standardContextual"/>
        </w:rPr>
        <w:t>Descriptive Statistics</w:t>
      </w:r>
    </w:p>
    <w:p w14:paraId="4706F870" w14:textId="77777777" w:rsidR="00BF4863" w:rsidRPr="00D823E8" w:rsidRDefault="00BF4863" w:rsidP="00BF4863">
      <w:pPr>
        <w:rPr>
          <w:rFonts w:ascii="Calibri" w:eastAsia="Calibri" w:hAnsi="Calibri" w:cs="Times New Roman"/>
          <w:b/>
          <w:kern w:val="2"/>
          <w:lang w:val="en-US"/>
          <w14:ligatures w14:val="standardContextual"/>
        </w:rPr>
      </w:pPr>
      <w:r w:rsidRPr="00D823E8">
        <w:rPr>
          <w:rFonts w:ascii="Calibri" w:eastAsia="Calibri" w:hAnsi="Calibri" w:cs="Times New Roman"/>
          <w:b/>
          <w:kern w:val="2"/>
          <w:lang w:val="en-US"/>
          <w14:ligatures w14:val="standardContextual"/>
        </w:rPr>
        <w:t>Table 1: Age and Household size descriptive statistics</w:t>
      </w:r>
    </w:p>
    <w:tbl>
      <w:tblPr>
        <w:tblpPr w:leftFromText="180" w:rightFromText="180" w:vertAnchor="text" w:tblpY="1"/>
        <w:tblOverlap w:val="never"/>
        <w:tblW w:w="6160" w:type="dxa"/>
        <w:tblLook w:val="04A0" w:firstRow="1" w:lastRow="0" w:firstColumn="1" w:lastColumn="0" w:noHBand="0" w:noVBand="1"/>
      </w:tblPr>
      <w:tblGrid>
        <w:gridCol w:w="1140"/>
        <w:gridCol w:w="960"/>
        <w:gridCol w:w="960"/>
        <w:gridCol w:w="1180"/>
        <w:gridCol w:w="960"/>
        <w:gridCol w:w="960"/>
      </w:tblGrid>
      <w:tr w:rsidR="00BF4863" w:rsidRPr="00BF4863" w14:paraId="2CF3945B" w14:textId="77777777" w:rsidTr="00BF4863">
        <w:trPr>
          <w:trHeight w:val="255"/>
        </w:trPr>
        <w:tc>
          <w:tcPr>
            <w:tcW w:w="1140" w:type="dxa"/>
            <w:tcBorders>
              <w:top w:val="single" w:sz="4" w:space="0" w:color="auto"/>
              <w:left w:val="single" w:sz="4" w:space="0" w:color="auto"/>
              <w:bottom w:val="single" w:sz="4" w:space="0" w:color="auto"/>
              <w:right w:val="single" w:sz="4" w:space="0" w:color="auto"/>
            </w:tcBorders>
            <w:shd w:val="clear" w:color="auto" w:fill="B4C6E7"/>
            <w:noWrap/>
            <w:vAlign w:val="bottom"/>
            <w:hideMark/>
          </w:tcPr>
          <w:p w14:paraId="7175C550" w14:textId="77777777" w:rsidR="00BF4863" w:rsidRPr="00BF4863" w:rsidRDefault="00BF4863" w:rsidP="00BF4863">
            <w:pPr>
              <w:spacing w:after="0" w:line="240" w:lineRule="auto"/>
              <w:rPr>
                <w:rFonts w:ascii="Arial" w:eastAsia="Times New Roman" w:hAnsi="Arial" w:cs="Arial"/>
                <w:b/>
                <w:bCs/>
                <w:color w:val="FFFFFF"/>
                <w:sz w:val="20"/>
                <w:szCs w:val="20"/>
                <w:lang w:val="en-US"/>
              </w:rPr>
            </w:pPr>
            <w:r w:rsidRPr="00BF4863">
              <w:rPr>
                <w:rFonts w:ascii="Arial" w:eastAsia="Times New Roman" w:hAnsi="Arial" w:cs="Arial"/>
                <w:b/>
                <w:bCs/>
                <w:color w:val="FFFFFF"/>
                <w:sz w:val="20"/>
                <w:szCs w:val="20"/>
                <w:lang w:val="en-US"/>
              </w:rPr>
              <w:t>Variable</w:t>
            </w:r>
          </w:p>
        </w:tc>
        <w:tc>
          <w:tcPr>
            <w:tcW w:w="960" w:type="dxa"/>
            <w:tcBorders>
              <w:top w:val="single" w:sz="4" w:space="0" w:color="auto"/>
              <w:left w:val="single" w:sz="4" w:space="0" w:color="auto"/>
              <w:bottom w:val="single" w:sz="4" w:space="0" w:color="auto"/>
              <w:right w:val="single" w:sz="4" w:space="0" w:color="auto"/>
            </w:tcBorders>
            <w:shd w:val="clear" w:color="auto" w:fill="B4C6E7"/>
            <w:noWrap/>
            <w:vAlign w:val="bottom"/>
            <w:hideMark/>
          </w:tcPr>
          <w:p w14:paraId="4E1F8C17" w14:textId="77777777" w:rsidR="00BF4863" w:rsidRPr="00BF4863" w:rsidRDefault="00BF4863" w:rsidP="00BF4863">
            <w:pPr>
              <w:spacing w:after="0" w:line="240" w:lineRule="auto"/>
              <w:jc w:val="right"/>
              <w:rPr>
                <w:rFonts w:ascii="Arial" w:eastAsia="Times New Roman" w:hAnsi="Arial" w:cs="Arial"/>
                <w:b/>
                <w:bCs/>
                <w:color w:val="FFFFFF"/>
                <w:sz w:val="20"/>
                <w:szCs w:val="20"/>
                <w:lang w:val="en-US"/>
              </w:rPr>
            </w:pPr>
            <w:r w:rsidRPr="00BF4863">
              <w:rPr>
                <w:rFonts w:ascii="Arial" w:eastAsia="Times New Roman" w:hAnsi="Arial" w:cs="Arial"/>
                <w:b/>
                <w:bCs/>
                <w:color w:val="FFFFFF"/>
                <w:sz w:val="20"/>
                <w:szCs w:val="20"/>
                <w:lang w:val="en-US"/>
              </w:rPr>
              <w:t>Obs</w:t>
            </w:r>
          </w:p>
        </w:tc>
        <w:tc>
          <w:tcPr>
            <w:tcW w:w="960" w:type="dxa"/>
            <w:tcBorders>
              <w:top w:val="single" w:sz="4" w:space="0" w:color="auto"/>
              <w:left w:val="single" w:sz="4" w:space="0" w:color="auto"/>
              <w:bottom w:val="single" w:sz="4" w:space="0" w:color="auto"/>
              <w:right w:val="single" w:sz="4" w:space="0" w:color="auto"/>
            </w:tcBorders>
            <w:shd w:val="clear" w:color="auto" w:fill="B4C6E7"/>
            <w:noWrap/>
            <w:vAlign w:val="bottom"/>
            <w:hideMark/>
          </w:tcPr>
          <w:p w14:paraId="2B4E3C47" w14:textId="77777777" w:rsidR="00BF4863" w:rsidRPr="00BF4863" w:rsidRDefault="00BF4863" w:rsidP="00BF4863">
            <w:pPr>
              <w:spacing w:after="0" w:line="240" w:lineRule="auto"/>
              <w:jc w:val="right"/>
              <w:rPr>
                <w:rFonts w:ascii="Arial" w:eastAsia="Times New Roman" w:hAnsi="Arial" w:cs="Arial"/>
                <w:b/>
                <w:bCs/>
                <w:color w:val="FFFFFF"/>
                <w:sz w:val="20"/>
                <w:szCs w:val="20"/>
                <w:lang w:val="en-US"/>
              </w:rPr>
            </w:pPr>
            <w:r w:rsidRPr="00BF4863">
              <w:rPr>
                <w:rFonts w:ascii="Arial" w:eastAsia="Times New Roman" w:hAnsi="Arial" w:cs="Arial"/>
                <w:b/>
                <w:bCs/>
                <w:color w:val="FFFFFF"/>
                <w:sz w:val="20"/>
                <w:szCs w:val="20"/>
                <w:lang w:val="en-US"/>
              </w:rPr>
              <w:t>Mean</w:t>
            </w:r>
          </w:p>
        </w:tc>
        <w:tc>
          <w:tcPr>
            <w:tcW w:w="1180" w:type="dxa"/>
            <w:tcBorders>
              <w:top w:val="single" w:sz="4" w:space="0" w:color="auto"/>
              <w:left w:val="single" w:sz="4" w:space="0" w:color="auto"/>
              <w:bottom w:val="single" w:sz="4" w:space="0" w:color="auto"/>
              <w:right w:val="single" w:sz="4" w:space="0" w:color="auto"/>
            </w:tcBorders>
            <w:shd w:val="clear" w:color="auto" w:fill="B4C6E7"/>
            <w:noWrap/>
            <w:vAlign w:val="bottom"/>
            <w:hideMark/>
          </w:tcPr>
          <w:p w14:paraId="736B352C" w14:textId="77777777" w:rsidR="00BF4863" w:rsidRPr="00BF4863" w:rsidRDefault="00BF4863" w:rsidP="00BF4863">
            <w:pPr>
              <w:spacing w:after="0" w:line="240" w:lineRule="auto"/>
              <w:jc w:val="right"/>
              <w:rPr>
                <w:rFonts w:ascii="Arial" w:eastAsia="Times New Roman" w:hAnsi="Arial" w:cs="Arial"/>
                <w:b/>
                <w:bCs/>
                <w:color w:val="FFFFFF"/>
                <w:sz w:val="20"/>
                <w:szCs w:val="20"/>
                <w:lang w:val="en-US"/>
              </w:rPr>
            </w:pPr>
            <w:r w:rsidRPr="00BF4863">
              <w:rPr>
                <w:rFonts w:ascii="Arial" w:eastAsia="Times New Roman" w:hAnsi="Arial" w:cs="Arial"/>
                <w:b/>
                <w:bCs/>
                <w:color w:val="FFFFFF"/>
                <w:sz w:val="20"/>
                <w:szCs w:val="20"/>
                <w:lang w:val="en-US"/>
              </w:rPr>
              <w:t>Std. Dev.</w:t>
            </w:r>
          </w:p>
        </w:tc>
        <w:tc>
          <w:tcPr>
            <w:tcW w:w="960" w:type="dxa"/>
            <w:tcBorders>
              <w:top w:val="single" w:sz="4" w:space="0" w:color="auto"/>
              <w:left w:val="single" w:sz="4" w:space="0" w:color="auto"/>
              <w:bottom w:val="single" w:sz="4" w:space="0" w:color="auto"/>
              <w:right w:val="single" w:sz="4" w:space="0" w:color="auto"/>
            </w:tcBorders>
            <w:shd w:val="clear" w:color="auto" w:fill="B4C6E7"/>
            <w:noWrap/>
            <w:vAlign w:val="bottom"/>
            <w:hideMark/>
          </w:tcPr>
          <w:p w14:paraId="72E3E0D4" w14:textId="77777777" w:rsidR="00BF4863" w:rsidRPr="00BF4863" w:rsidRDefault="00BF4863" w:rsidP="00BF4863">
            <w:pPr>
              <w:spacing w:after="0" w:line="240" w:lineRule="auto"/>
              <w:jc w:val="right"/>
              <w:rPr>
                <w:rFonts w:ascii="Arial" w:eastAsia="Times New Roman" w:hAnsi="Arial" w:cs="Arial"/>
                <w:b/>
                <w:bCs/>
                <w:color w:val="FFFFFF"/>
                <w:sz w:val="20"/>
                <w:szCs w:val="20"/>
                <w:lang w:val="en-US"/>
              </w:rPr>
            </w:pPr>
            <w:r w:rsidRPr="00BF4863">
              <w:rPr>
                <w:rFonts w:ascii="Arial" w:eastAsia="Times New Roman" w:hAnsi="Arial" w:cs="Arial"/>
                <w:b/>
                <w:bCs/>
                <w:color w:val="FFFFFF"/>
                <w:sz w:val="20"/>
                <w:szCs w:val="20"/>
                <w:lang w:val="en-US"/>
              </w:rPr>
              <w:t>Min</w:t>
            </w:r>
          </w:p>
        </w:tc>
        <w:tc>
          <w:tcPr>
            <w:tcW w:w="960" w:type="dxa"/>
            <w:tcBorders>
              <w:top w:val="single" w:sz="4" w:space="0" w:color="auto"/>
              <w:left w:val="single" w:sz="4" w:space="0" w:color="auto"/>
              <w:bottom w:val="single" w:sz="4" w:space="0" w:color="auto"/>
              <w:right w:val="single" w:sz="4" w:space="0" w:color="auto"/>
            </w:tcBorders>
            <w:shd w:val="clear" w:color="auto" w:fill="B4C6E7"/>
            <w:noWrap/>
            <w:vAlign w:val="bottom"/>
            <w:hideMark/>
          </w:tcPr>
          <w:p w14:paraId="2B350AFF" w14:textId="77777777" w:rsidR="00BF4863" w:rsidRPr="00BF4863" w:rsidRDefault="00BF4863" w:rsidP="00BF4863">
            <w:pPr>
              <w:spacing w:after="0" w:line="240" w:lineRule="auto"/>
              <w:jc w:val="right"/>
              <w:rPr>
                <w:rFonts w:ascii="Arial" w:eastAsia="Times New Roman" w:hAnsi="Arial" w:cs="Arial"/>
                <w:b/>
                <w:bCs/>
                <w:color w:val="FFFFFF"/>
                <w:sz w:val="20"/>
                <w:szCs w:val="20"/>
                <w:lang w:val="en-US"/>
              </w:rPr>
            </w:pPr>
            <w:r w:rsidRPr="00BF4863">
              <w:rPr>
                <w:rFonts w:ascii="Arial" w:eastAsia="Times New Roman" w:hAnsi="Arial" w:cs="Arial"/>
                <w:b/>
                <w:bCs/>
                <w:color w:val="FFFFFF"/>
                <w:sz w:val="20"/>
                <w:szCs w:val="20"/>
                <w:lang w:val="en-US"/>
              </w:rPr>
              <w:t>Max</w:t>
            </w:r>
          </w:p>
        </w:tc>
      </w:tr>
      <w:tr w:rsidR="00BF4863" w:rsidRPr="00BF4863" w14:paraId="2D024C79" w14:textId="77777777" w:rsidTr="00BF4863">
        <w:trPr>
          <w:trHeight w:val="255"/>
        </w:trPr>
        <w:tc>
          <w:tcPr>
            <w:tcW w:w="1140" w:type="dxa"/>
            <w:tcBorders>
              <w:top w:val="single" w:sz="4" w:space="0" w:color="auto"/>
              <w:left w:val="single" w:sz="4" w:space="0" w:color="auto"/>
              <w:bottom w:val="single" w:sz="4" w:space="0" w:color="auto"/>
              <w:right w:val="single" w:sz="4" w:space="0" w:color="auto"/>
            </w:tcBorders>
            <w:shd w:val="clear" w:color="auto" w:fill="EDEDED"/>
            <w:noWrap/>
            <w:vAlign w:val="bottom"/>
            <w:hideMark/>
          </w:tcPr>
          <w:p w14:paraId="178F37FC" w14:textId="77777777" w:rsidR="00BF4863" w:rsidRPr="00BF4863" w:rsidRDefault="00BF4863" w:rsidP="00BF4863">
            <w:pPr>
              <w:spacing w:after="0" w:line="240" w:lineRule="auto"/>
              <w:rPr>
                <w:rFonts w:ascii="Arial" w:eastAsia="Times New Roman" w:hAnsi="Arial" w:cs="Arial"/>
                <w:color w:val="000000"/>
                <w:sz w:val="20"/>
                <w:szCs w:val="20"/>
                <w:lang w:val="en-US"/>
              </w:rPr>
            </w:pPr>
            <w:r w:rsidRPr="00BF4863">
              <w:rPr>
                <w:rFonts w:ascii="Arial" w:eastAsia="Times New Roman" w:hAnsi="Arial" w:cs="Arial"/>
                <w:color w:val="000000"/>
                <w:sz w:val="20"/>
                <w:szCs w:val="20"/>
                <w:lang w:val="en-US"/>
              </w:rPr>
              <w:t>age</w:t>
            </w:r>
          </w:p>
        </w:tc>
        <w:tc>
          <w:tcPr>
            <w:tcW w:w="960" w:type="dxa"/>
            <w:tcBorders>
              <w:top w:val="single" w:sz="4" w:space="0" w:color="auto"/>
              <w:left w:val="single" w:sz="4" w:space="0" w:color="auto"/>
              <w:bottom w:val="single" w:sz="4" w:space="0" w:color="auto"/>
              <w:right w:val="single" w:sz="4" w:space="0" w:color="auto"/>
            </w:tcBorders>
            <w:shd w:val="clear" w:color="auto" w:fill="EDEDED"/>
            <w:noWrap/>
            <w:vAlign w:val="bottom"/>
            <w:hideMark/>
          </w:tcPr>
          <w:p w14:paraId="6C63789D" w14:textId="77777777" w:rsidR="00BF4863" w:rsidRPr="00BF4863" w:rsidRDefault="00BF4863" w:rsidP="00BF4863">
            <w:pPr>
              <w:spacing w:after="0" w:line="240" w:lineRule="auto"/>
              <w:jc w:val="right"/>
              <w:rPr>
                <w:rFonts w:ascii="Arial" w:eastAsia="Times New Roman" w:hAnsi="Arial" w:cs="Arial"/>
                <w:color w:val="000000"/>
                <w:sz w:val="20"/>
                <w:szCs w:val="20"/>
                <w:lang w:val="en-US"/>
              </w:rPr>
            </w:pPr>
            <w:r w:rsidRPr="00BF4863">
              <w:rPr>
                <w:rFonts w:ascii="Arial" w:eastAsia="Times New Roman" w:hAnsi="Arial" w:cs="Arial"/>
                <w:color w:val="000000"/>
                <w:sz w:val="20"/>
                <w:szCs w:val="20"/>
                <w:lang w:val="en-US"/>
              </w:rPr>
              <w:t>206</w:t>
            </w:r>
          </w:p>
        </w:tc>
        <w:tc>
          <w:tcPr>
            <w:tcW w:w="960" w:type="dxa"/>
            <w:tcBorders>
              <w:top w:val="single" w:sz="4" w:space="0" w:color="auto"/>
              <w:left w:val="single" w:sz="4" w:space="0" w:color="auto"/>
              <w:bottom w:val="single" w:sz="4" w:space="0" w:color="auto"/>
              <w:right w:val="single" w:sz="4" w:space="0" w:color="auto"/>
            </w:tcBorders>
            <w:shd w:val="clear" w:color="auto" w:fill="EDEDED"/>
            <w:noWrap/>
            <w:vAlign w:val="bottom"/>
            <w:hideMark/>
          </w:tcPr>
          <w:p w14:paraId="3F171679" w14:textId="77777777" w:rsidR="00BF4863" w:rsidRPr="00BF4863" w:rsidRDefault="00BF4863" w:rsidP="00BF4863">
            <w:pPr>
              <w:spacing w:after="0" w:line="240" w:lineRule="auto"/>
              <w:jc w:val="right"/>
              <w:rPr>
                <w:rFonts w:ascii="Arial" w:eastAsia="Times New Roman" w:hAnsi="Arial" w:cs="Arial"/>
                <w:color w:val="000000"/>
                <w:sz w:val="20"/>
                <w:szCs w:val="20"/>
                <w:lang w:val="en-US"/>
              </w:rPr>
            </w:pPr>
            <w:r w:rsidRPr="00BF4863">
              <w:rPr>
                <w:rFonts w:ascii="Arial" w:eastAsia="Times New Roman" w:hAnsi="Arial" w:cs="Arial"/>
                <w:color w:val="000000"/>
                <w:sz w:val="20"/>
                <w:szCs w:val="20"/>
                <w:lang w:val="en-US"/>
              </w:rPr>
              <w:t>49</w:t>
            </w:r>
          </w:p>
        </w:tc>
        <w:tc>
          <w:tcPr>
            <w:tcW w:w="1180" w:type="dxa"/>
            <w:tcBorders>
              <w:top w:val="single" w:sz="4" w:space="0" w:color="auto"/>
              <w:left w:val="single" w:sz="4" w:space="0" w:color="auto"/>
              <w:bottom w:val="single" w:sz="4" w:space="0" w:color="auto"/>
              <w:right w:val="single" w:sz="4" w:space="0" w:color="auto"/>
            </w:tcBorders>
            <w:shd w:val="clear" w:color="auto" w:fill="EDEDED"/>
            <w:noWrap/>
            <w:vAlign w:val="bottom"/>
            <w:hideMark/>
          </w:tcPr>
          <w:p w14:paraId="73C5E81C" w14:textId="77777777" w:rsidR="00BF4863" w:rsidRPr="00BF4863" w:rsidRDefault="00BF4863" w:rsidP="00BF4863">
            <w:pPr>
              <w:spacing w:after="0" w:line="240" w:lineRule="auto"/>
              <w:jc w:val="right"/>
              <w:rPr>
                <w:rFonts w:ascii="Arial" w:eastAsia="Times New Roman" w:hAnsi="Arial" w:cs="Arial"/>
                <w:color w:val="000000"/>
                <w:sz w:val="20"/>
                <w:szCs w:val="20"/>
                <w:lang w:val="en-US"/>
              </w:rPr>
            </w:pPr>
            <w:r w:rsidRPr="00BF4863">
              <w:rPr>
                <w:rFonts w:ascii="Arial" w:eastAsia="Times New Roman" w:hAnsi="Arial" w:cs="Arial"/>
                <w:color w:val="000000"/>
                <w:sz w:val="20"/>
                <w:szCs w:val="20"/>
                <w:lang w:val="en-US"/>
              </w:rPr>
              <w:t>15</w:t>
            </w:r>
          </w:p>
        </w:tc>
        <w:tc>
          <w:tcPr>
            <w:tcW w:w="960" w:type="dxa"/>
            <w:tcBorders>
              <w:top w:val="single" w:sz="4" w:space="0" w:color="auto"/>
              <w:left w:val="single" w:sz="4" w:space="0" w:color="auto"/>
              <w:bottom w:val="single" w:sz="4" w:space="0" w:color="auto"/>
              <w:right w:val="single" w:sz="4" w:space="0" w:color="auto"/>
            </w:tcBorders>
            <w:shd w:val="clear" w:color="auto" w:fill="EDEDED"/>
            <w:noWrap/>
            <w:vAlign w:val="bottom"/>
            <w:hideMark/>
          </w:tcPr>
          <w:p w14:paraId="0A66774E" w14:textId="77777777" w:rsidR="00BF4863" w:rsidRPr="00BF4863" w:rsidRDefault="00BF4863" w:rsidP="00BF4863">
            <w:pPr>
              <w:spacing w:after="0" w:line="240" w:lineRule="auto"/>
              <w:jc w:val="right"/>
              <w:rPr>
                <w:rFonts w:ascii="Arial" w:eastAsia="Times New Roman" w:hAnsi="Arial" w:cs="Arial"/>
                <w:color w:val="000000"/>
                <w:sz w:val="20"/>
                <w:szCs w:val="20"/>
                <w:lang w:val="en-US"/>
              </w:rPr>
            </w:pPr>
            <w:r w:rsidRPr="00BF4863">
              <w:rPr>
                <w:rFonts w:ascii="Arial" w:eastAsia="Times New Roman" w:hAnsi="Arial" w:cs="Arial"/>
                <w:color w:val="000000"/>
                <w:sz w:val="20"/>
                <w:szCs w:val="20"/>
                <w:lang w:val="en-US"/>
              </w:rPr>
              <w:t>19</w:t>
            </w:r>
          </w:p>
        </w:tc>
        <w:tc>
          <w:tcPr>
            <w:tcW w:w="960" w:type="dxa"/>
            <w:tcBorders>
              <w:top w:val="single" w:sz="4" w:space="0" w:color="auto"/>
              <w:left w:val="single" w:sz="4" w:space="0" w:color="auto"/>
              <w:bottom w:val="single" w:sz="4" w:space="0" w:color="auto"/>
              <w:right w:val="single" w:sz="4" w:space="0" w:color="auto"/>
            </w:tcBorders>
            <w:shd w:val="clear" w:color="auto" w:fill="EDEDED"/>
            <w:noWrap/>
            <w:vAlign w:val="bottom"/>
            <w:hideMark/>
          </w:tcPr>
          <w:p w14:paraId="17FBAC00" w14:textId="77777777" w:rsidR="00BF4863" w:rsidRPr="00BF4863" w:rsidRDefault="00BF4863" w:rsidP="00BF4863">
            <w:pPr>
              <w:spacing w:after="0" w:line="240" w:lineRule="auto"/>
              <w:jc w:val="right"/>
              <w:rPr>
                <w:rFonts w:ascii="Arial" w:eastAsia="Times New Roman" w:hAnsi="Arial" w:cs="Arial"/>
                <w:color w:val="000000"/>
                <w:sz w:val="20"/>
                <w:szCs w:val="20"/>
                <w:lang w:val="en-US"/>
              </w:rPr>
            </w:pPr>
            <w:r w:rsidRPr="00BF4863">
              <w:rPr>
                <w:rFonts w:ascii="Arial" w:eastAsia="Times New Roman" w:hAnsi="Arial" w:cs="Arial"/>
                <w:color w:val="000000"/>
                <w:sz w:val="20"/>
                <w:szCs w:val="20"/>
                <w:lang w:val="en-US"/>
              </w:rPr>
              <w:t>88</w:t>
            </w:r>
          </w:p>
        </w:tc>
      </w:tr>
      <w:tr w:rsidR="00BF4863" w:rsidRPr="00BF4863" w14:paraId="777721A7" w14:textId="77777777" w:rsidTr="00BF4863">
        <w:trPr>
          <w:trHeight w:val="255"/>
        </w:trPr>
        <w:tc>
          <w:tcPr>
            <w:tcW w:w="1140" w:type="dxa"/>
            <w:tcBorders>
              <w:top w:val="single" w:sz="4" w:space="0" w:color="auto"/>
              <w:left w:val="single" w:sz="4" w:space="0" w:color="auto"/>
              <w:bottom w:val="single" w:sz="4" w:space="0" w:color="auto"/>
              <w:right w:val="single" w:sz="4" w:space="0" w:color="auto"/>
            </w:tcBorders>
            <w:shd w:val="clear" w:color="auto" w:fill="EDEDED"/>
            <w:noWrap/>
            <w:vAlign w:val="bottom"/>
            <w:hideMark/>
          </w:tcPr>
          <w:p w14:paraId="4C3C9AF1" w14:textId="77777777" w:rsidR="00BF4863" w:rsidRPr="00BF4863" w:rsidRDefault="00BF4863" w:rsidP="00BF4863">
            <w:pPr>
              <w:spacing w:after="0" w:line="240" w:lineRule="auto"/>
              <w:rPr>
                <w:rFonts w:ascii="Arial" w:eastAsia="Times New Roman" w:hAnsi="Arial" w:cs="Arial"/>
                <w:color w:val="000000"/>
                <w:sz w:val="20"/>
                <w:szCs w:val="20"/>
                <w:lang w:val="en-US"/>
              </w:rPr>
            </w:pPr>
            <w:proofErr w:type="spellStart"/>
            <w:r w:rsidRPr="00BF4863">
              <w:rPr>
                <w:rFonts w:ascii="Arial" w:eastAsia="Times New Roman" w:hAnsi="Arial" w:cs="Arial"/>
                <w:color w:val="000000"/>
                <w:sz w:val="20"/>
                <w:szCs w:val="20"/>
                <w:lang w:val="en-US"/>
              </w:rPr>
              <w:t>hh_size</w:t>
            </w:r>
            <w:proofErr w:type="spellEnd"/>
          </w:p>
        </w:tc>
        <w:tc>
          <w:tcPr>
            <w:tcW w:w="960" w:type="dxa"/>
            <w:tcBorders>
              <w:top w:val="single" w:sz="4" w:space="0" w:color="auto"/>
              <w:left w:val="single" w:sz="4" w:space="0" w:color="auto"/>
              <w:bottom w:val="single" w:sz="4" w:space="0" w:color="auto"/>
              <w:right w:val="single" w:sz="4" w:space="0" w:color="auto"/>
            </w:tcBorders>
            <w:shd w:val="clear" w:color="auto" w:fill="EDEDED"/>
            <w:noWrap/>
            <w:vAlign w:val="bottom"/>
            <w:hideMark/>
          </w:tcPr>
          <w:p w14:paraId="4C10F959" w14:textId="77777777" w:rsidR="00BF4863" w:rsidRPr="00BF4863" w:rsidRDefault="00BF4863" w:rsidP="00BF4863">
            <w:pPr>
              <w:spacing w:after="0" w:line="240" w:lineRule="auto"/>
              <w:jc w:val="right"/>
              <w:rPr>
                <w:rFonts w:ascii="Arial" w:eastAsia="Times New Roman" w:hAnsi="Arial" w:cs="Arial"/>
                <w:color w:val="000000"/>
                <w:sz w:val="20"/>
                <w:szCs w:val="20"/>
                <w:lang w:val="en-US"/>
              </w:rPr>
            </w:pPr>
            <w:r w:rsidRPr="00BF4863">
              <w:rPr>
                <w:rFonts w:ascii="Arial" w:eastAsia="Times New Roman" w:hAnsi="Arial" w:cs="Arial"/>
                <w:color w:val="000000"/>
                <w:sz w:val="20"/>
                <w:szCs w:val="20"/>
                <w:lang w:val="en-US"/>
              </w:rPr>
              <w:t>206</w:t>
            </w:r>
          </w:p>
        </w:tc>
        <w:tc>
          <w:tcPr>
            <w:tcW w:w="960" w:type="dxa"/>
            <w:tcBorders>
              <w:top w:val="single" w:sz="4" w:space="0" w:color="auto"/>
              <w:left w:val="single" w:sz="4" w:space="0" w:color="auto"/>
              <w:bottom w:val="single" w:sz="4" w:space="0" w:color="auto"/>
              <w:right w:val="single" w:sz="4" w:space="0" w:color="auto"/>
            </w:tcBorders>
            <w:shd w:val="clear" w:color="auto" w:fill="EDEDED"/>
            <w:noWrap/>
            <w:vAlign w:val="bottom"/>
            <w:hideMark/>
          </w:tcPr>
          <w:p w14:paraId="423AB774" w14:textId="77777777" w:rsidR="00BF4863" w:rsidRPr="00BF4863" w:rsidRDefault="00BF4863" w:rsidP="00BF4863">
            <w:pPr>
              <w:spacing w:after="0" w:line="240" w:lineRule="auto"/>
              <w:jc w:val="right"/>
              <w:rPr>
                <w:rFonts w:ascii="Arial" w:eastAsia="Times New Roman" w:hAnsi="Arial" w:cs="Arial"/>
                <w:color w:val="000000"/>
                <w:sz w:val="20"/>
                <w:szCs w:val="20"/>
                <w:lang w:val="en-US"/>
              </w:rPr>
            </w:pPr>
            <w:r w:rsidRPr="00BF4863">
              <w:rPr>
                <w:rFonts w:ascii="Arial" w:eastAsia="Times New Roman" w:hAnsi="Arial" w:cs="Arial"/>
                <w:color w:val="000000"/>
                <w:sz w:val="20"/>
                <w:szCs w:val="20"/>
                <w:lang w:val="en-US"/>
              </w:rPr>
              <w:t>7</w:t>
            </w:r>
          </w:p>
        </w:tc>
        <w:tc>
          <w:tcPr>
            <w:tcW w:w="1180" w:type="dxa"/>
            <w:tcBorders>
              <w:top w:val="single" w:sz="4" w:space="0" w:color="auto"/>
              <w:left w:val="single" w:sz="4" w:space="0" w:color="auto"/>
              <w:bottom w:val="single" w:sz="4" w:space="0" w:color="auto"/>
              <w:right w:val="single" w:sz="4" w:space="0" w:color="auto"/>
            </w:tcBorders>
            <w:shd w:val="clear" w:color="auto" w:fill="EDEDED"/>
            <w:noWrap/>
            <w:vAlign w:val="bottom"/>
            <w:hideMark/>
          </w:tcPr>
          <w:p w14:paraId="619CBB19" w14:textId="77777777" w:rsidR="00BF4863" w:rsidRPr="00BF4863" w:rsidRDefault="00BF4863" w:rsidP="00BF4863">
            <w:pPr>
              <w:spacing w:after="0" w:line="240" w:lineRule="auto"/>
              <w:jc w:val="right"/>
              <w:rPr>
                <w:rFonts w:ascii="Arial" w:eastAsia="Times New Roman" w:hAnsi="Arial" w:cs="Arial"/>
                <w:color w:val="000000"/>
                <w:sz w:val="20"/>
                <w:szCs w:val="20"/>
                <w:lang w:val="en-US"/>
              </w:rPr>
            </w:pPr>
            <w:r w:rsidRPr="00BF4863">
              <w:rPr>
                <w:rFonts w:ascii="Arial" w:eastAsia="Times New Roman" w:hAnsi="Arial" w:cs="Arial"/>
                <w:color w:val="000000"/>
                <w:sz w:val="20"/>
                <w:szCs w:val="20"/>
                <w:lang w:val="en-US"/>
              </w:rPr>
              <w:t>4</w:t>
            </w:r>
          </w:p>
        </w:tc>
        <w:tc>
          <w:tcPr>
            <w:tcW w:w="960" w:type="dxa"/>
            <w:tcBorders>
              <w:top w:val="single" w:sz="4" w:space="0" w:color="auto"/>
              <w:left w:val="single" w:sz="4" w:space="0" w:color="auto"/>
              <w:bottom w:val="single" w:sz="4" w:space="0" w:color="auto"/>
              <w:right w:val="single" w:sz="4" w:space="0" w:color="auto"/>
            </w:tcBorders>
            <w:shd w:val="clear" w:color="auto" w:fill="EDEDED"/>
            <w:noWrap/>
            <w:vAlign w:val="bottom"/>
            <w:hideMark/>
          </w:tcPr>
          <w:p w14:paraId="54C2A5BE" w14:textId="77777777" w:rsidR="00BF4863" w:rsidRPr="00BF4863" w:rsidRDefault="00BF4863" w:rsidP="00BF4863">
            <w:pPr>
              <w:spacing w:after="0" w:line="240" w:lineRule="auto"/>
              <w:jc w:val="right"/>
              <w:rPr>
                <w:rFonts w:ascii="Arial" w:eastAsia="Times New Roman" w:hAnsi="Arial" w:cs="Arial"/>
                <w:color w:val="000000"/>
                <w:sz w:val="20"/>
                <w:szCs w:val="20"/>
                <w:lang w:val="en-US"/>
              </w:rPr>
            </w:pPr>
            <w:r w:rsidRPr="00BF4863">
              <w:rPr>
                <w:rFonts w:ascii="Arial" w:eastAsia="Times New Roman" w:hAnsi="Arial" w:cs="Arial"/>
                <w:color w:val="000000"/>
                <w:sz w:val="20"/>
                <w:szCs w:val="20"/>
                <w:lang w:val="en-US"/>
              </w:rPr>
              <w:t>1</w:t>
            </w:r>
          </w:p>
        </w:tc>
        <w:tc>
          <w:tcPr>
            <w:tcW w:w="960" w:type="dxa"/>
            <w:tcBorders>
              <w:top w:val="single" w:sz="4" w:space="0" w:color="auto"/>
              <w:left w:val="single" w:sz="4" w:space="0" w:color="auto"/>
              <w:bottom w:val="single" w:sz="4" w:space="0" w:color="auto"/>
              <w:right w:val="single" w:sz="4" w:space="0" w:color="auto"/>
            </w:tcBorders>
            <w:shd w:val="clear" w:color="auto" w:fill="EDEDED"/>
            <w:noWrap/>
            <w:vAlign w:val="bottom"/>
            <w:hideMark/>
          </w:tcPr>
          <w:p w14:paraId="4A5D46EF" w14:textId="77777777" w:rsidR="00BF4863" w:rsidRPr="00BF4863" w:rsidRDefault="00BF4863" w:rsidP="00BF4863">
            <w:pPr>
              <w:spacing w:after="0" w:line="240" w:lineRule="auto"/>
              <w:jc w:val="right"/>
              <w:rPr>
                <w:rFonts w:ascii="Arial" w:eastAsia="Times New Roman" w:hAnsi="Arial" w:cs="Arial"/>
                <w:color w:val="000000"/>
                <w:sz w:val="20"/>
                <w:szCs w:val="20"/>
                <w:lang w:val="en-US"/>
              </w:rPr>
            </w:pPr>
            <w:r w:rsidRPr="00BF4863">
              <w:rPr>
                <w:rFonts w:ascii="Arial" w:eastAsia="Times New Roman" w:hAnsi="Arial" w:cs="Arial"/>
                <w:color w:val="000000"/>
                <w:sz w:val="20"/>
                <w:szCs w:val="20"/>
                <w:lang w:val="en-US"/>
              </w:rPr>
              <w:t>26</w:t>
            </w:r>
          </w:p>
        </w:tc>
      </w:tr>
    </w:tbl>
    <w:p w14:paraId="3052F3E9" w14:textId="77777777" w:rsidR="00BF4863" w:rsidRDefault="00BF4863" w:rsidP="00BF4863">
      <w:pPr>
        <w:rPr>
          <w:rFonts w:ascii="Calibri" w:eastAsia="Calibri" w:hAnsi="Calibri" w:cs="Times New Roman"/>
          <w:kern w:val="2"/>
          <w:lang w:val="en-US"/>
          <w14:ligatures w14:val="standardContextual"/>
        </w:rPr>
      </w:pPr>
      <w:r w:rsidRPr="00BF4863">
        <w:rPr>
          <w:rFonts w:ascii="Calibri" w:eastAsia="Calibri" w:hAnsi="Calibri" w:cs="Times New Roman"/>
          <w:kern w:val="2"/>
          <w:lang w:val="en-US"/>
          <w14:ligatures w14:val="standardContextual"/>
        </w:rPr>
        <w:br w:type="textWrapping" w:clear="all"/>
      </w:r>
    </w:p>
    <w:p w14:paraId="79640F60" w14:textId="77777777" w:rsidR="00F26C32" w:rsidRDefault="00A129A6" w:rsidP="00F26C32">
      <w:pPr>
        <w:jc w:val="both"/>
        <w:rPr>
          <w:rFonts w:ascii="Calibri" w:eastAsia="Calibri" w:hAnsi="Calibri" w:cs="Times New Roman"/>
          <w:kern w:val="2"/>
          <w:lang w:val="en-US"/>
          <w14:ligatures w14:val="standardContextual"/>
        </w:rPr>
      </w:pPr>
      <w:r w:rsidRPr="00A129A6">
        <w:rPr>
          <w:rFonts w:ascii="Calibri" w:eastAsia="Calibri" w:hAnsi="Calibri" w:cs="Times New Roman"/>
          <w:kern w:val="2"/>
          <w:lang w:val="en-US"/>
          <w14:ligatures w14:val="standardContextual"/>
        </w:rPr>
        <w:t>The surveyed farmers, with an average age of 49, bring a wealth of experience to their practices. While this diversity in age offers opportunities for knowledge sharing, it also raises considerations regarding farm succession. The average household size of seven suggests a substantial available labor force, but also highlights the potential for resource strain, emphasizing the importance of understanding dependency ratios within these households.</w:t>
      </w:r>
    </w:p>
    <w:p w14:paraId="0EAEDEFF" w14:textId="77777777" w:rsidR="00BF4863" w:rsidRPr="00642088" w:rsidRDefault="00BF4863" w:rsidP="00BF4863">
      <w:pPr>
        <w:rPr>
          <w:rFonts w:ascii="Calibri" w:eastAsia="Calibri" w:hAnsi="Calibri" w:cs="Times New Roman"/>
          <w:b/>
          <w:kern w:val="2"/>
          <w:lang w:val="en-US"/>
          <w14:ligatures w14:val="standardContextual"/>
        </w:rPr>
      </w:pPr>
      <w:r w:rsidRPr="00642088">
        <w:rPr>
          <w:rFonts w:ascii="Calibri" w:eastAsia="Calibri" w:hAnsi="Calibri" w:cs="Times New Roman"/>
          <w:b/>
          <w:kern w:val="2"/>
          <w:lang w:val="en-US"/>
          <w14:ligatures w14:val="standardContextual"/>
        </w:rPr>
        <w:t>Table 2: Crosstab Gender and District</w:t>
      </w:r>
    </w:p>
    <w:tbl>
      <w:tblPr>
        <w:tblW w:w="6963" w:type="dxa"/>
        <w:tblLook w:val="04A0" w:firstRow="1" w:lastRow="0" w:firstColumn="1" w:lastColumn="0" w:noHBand="0" w:noVBand="1"/>
      </w:tblPr>
      <w:tblGrid>
        <w:gridCol w:w="1966"/>
        <w:gridCol w:w="2123"/>
        <w:gridCol w:w="1716"/>
        <w:gridCol w:w="1158"/>
      </w:tblGrid>
      <w:tr w:rsidR="00BF4863" w:rsidRPr="00BF4863" w14:paraId="7E5925E6" w14:textId="77777777" w:rsidTr="00F47114">
        <w:trPr>
          <w:trHeight w:val="272"/>
        </w:trPr>
        <w:tc>
          <w:tcPr>
            <w:tcW w:w="1966" w:type="dxa"/>
            <w:vMerge w:val="restart"/>
            <w:tcBorders>
              <w:top w:val="nil"/>
              <w:left w:val="single" w:sz="4" w:space="0" w:color="auto"/>
              <w:bottom w:val="single" w:sz="4" w:space="0" w:color="000000"/>
              <w:right w:val="single" w:sz="12" w:space="0" w:color="000000"/>
            </w:tcBorders>
            <w:shd w:val="clear" w:color="000000" w:fill="E7E6E6"/>
            <w:noWrap/>
            <w:vAlign w:val="bottom"/>
            <w:hideMark/>
          </w:tcPr>
          <w:p w14:paraId="65AD9FB2" w14:textId="77777777" w:rsidR="00BF4863" w:rsidRPr="00BF4863" w:rsidRDefault="00BF4863" w:rsidP="00BF4863">
            <w:pPr>
              <w:spacing w:after="0" w:line="240" w:lineRule="auto"/>
              <w:jc w:val="center"/>
              <w:rPr>
                <w:rFonts w:ascii="Arial" w:eastAsia="Times New Roman" w:hAnsi="Arial" w:cs="Arial"/>
                <w:b/>
                <w:bCs/>
                <w:sz w:val="20"/>
                <w:szCs w:val="20"/>
                <w:lang w:val="en-US"/>
              </w:rPr>
            </w:pPr>
            <w:r w:rsidRPr="00BF4863">
              <w:rPr>
                <w:rFonts w:ascii="Arial" w:eastAsia="Times New Roman" w:hAnsi="Arial" w:cs="Arial"/>
                <w:b/>
                <w:bCs/>
                <w:sz w:val="20"/>
                <w:szCs w:val="20"/>
                <w:lang w:val="en-US"/>
              </w:rPr>
              <w:t>Gender</w:t>
            </w:r>
          </w:p>
        </w:tc>
        <w:tc>
          <w:tcPr>
            <w:tcW w:w="4997" w:type="dxa"/>
            <w:gridSpan w:val="3"/>
            <w:tcBorders>
              <w:top w:val="nil"/>
              <w:left w:val="nil"/>
              <w:bottom w:val="single" w:sz="12" w:space="0" w:color="000000"/>
              <w:right w:val="single" w:sz="4" w:space="0" w:color="000000"/>
            </w:tcBorders>
            <w:shd w:val="clear" w:color="000000" w:fill="E7E6E6"/>
            <w:noWrap/>
            <w:vAlign w:val="bottom"/>
            <w:hideMark/>
          </w:tcPr>
          <w:p w14:paraId="50D45F4E" w14:textId="77777777" w:rsidR="00BF4863" w:rsidRPr="00BF4863" w:rsidRDefault="00BF4863" w:rsidP="00BF4863">
            <w:pPr>
              <w:spacing w:after="0" w:line="240" w:lineRule="auto"/>
              <w:jc w:val="center"/>
              <w:rPr>
                <w:rFonts w:ascii="Arial" w:eastAsia="Times New Roman" w:hAnsi="Arial" w:cs="Arial"/>
                <w:b/>
                <w:bCs/>
                <w:sz w:val="20"/>
                <w:szCs w:val="20"/>
                <w:lang w:val="en-US"/>
              </w:rPr>
            </w:pPr>
            <w:r w:rsidRPr="00BF4863">
              <w:rPr>
                <w:rFonts w:ascii="Arial" w:eastAsia="Times New Roman" w:hAnsi="Arial" w:cs="Arial"/>
                <w:b/>
                <w:bCs/>
                <w:sz w:val="20"/>
                <w:szCs w:val="20"/>
                <w:lang w:val="en-US"/>
              </w:rPr>
              <w:t>District</w:t>
            </w:r>
          </w:p>
        </w:tc>
      </w:tr>
      <w:tr w:rsidR="00BF4863" w:rsidRPr="00BF4863" w14:paraId="70E272CA" w14:textId="77777777" w:rsidTr="00C11EA9">
        <w:trPr>
          <w:trHeight w:val="272"/>
        </w:trPr>
        <w:tc>
          <w:tcPr>
            <w:tcW w:w="1966" w:type="dxa"/>
            <w:vMerge/>
            <w:tcBorders>
              <w:top w:val="nil"/>
              <w:left w:val="single" w:sz="4" w:space="0" w:color="auto"/>
              <w:bottom w:val="single" w:sz="4" w:space="0" w:color="000000"/>
              <w:right w:val="single" w:sz="12" w:space="0" w:color="000000"/>
            </w:tcBorders>
            <w:vAlign w:val="center"/>
            <w:hideMark/>
          </w:tcPr>
          <w:p w14:paraId="3D0FDE58" w14:textId="77777777" w:rsidR="00BF4863" w:rsidRPr="00BF4863" w:rsidRDefault="00BF4863" w:rsidP="00BF4863">
            <w:pPr>
              <w:spacing w:after="0" w:line="240" w:lineRule="auto"/>
              <w:jc w:val="center"/>
              <w:rPr>
                <w:rFonts w:ascii="Arial" w:eastAsia="Times New Roman" w:hAnsi="Arial" w:cs="Arial"/>
                <w:b/>
                <w:bCs/>
                <w:sz w:val="20"/>
                <w:szCs w:val="20"/>
                <w:lang w:val="en-US"/>
              </w:rPr>
            </w:pPr>
          </w:p>
        </w:tc>
        <w:tc>
          <w:tcPr>
            <w:tcW w:w="2123" w:type="dxa"/>
            <w:tcBorders>
              <w:top w:val="nil"/>
              <w:left w:val="nil"/>
              <w:bottom w:val="single" w:sz="4" w:space="0" w:color="auto"/>
              <w:right w:val="single" w:sz="4" w:space="0" w:color="auto"/>
            </w:tcBorders>
            <w:shd w:val="clear" w:color="000000" w:fill="E7E6E6"/>
            <w:noWrap/>
            <w:vAlign w:val="bottom"/>
            <w:hideMark/>
          </w:tcPr>
          <w:p w14:paraId="24D19E20" w14:textId="77777777" w:rsidR="00BF4863" w:rsidRPr="00BF4863" w:rsidRDefault="00BF4863" w:rsidP="00BF4863">
            <w:pPr>
              <w:spacing w:after="0" w:line="240" w:lineRule="auto"/>
              <w:jc w:val="center"/>
              <w:rPr>
                <w:rFonts w:ascii="Arial" w:eastAsia="Times New Roman" w:hAnsi="Arial" w:cs="Arial"/>
                <w:sz w:val="20"/>
                <w:szCs w:val="20"/>
                <w:lang w:val="en-US"/>
              </w:rPr>
            </w:pPr>
            <w:r w:rsidRPr="00BF4863">
              <w:rPr>
                <w:rFonts w:ascii="Arial" w:eastAsia="Times New Roman" w:hAnsi="Arial" w:cs="Arial"/>
                <w:sz w:val="20"/>
                <w:szCs w:val="20"/>
                <w:lang w:val="en-US"/>
              </w:rPr>
              <w:t>Mpwapwa</w:t>
            </w:r>
          </w:p>
        </w:tc>
        <w:tc>
          <w:tcPr>
            <w:tcW w:w="1716" w:type="dxa"/>
            <w:tcBorders>
              <w:top w:val="nil"/>
              <w:left w:val="nil"/>
              <w:bottom w:val="single" w:sz="4" w:space="0" w:color="auto"/>
              <w:right w:val="single" w:sz="4" w:space="0" w:color="auto"/>
            </w:tcBorders>
            <w:shd w:val="clear" w:color="000000" w:fill="E7E6E6"/>
            <w:noWrap/>
            <w:vAlign w:val="bottom"/>
            <w:hideMark/>
          </w:tcPr>
          <w:p w14:paraId="18AC0865" w14:textId="77777777" w:rsidR="00BF4863" w:rsidRPr="00BF4863" w:rsidRDefault="00BF4863" w:rsidP="00BF4863">
            <w:pPr>
              <w:spacing w:after="0" w:line="240" w:lineRule="auto"/>
              <w:jc w:val="center"/>
              <w:rPr>
                <w:rFonts w:ascii="Arial" w:eastAsia="Times New Roman" w:hAnsi="Arial" w:cs="Arial"/>
                <w:sz w:val="20"/>
                <w:szCs w:val="20"/>
                <w:lang w:val="en-US"/>
              </w:rPr>
            </w:pPr>
            <w:r w:rsidRPr="00BF4863">
              <w:rPr>
                <w:rFonts w:ascii="Arial" w:eastAsia="Times New Roman" w:hAnsi="Arial" w:cs="Arial"/>
                <w:sz w:val="20"/>
                <w:szCs w:val="20"/>
                <w:lang w:val="en-US"/>
              </w:rPr>
              <w:t>Kongwa</w:t>
            </w:r>
          </w:p>
        </w:tc>
        <w:tc>
          <w:tcPr>
            <w:tcW w:w="1158" w:type="dxa"/>
            <w:tcBorders>
              <w:top w:val="nil"/>
              <w:left w:val="nil"/>
              <w:bottom w:val="single" w:sz="4" w:space="0" w:color="auto"/>
              <w:right w:val="single" w:sz="4" w:space="0" w:color="auto"/>
            </w:tcBorders>
            <w:shd w:val="clear" w:color="000000" w:fill="E7E6E6"/>
            <w:noWrap/>
            <w:vAlign w:val="bottom"/>
            <w:hideMark/>
          </w:tcPr>
          <w:p w14:paraId="1ACACB35" w14:textId="77777777" w:rsidR="00BF4863" w:rsidRPr="00BF4863" w:rsidRDefault="00BF4863" w:rsidP="00BF4863">
            <w:pPr>
              <w:spacing w:after="0" w:line="240" w:lineRule="auto"/>
              <w:jc w:val="center"/>
              <w:rPr>
                <w:rFonts w:ascii="Arial" w:eastAsia="Times New Roman" w:hAnsi="Arial" w:cs="Arial"/>
                <w:b/>
                <w:bCs/>
                <w:sz w:val="20"/>
                <w:szCs w:val="20"/>
                <w:lang w:val="en-US"/>
              </w:rPr>
            </w:pPr>
            <w:r w:rsidRPr="00BF4863">
              <w:rPr>
                <w:rFonts w:ascii="Arial" w:eastAsia="Times New Roman" w:hAnsi="Arial" w:cs="Arial"/>
                <w:b/>
                <w:bCs/>
                <w:sz w:val="20"/>
                <w:szCs w:val="20"/>
                <w:lang w:val="en-US"/>
              </w:rPr>
              <w:t>Total</w:t>
            </w:r>
          </w:p>
        </w:tc>
      </w:tr>
      <w:tr w:rsidR="00BF4863" w:rsidRPr="00BF4863" w14:paraId="3FE07599" w14:textId="77777777" w:rsidTr="00C11EA9">
        <w:trPr>
          <w:trHeight w:val="257"/>
        </w:trPr>
        <w:tc>
          <w:tcPr>
            <w:tcW w:w="1966" w:type="dxa"/>
            <w:tcBorders>
              <w:top w:val="nil"/>
              <w:left w:val="single" w:sz="4" w:space="0" w:color="auto"/>
              <w:bottom w:val="single" w:sz="4" w:space="0" w:color="auto"/>
              <w:right w:val="single" w:sz="12" w:space="0" w:color="000000"/>
            </w:tcBorders>
            <w:shd w:val="clear" w:color="000000" w:fill="E7E6E6"/>
            <w:noWrap/>
            <w:vAlign w:val="bottom"/>
            <w:hideMark/>
          </w:tcPr>
          <w:p w14:paraId="3A5A949D" w14:textId="77777777" w:rsidR="00BF4863" w:rsidRPr="00BF4863" w:rsidRDefault="00BF4863" w:rsidP="00BF4863">
            <w:pPr>
              <w:spacing w:after="0" w:line="240" w:lineRule="auto"/>
              <w:jc w:val="center"/>
              <w:rPr>
                <w:rFonts w:ascii="Arial" w:eastAsia="Times New Roman" w:hAnsi="Arial" w:cs="Arial"/>
                <w:sz w:val="20"/>
                <w:szCs w:val="20"/>
                <w:lang w:val="en-US"/>
              </w:rPr>
            </w:pPr>
            <w:r w:rsidRPr="00BF4863">
              <w:rPr>
                <w:rFonts w:ascii="Arial" w:eastAsia="Times New Roman" w:hAnsi="Arial" w:cs="Arial"/>
                <w:sz w:val="20"/>
                <w:szCs w:val="20"/>
                <w:lang w:val="en-US"/>
              </w:rPr>
              <w:t>Female</w:t>
            </w:r>
          </w:p>
        </w:tc>
        <w:tc>
          <w:tcPr>
            <w:tcW w:w="2123" w:type="dxa"/>
            <w:tcBorders>
              <w:top w:val="nil"/>
              <w:left w:val="nil"/>
              <w:bottom w:val="single" w:sz="4" w:space="0" w:color="auto"/>
              <w:right w:val="single" w:sz="4" w:space="0" w:color="auto"/>
            </w:tcBorders>
            <w:noWrap/>
            <w:vAlign w:val="bottom"/>
            <w:hideMark/>
          </w:tcPr>
          <w:p w14:paraId="40040DCC" w14:textId="77777777" w:rsidR="00BF4863" w:rsidRPr="00BF4863" w:rsidRDefault="00BF4863" w:rsidP="00BF4863">
            <w:pPr>
              <w:spacing w:after="0" w:line="240" w:lineRule="auto"/>
              <w:jc w:val="center"/>
              <w:rPr>
                <w:rFonts w:ascii="Arial" w:eastAsia="Times New Roman" w:hAnsi="Arial" w:cs="Arial"/>
                <w:sz w:val="20"/>
                <w:szCs w:val="20"/>
                <w:lang w:val="en-US"/>
              </w:rPr>
            </w:pPr>
            <w:r w:rsidRPr="00BF4863">
              <w:rPr>
                <w:rFonts w:ascii="Arial" w:eastAsia="Times New Roman" w:hAnsi="Arial" w:cs="Arial"/>
                <w:sz w:val="20"/>
                <w:szCs w:val="20"/>
                <w:lang w:val="en-US"/>
              </w:rPr>
              <w:t>4</w:t>
            </w:r>
          </w:p>
        </w:tc>
        <w:tc>
          <w:tcPr>
            <w:tcW w:w="1716" w:type="dxa"/>
            <w:tcBorders>
              <w:top w:val="nil"/>
              <w:left w:val="nil"/>
              <w:bottom w:val="single" w:sz="4" w:space="0" w:color="auto"/>
              <w:right w:val="single" w:sz="4" w:space="0" w:color="auto"/>
            </w:tcBorders>
            <w:noWrap/>
            <w:vAlign w:val="bottom"/>
            <w:hideMark/>
          </w:tcPr>
          <w:p w14:paraId="76921EE0" w14:textId="77777777" w:rsidR="00BF4863" w:rsidRPr="00BF4863" w:rsidRDefault="00BF4863" w:rsidP="00BF4863">
            <w:pPr>
              <w:spacing w:after="0" w:line="240" w:lineRule="auto"/>
              <w:jc w:val="center"/>
              <w:rPr>
                <w:rFonts w:ascii="Arial" w:eastAsia="Times New Roman" w:hAnsi="Arial" w:cs="Arial"/>
                <w:sz w:val="20"/>
                <w:szCs w:val="20"/>
                <w:lang w:val="en-US"/>
              </w:rPr>
            </w:pPr>
            <w:r w:rsidRPr="00BF4863">
              <w:rPr>
                <w:rFonts w:ascii="Arial" w:eastAsia="Times New Roman" w:hAnsi="Arial" w:cs="Arial"/>
                <w:sz w:val="20"/>
                <w:szCs w:val="20"/>
                <w:lang w:val="en-US"/>
              </w:rPr>
              <w:t>23</w:t>
            </w:r>
          </w:p>
        </w:tc>
        <w:tc>
          <w:tcPr>
            <w:tcW w:w="1158" w:type="dxa"/>
            <w:tcBorders>
              <w:top w:val="nil"/>
              <w:left w:val="nil"/>
              <w:bottom w:val="single" w:sz="4" w:space="0" w:color="auto"/>
              <w:right w:val="single" w:sz="4" w:space="0" w:color="auto"/>
            </w:tcBorders>
            <w:noWrap/>
            <w:vAlign w:val="bottom"/>
            <w:hideMark/>
          </w:tcPr>
          <w:p w14:paraId="5EB77A6C" w14:textId="77777777" w:rsidR="00BF4863" w:rsidRPr="00BF4863" w:rsidRDefault="00BF4863" w:rsidP="00BF4863">
            <w:pPr>
              <w:spacing w:after="0" w:line="240" w:lineRule="auto"/>
              <w:jc w:val="center"/>
              <w:rPr>
                <w:rFonts w:ascii="Arial" w:eastAsia="Times New Roman" w:hAnsi="Arial" w:cs="Arial"/>
                <w:b/>
                <w:bCs/>
                <w:sz w:val="20"/>
                <w:szCs w:val="20"/>
                <w:lang w:val="en-US"/>
              </w:rPr>
            </w:pPr>
            <w:r w:rsidRPr="00BF4863">
              <w:rPr>
                <w:rFonts w:ascii="Arial" w:eastAsia="Times New Roman" w:hAnsi="Arial" w:cs="Arial"/>
                <w:b/>
                <w:bCs/>
                <w:sz w:val="20"/>
                <w:szCs w:val="20"/>
                <w:lang w:val="en-US"/>
              </w:rPr>
              <w:t>27</w:t>
            </w:r>
          </w:p>
        </w:tc>
      </w:tr>
      <w:tr w:rsidR="00BF4863" w:rsidRPr="00BF4863" w14:paraId="1A4A7E38" w14:textId="77777777" w:rsidTr="00C11EA9">
        <w:trPr>
          <w:trHeight w:val="257"/>
        </w:trPr>
        <w:tc>
          <w:tcPr>
            <w:tcW w:w="1966" w:type="dxa"/>
            <w:tcBorders>
              <w:top w:val="nil"/>
              <w:left w:val="single" w:sz="4" w:space="0" w:color="auto"/>
              <w:bottom w:val="single" w:sz="4" w:space="0" w:color="auto"/>
              <w:right w:val="single" w:sz="12" w:space="0" w:color="000000"/>
            </w:tcBorders>
            <w:shd w:val="clear" w:color="000000" w:fill="E7E6E6"/>
            <w:noWrap/>
            <w:vAlign w:val="bottom"/>
            <w:hideMark/>
          </w:tcPr>
          <w:p w14:paraId="210C4BCC" w14:textId="77777777" w:rsidR="00BF4863" w:rsidRPr="00BF4863" w:rsidRDefault="00BF4863" w:rsidP="00BF4863">
            <w:pPr>
              <w:spacing w:after="0" w:line="240" w:lineRule="auto"/>
              <w:jc w:val="center"/>
              <w:rPr>
                <w:rFonts w:ascii="Arial" w:eastAsia="Times New Roman" w:hAnsi="Arial" w:cs="Arial"/>
                <w:sz w:val="20"/>
                <w:szCs w:val="20"/>
                <w:lang w:val="en-US"/>
              </w:rPr>
            </w:pPr>
            <w:r w:rsidRPr="00BF4863">
              <w:rPr>
                <w:rFonts w:ascii="Arial" w:eastAsia="Times New Roman" w:hAnsi="Arial" w:cs="Arial"/>
                <w:sz w:val="20"/>
                <w:szCs w:val="20"/>
                <w:lang w:val="en-US"/>
              </w:rPr>
              <w:t>Male</w:t>
            </w:r>
          </w:p>
        </w:tc>
        <w:tc>
          <w:tcPr>
            <w:tcW w:w="2123" w:type="dxa"/>
            <w:tcBorders>
              <w:top w:val="nil"/>
              <w:left w:val="nil"/>
              <w:bottom w:val="single" w:sz="4" w:space="0" w:color="auto"/>
              <w:right w:val="single" w:sz="4" w:space="0" w:color="auto"/>
            </w:tcBorders>
            <w:noWrap/>
            <w:vAlign w:val="bottom"/>
            <w:hideMark/>
          </w:tcPr>
          <w:p w14:paraId="6FC48315" w14:textId="77777777" w:rsidR="00BF4863" w:rsidRPr="00BF4863" w:rsidRDefault="00BF4863" w:rsidP="00BF4863">
            <w:pPr>
              <w:spacing w:after="0" w:line="240" w:lineRule="auto"/>
              <w:jc w:val="center"/>
              <w:rPr>
                <w:rFonts w:ascii="Arial" w:eastAsia="Times New Roman" w:hAnsi="Arial" w:cs="Arial"/>
                <w:sz w:val="20"/>
                <w:szCs w:val="20"/>
                <w:lang w:val="en-US"/>
              </w:rPr>
            </w:pPr>
            <w:r w:rsidRPr="00BF4863">
              <w:rPr>
                <w:rFonts w:ascii="Arial" w:eastAsia="Times New Roman" w:hAnsi="Arial" w:cs="Arial"/>
                <w:sz w:val="20"/>
                <w:szCs w:val="20"/>
                <w:lang w:val="en-US"/>
              </w:rPr>
              <w:t>97</w:t>
            </w:r>
          </w:p>
        </w:tc>
        <w:tc>
          <w:tcPr>
            <w:tcW w:w="1716" w:type="dxa"/>
            <w:tcBorders>
              <w:top w:val="nil"/>
              <w:left w:val="nil"/>
              <w:bottom w:val="single" w:sz="4" w:space="0" w:color="auto"/>
              <w:right w:val="single" w:sz="4" w:space="0" w:color="auto"/>
            </w:tcBorders>
            <w:noWrap/>
            <w:vAlign w:val="bottom"/>
            <w:hideMark/>
          </w:tcPr>
          <w:p w14:paraId="60E5C2C0" w14:textId="77777777" w:rsidR="00BF4863" w:rsidRPr="00BF4863" w:rsidRDefault="00BF4863" w:rsidP="00BF4863">
            <w:pPr>
              <w:spacing w:after="0" w:line="240" w:lineRule="auto"/>
              <w:jc w:val="center"/>
              <w:rPr>
                <w:rFonts w:ascii="Arial" w:eastAsia="Times New Roman" w:hAnsi="Arial" w:cs="Arial"/>
                <w:sz w:val="20"/>
                <w:szCs w:val="20"/>
                <w:lang w:val="en-US"/>
              </w:rPr>
            </w:pPr>
            <w:r w:rsidRPr="00BF4863">
              <w:rPr>
                <w:rFonts w:ascii="Arial" w:eastAsia="Times New Roman" w:hAnsi="Arial" w:cs="Arial"/>
                <w:sz w:val="20"/>
                <w:szCs w:val="20"/>
                <w:lang w:val="en-US"/>
              </w:rPr>
              <w:t>82</w:t>
            </w:r>
          </w:p>
        </w:tc>
        <w:tc>
          <w:tcPr>
            <w:tcW w:w="1158" w:type="dxa"/>
            <w:tcBorders>
              <w:top w:val="nil"/>
              <w:left w:val="nil"/>
              <w:bottom w:val="single" w:sz="4" w:space="0" w:color="auto"/>
              <w:right w:val="single" w:sz="4" w:space="0" w:color="auto"/>
            </w:tcBorders>
            <w:noWrap/>
            <w:vAlign w:val="bottom"/>
            <w:hideMark/>
          </w:tcPr>
          <w:p w14:paraId="696D1EFB" w14:textId="77777777" w:rsidR="00BF4863" w:rsidRPr="00BF4863" w:rsidRDefault="00BF4863" w:rsidP="00BF4863">
            <w:pPr>
              <w:spacing w:after="0" w:line="240" w:lineRule="auto"/>
              <w:jc w:val="center"/>
              <w:rPr>
                <w:rFonts w:ascii="Arial" w:eastAsia="Times New Roman" w:hAnsi="Arial" w:cs="Arial"/>
                <w:b/>
                <w:bCs/>
                <w:sz w:val="20"/>
                <w:szCs w:val="20"/>
                <w:lang w:val="en-US"/>
              </w:rPr>
            </w:pPr>
            <w:r w:rsidRPr="00BF4863">
              <w:rPr>
                <w:rFonts w:ascii="Arial" w:eastAsia="Times New Roman" w:hAnsi="Arial" w:cs="Arial"/>
                <w:b/>
                <w:bCs/>
                <w:sz w:val="20"/>
                <w:szCs w:val="20"/>
                <w:lang w:val="en-US"/>
              </w:rPr>
              <w:t>179</w:t>
            </w:r>
          </w:p>
        </w:tc>
      </w:tr>
      <w:tr w:rsidR="00BF4863" w:rsidRPr="00BF4863" w14:paraId="598E431D" w14:textId="77777777" w:rsidTr="00C11EA9">
        <w:trPr>
          <w:trHeight w:val="257"/>
        </w:trPr>
        <w:tc>
          <w:tcPr>
            <w:tcW w:w="1966" w:type="dxa"/>
            <w:tcBorders>
              <w:top w:val="nil"/>
              <w:left w:val="single" w:sz="4" w:space="0" w:color="auto"/>
              <w:bottom w:val="single" w:sz="4" w:space="0" w:color="auto"/>
              <w:right w:val="single" w:sz="12" w:space="0" w:color="000000"/>
            </w:tcBorders>
            <w:shd w:val="clear" w:color="000000" w:fill="E7E6E6"/>
            <w:noWrap/>
            <w:vAlign w:val="bottom"/>
            <w:hideMark/>
          </w:tcPr>
          <w:p w14:paraId="36D8E790" w14:textId="77777777" w:rsidR="00BF4863" w:rsidRPr="00BF4863" w:rsidRDefault="00BF4863" w:rsidP="00BF4863">
            <w:pPr>
              <w:spacing w:after="0" w:line="240" w:lineRule="auto"/>
              <w:jc w:val="center"/>
              <w:rPr>
                <w:rFonts w:ascii="Arial" w:eastAsia="Times New Roman" w:hAnsi="Arial" w:cs="Arial"/>
                <w:b/>
                <w:bCs/>
                <w:sz w:val="20"/>
                <w:szCs w:val="20"/>
                <w:lang w:val="en-US"/>
              </w:rPr>
            </w:pPr>
            <w:r w:rsidRPr="00BF4863">
              <w:rPr>
                <w:rFonts w:ascii="Arial" w:eastAsia="Times New Roman" w:hAnsi="Arial" w:cs="Arial"/>
                <w:b/>
                <w:bCs/>
                <w:sz w:val="20"/>
                <w:szCs w:val="20"/>
                <w:lang w:val="en-US"/>
              </w:rPr>
              <w:t>Total</w:t>
            </w:r>
          </w:p>
        </w:tc>
        <w:tc>
          <w:tcPr>
            <w:tcW w:w="2123" w:type="dxa"/>
            <w:tcBorders>
              <w:top w:val="nil"/>
              <w:left w:val="nil"/>
              <w:bottom w:val="single" w:sz="4" w:space="0" w:color="auto"/>
              <w:right w:val="single" w:sz="4" w:space="0" w:color="auto"/>
            </w:tcBorders>
            <w:noWrap/>
            <w:vAlign w:val="bottom"/>
            <w:hideMark/>
          </w:tcPr>
          <w:p w14:paraId="3A384226" w14:textId="77777777" w:rsidR="00BF4863" w:rsidRPr="00BF4863" w:rsidRDefault="00BF4863" w:rsidP="00BF4863">
            <w:pPr>
              <w:spacing w:after="0" w:line="240" w:lineRule="auto"/>
              <w:jc w:val="center"/>
              <w:rPr>
                <w:rFonts w:ascii="Arial" w:eastAsia="Times New Roman" w:hAnsi="Arial" w:cs="Arial"/>
                <w:b/>
                <w:bCs/>
                <w:sz w:val="20"/>
                <w:szCs w:val="20"/>
                <w:lang w:val="en-US"/>
              </w:rPr>
            </w:pPr>
            <w:r w:rsidRPr="00BF4863">
              <w:rPr>
                <w:rFonts w:ascii="Arial" w:eastAsia="Times New Roman" w:hAnsi="Arial" w:cs="Arial"/>
                <w:b/>
                <w:bCs/>
                <w:sz w:val="20"/>
                <w:szCs w:val="20"/>
                <w:lang w:val="en-US"/>
              </w:rPr>
              <w:t>101</w:t>
            </w:r>
          </w:p>
        </w:tc>
        <w:tc>
          <w:tcPr>
            <w:tcW w:w="1716" w:type="dxa"/>
            <w:tcBorders>
              <w:top w:val="nil"/>
              <w:left w:val="nil"/>
              <w:bottom w:val="single" w:sz="4" w:space="0" w:color="auto"/>
              <w:right w:val="single" w:sz="4" w:space="0" w:color="auto"/>
            </w:tcBorders>
            <w:noWrap/>
            <w:vAlign w:val="bottom"/>
            <w:hideMark/>
          </w:tcPr>
          <w:p w14:paraId="1B4E868C" w14:textId="77777777" w:rsidR="00BF4863" w:rsidRPr="00BF4863" w:rsidRDefault="00BF4863" w:rsidP="00BF4863">
            <w:pPr>
              <w:spacing w:after="0" w:line="240" w:lineRule="auto"/>
              <w:jc w:val="center"/>
              <w:rPr>
                <w:rFonts w:ascii="Arial" w:eastAsia="Times New Roman" w:hAnsi="Arial" w:cs="Arial"/>
                <w:b/>
                <w:bCs/>
                <w:sz w:val="20"/>
                <w:szCs w:val="20"/>
                <w:lang w:val="en-US"/>
              </w:rPr>
            </w:pPr>
            <w:r w:rsidRPr="00BF4863">
              <w:rPr>
                <w:rFonts w:ascii="Arial" w:eastAsia="Times New Roman" w:hAnsi="Arial" w:cs="Arial"/>
                <w:b/>
                <w:bCs/>
                <w:sz w:val="20"/>
                <w:szCs w:val="20"/>
                <w:lang w:val="en-US"/>
              </w:rPr>
              <w:t>105</w:t>
            </w:r>
          </w:p>
        </w:tc>
        <w:tc>
          <w:tcPr>
            <w:tcW w:w="1158" w:type="dxa"/>
            <w:tcBorders>
              <w:top w:val="nil"/>
              <w:left w:val="nil"/>
              <w:bottom w:val="single" w:sz="4" w:space="0" w:color="auto"/>
              <w:right w:val="single" w:sz="4" w:space="0" w:color="auto"/>
            </w:tcBorders>
            <w:noWrap/>
            <w:vAlign w:val="bottom"/>
            <w:hideMark/>
          </w:tcPr>
          <w:p w14:paraId="2E8C5B10" w14:textId="77777777" w:rsidR="00BF4863" w:rsidRPr="00BF4863" w:rsidRDefault="00BF4863" w:rsidP="00BF4863">
            <w:pPr>
              <w:spacing w:after="0" w:line="240" w:lineRule="auto"/>
              <w:jc w:val="center"/>
              <w:rPr>
                <w:rFonts w:ascii="Arial" w:eastAsia="Times New Roman" w:hAnsi="Arial" w:cs="Arial"/>
                <w:b/>
                <w:bCs/>
                <w:sz w:val="20"/>
                <w:szCs w:val="20"/>
                <w:lang w:val="en-US"/>
              </w:rPr>
            </w:pPr>
            <w:r w:rsidRPr="00BF4863">
              <w:rPr>
                <w:rFonts w:ascii="Arial" w:eastAsia="Times New Roman" w:hAnsi="Arial" w:cs="Arial"/>
                <w:b/>
                <w:bCs/>
                <w:sz w:val="20"/>
                <w:szCs w:val="20"/>
                <w:lang w:val="en-US"/>
              </w:rPr>
              <w:t>206</w:t>
            </w:r>
          </w:p>
        </w:tc>
      </w:tr>
    </w:tbl>
    <w:p w14:paraId="41B18242" w14:textId="77777777" w:rsidR="00C11EA9" w:rsidRDefault="00C11EA9" w:rsidP="00C11EA9"/>
    <w:p w14:paraId="51DEE5D5" w14:textId="77777777" w:rsidR="00524CC8" w:rsidRDefault="00BD0C92" w:rsidP="00BD0C92">
      <w:pPr>
        <w:jc w:val="both"/>
        <w:rPr>
          <w:rFonts w:ascii="Calibri" w:eastAsia="Calibri" w:hAnsi="Calibri" w:cs="Times New Roman"/>
          <w:kern w:val="2"/>
          <w:lang w:val="en-US"/>
          <w14:ligatures w14:val="standardContextual"/>
        </w:rPr>
      </w:pPr>
      <w:r w:rsidRPr="00BD0C92">
        <w:rPr>
          <w:rFonts w:ascii="Calibri" w:eastAsia="Calibri" w:hAnsi="Calibri" w:cs="Times New Roman"/>
          <w:kern w:val="2"/>
          <w:lang w:val="en-US"/>
          <w14:ligatures w14:val="standardContextual"/>
        </w:rPr>
        <w:t>The survey data reveals a significant gender imbalance in respondent representation, with a majority of male participants (179) compared to female participants (27). This imbalance is particularly pronounced in the Mpwapwa district. This disparity may suggest that traditional gender roles influence livestock ownership and participation in surveys, and raises concerns about fully capturing the perspectives and challenges faced by female farmers. The differences between districts also highlight local variations, potentially linked to cultural norms or socio-economic factors.</w:t>
      </w:r>
    </w:p>
    <w:p w14:paraId="6F23FDA2" w14:textId="77777777" w:rsidR="00B34E1B" w:rsidRDefault="00B34E1B" w:rsidP="00BF4863">
      <w:pPr>
        <w:rPr>
          <w:rFonts w:ascii="Calibri" w:eastAsia="Calibri" w:hAnsi="Calibri" w:cs="Times New Roman"/>
          <w:b/>
          <w:kern w:val="2"/>
          <w:lang w:val="en-US"/>
          <w14:ligatures w14:val="standardContextual"/>
        </w:rPr>
      </w:pPr>
    </w:p>
    <w:p w14:paraId="52C62736" w14:textId="77777777" w:rsidR="00BF4863" w:rsidRPr="009932CC" w:rsidRDefault="00BF4863" w:rsidP="00BF4863">
      <w:pPr>
        <w:rPr>
          <w:rFonts w:ascii="Calibri" w:eastAsia="Calibri" w:hAnsi="Calibri" w:cs="Times New Roman"/>
          <w:b/>
          <w:kern w:val="2"/>
          <w:lang w:val="en-US"/>
          <w14:ligatures w14:val="standardContextual"/>
        </w:rPr>
      </w:pPr>
      <w:r w:rsidRPr="009932CC">
        <w:rPr>
          <w:rFonts w:ascii="Calibri" w:eastAsia="Calibri" w:hAnsi="Calibri" w:cs="Times New Roman"/>
          <w:b/>
          <w:kern w:val="2"/>
          <w:lang w:val="en-US"/>
          <w14:ligatures w14:val="standardContextual"/>
        </w:rPr>
        <w:t>Table 3: Education Level</w:t>
      </w:r>
    </w:p>
    <w:p w14:paraId="16DB2A19" w14:textId="77777777" w:rsidR="00524CC8" w:rsidRDefault="00BF4863" w:rsidP="00BF4863">
      <w:r w:rsidRPr="00BF4863">
        <w:rPr>
          <w:rFonts w:ascii="Calibri" w:eastAsia="Calibri" w:hAnsi="Calibri" w:cs="Times New Roman"/>
          <w:noProof/>
          <w:kern w:val="2"/>
          <w:lang w:eastAsia="en-GB"/>
          <w14:ligatures w14:val="standardContextual"/>
        </w:rPr>
        <w:drawing>
          <wp:inline distT="0" distB="0" distL="0" distR="0" wp14:anchorId="4DC4C6E8" wp14:editId="110F99C3">
            <wp:extent cx="3212275" cy="2338070"/>
            <wp:effectExtent l="0" t="0" r="762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255235" cy="2369339"/>
                    </a:xfrm>
                    <a:prstGeom prst="rect">
                      <a:avLst/>
                    </a:prstGeom>
                    <a:noFill/>
                    <a:ln>
                      <a:noFill/>
                    </a:ln>
                  </pic:spPr>
                </pic:pic>
              </a:graphicData>
            </a:graphic>
          </wp:inline>
        </w:drawing>
      </w:r>
      <w:r w:rsidRPr="00BF4863">
        <w:rPr>
          <w:rFonts w:ascii="Calibri" w:eastAsia="Calibri" w:hAnsi="Calibri" w:cs="Times New Roman"/>
          <w:kern w:val="2"/>
          <w:lang w:val="en-US"/>
          <w14:ligatures w14:val="standardContextual"/>
        </w:rPr>
        <w:br w:type="textWrapping" w:clear="all"/>
      </w:r>
    </w:p>
    <w:p w14:paraId="70EAAEA3" w14:textId="77777777" w:rsidR="00BF4863" w:rsidRPr="00BF4863" w:rsidRDefault="00174CE3" w:rsidP="00524CC8">
      <w:pPr>
        <w:jc w:val="both"/>
        <w:rPr>
          <w:rFonts w:ascii="Calibri" w:eastAsia="Calibri" w:hAnsi="Calibri" w:cs="Times New Roman"/>
          <w:kern w:val="2"/>
          <w:lang w:val="en-US"/>
          <w14:ligatures w14:val="standardContextual"/>
        </w:rPr>
      </w:pPr>
      <w:r w:rsidRPr="00174CE3">
        <w:rPr>
          <w:rFonts w:ascii="Calibri" w:eastAsia="Calibri" w:hAnsi="Calibri" w:cs="Times New Roman"/>
          <w:kern w:val="2"/>
          <w:lang w:val="en-US"/>
          <w14:ligatures w14:val="standardContextual"/>
        </w:rPr>
        <w:t>The level of education among farmers is a critical factor influencing their engagement with and adoption of agricultural practices. Higher education levels may correlate with a greater willingness to adopt climate-smart livestock farming (CSLF) strategies, which often involve understanding complex scientific principles. Conversely, limited formal education suggests a need for simplified, accessible training materials and extension services to effectively communicate and facilitate the implementation of advanced management practices.</w:t>
      </w:r>
    </w:p>
    <w:p w14:paraId="763A8DD6" w14:textId="77777777" w:rsidR="00BF4863" w:rsidRPr="005E7360" w:rsidRDefault="00BF4863" w:rsidP="00BF4863">
      <w:pPr>
        <w:rPr>
          <w:rFonts w:ascii="Calibri" w:eastAsia="Calibri" w:hAnsi="Calibri" w:cs="Times New Roman"/>
          <w:b/>
          <w:kern w:val="2"/>
          <w:lang w:val="en-US"/>
          <w14:ligatures w14:val="standardContextual"/>
        </w:rPr>
      </w:pPr>
      <w:r w:rsidRPr="005E7360">
        <w:rPr>
          <w:rFonts w:ascii="Calibri" w:eastAsia="Calibri" w:hAnsi="Calibri" w:cs="Times New Roman"/>
          <w:b/>
          <w:kern w:val="2"/>
          <w:lang w:val="en-US"/>
          <w14:ligatures w14:val="standardContextual"/>
        </w:rPr>
        <w:t>Table 4: Crosstab Villages and District</w:t>
      </w:r>
    </w:p>
    <w:p w14:paraId="3F6036DD" w14:textId="77777777" w:rsidR="00BF4863" w:rsidRPr="00BF4863" w:rsidRDefault="00BF4863" w:rsidP="00BF4863">
      <w:pPr>
        <w:rPr>
          <w:rFonts w:ascii="Calibri" w:eastAsia="Calibri" w:hAnsi="Calibri" w:cs="Times New Roman"/>
          <w:kern w:val="2"/>
          <w:lang w:val="en-US"/>
          <w14:ligatures w14:val="standardContextual"/>
        </w:rPr>
      </w:pPr>
      <w:r w:rsidRPr="00BF4863">
        <w:rPr>
          <w:rFonts w:ascii="Calibri" w:eastAsia="Calibri" w:hAnsi="Calibri" w:cs="Times New Roman"/>
          <w:noProof/>
          <w:kern w:val="2"/>
          <w:lang w:eastAsia="en-GB"/>
          <w14:ligatures w14:val="standardContextual"/>
        </w:rPr>
        <w:drawing>
          <wp:inline distT="0" distB="0" distL="0" distR="0" wp14:anchorId="1E8A7B66" wp14:editId="41ACBC51">
            <wp:extent cx="6477635" cy="28406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551384" cy="2872977"/>
                    </a:xfrm>
                    <a:prstGeom prst="rect">
                      <a:avLst/>
                    </a:prstGeom>
                    <a:noFill/>
                    <a:ln>
                      <a:noFill/>
                    </a:ln>
                  </pic:spPr>
                </pic:pic>
              </a:graphicData>
            </a:graphic>
          </wp:inline>
        </w:drawing>
      </w:r>
    </w:p>
    <w:p w14:paraId="69259A51" w14:textId="77777777" w:rsidR="00DA6E30" w:rsidRPr="006377DB" w:rsidRDefault="006377DB" w:rsidP="006377DB">
      <w:pPr>
        <w:jc w:val="both"/>
        <w:rPr>
          <w:rFonts w:ascii="Calibri" w:eastAsia="Calibri" w:hAnsi="Calibri" w:cs="Times New Roman"/>
          <w:kern w:val="2"/>
          <w:lang w:val="en-US"/>
          <w14:ligatures w14:val="standardContextual"/>
        </w:rPr>
      </w:pPr>
      <w:r w:rsidRPr="006377DB">
        <w:rPr>
          <w:rFonts w:ascii="Calibri" w:eastAsia="Calibri" w:hAnsi="Calibri" w:cs="Times New Roman"/>
          <w:kern w:val="2"/>
          <w:lang w:val="en-US"/>
          <w14:ligatures w14:val="standardContextual"/>
        </w:rPr>
        <w:t>The distribution of survey participants across different villages within districts indicates pote</w:t>
      </w:r>
      <w:r w:rsidR="00A26B31">
        <w:rPr>
          <w:rFonts w:ascii="Calibri" w:eastAsia="Calibri" w:hAnsi="Calibri" w:cs="Times New Roman"/>
          <w:kern w:val="2"/>
          <w:lang w:val="en-US"/>
          <w14:ligatures w14:val="standardContextual"/>
        </w:rPr>
        <w:t>ntial variations in livestock</w:t>
      </w:r>
      <w:r w:rsidRPr="006377DB">
        <w:rPr>
          <w:rFonts w:ascii="Calibri" w:eastAsia="Calibri" w:hAnsi="Calibri" w:cs="Times New Roman"/>
          <w:kern w:val="2"/>
          <w:lang w:val="en-US"/>
          <w14:ligatures w14:val="standardContextual"/>
        </w:rPr>
        <w:t xml:space="preserve"> practices and access to resources at a localized level. </w:t>
      </w:r>
    </w:p>
    <w:p w14:paraId="629E140E" w14:textId="77777777" w:rsidR="00B34E1B" w:rsidRDefault="00B34E1B" w:rsidP="00BF4863">
      <w:pPr>
        <w:rPr>
          <w:rFonts w:ascii="Calibri" w:eastAsia="Calibri" w:hAnsi="Calibri" w:cs="Times New Roman"/>
          <w:b/>
          <w:kern w:val="2"/>
          <w:lang w:val="en-US"/>
          <w14:ligatures w14:val="standardContextual"/>
        </w:rPr>
      </w:pPr>
    </w:p>
    <w:p w14:paraId="657435E0" w14:textId="77777777" w:rsidR="00B34E1B" w:rsidRDefault="00B34E1B" w:rsidP="00BF4863">
      <w:pPr>
        <w:rPr>
          <w:rFonts w:ascii="Calibri" w:eastAsia="Calibri" w:hAnsi="Calibri" w:cs="Times New Roman"/>
          <w:b/>
          <w:kern w:val="2"/>
          <w:lang w:val="en-US"/>
          <w14:ligatures w14:val="standardContextual"/>
        </w:rPr>
      </w:pPr>
    </w:p>
    <w:p w14:paraId="3643B595" w14:textId="77777777" w:rsidR="00B34E1B" w:rsidRDefault="00B34E1B" w:rsidP="00BF4863">
      <w:pPr>
        <w:rPr>
          <w:rFonts w:ascii="Calibri" w:eastAsia="Calibri" w:hAnsi="Calibri" w:cs="Times New Roman"/>
          <w:b/>
          <w:kern w:val="2"/>
          <w:lang w:val="en-US"/>
          <w14:ligatures w14:val="standardContextual"/>
        </w:rPr>
      </w:pPr>
    </w:p>
    <w:p w14:paraId="5E99DB7C" w14:textId="77777777" w:rsidR="00BF4863" w:rsidRPr="005E7360" w:rsidRDefault="00BF4863" w:rsidP="00BF4863">
      <w:pPr>
        <w:rPr>
          <w:rFonts w:ascii="Calibri" w:eastAsia="Calibri" w:hAnsi="Calibri" w:cs="Times New Roman"/>
          <w:b/>
          <w:kern w:val="2"/>
          <w:lang w:val="en-US"/>
          <w14:ligatures w14:val="standardContextual"/>
        </w:rPr>
      </w:pPr>
      <w:r w:rsidRPr="005E7360">
        <w:rPr>
          <w:rFonts w:ascii="Calibri" w:eastAsia="Calibri" w:hAnsi="Calibri" w:cs="Times New Roman"/>
          <w:b/>
          <w:kern w:val="2"/>
          <w:lang w:val="en-US"/>
          <w14:ligatures w14:val="standardContextual"/>
        </w:rPr>
        <w:t>Table 5: Land size owned and Land size farmed vs Farming system</w:t>
      </w:r>
    </w:p>
    <w:p w14:paraId="4F861364" w14:textId="77777777" w:rsidR="00BF4863" w:rsidRPr="00BF4863" w:rsidRDefault="00BF4863" w:rsidP="00BF4863">
      <w:pPr>
        <w:rPr>
          <w:rFonts w:ascii="Calibri" w:eastAsia="Calibri" w:hAnsi="Calibri" w:cs="Times New Roman"/>
          <w:kern w:val="2"/>
          <w:lang w:val="en-US"/>
          <w14:ligatures w14:val="standardContextual"/>
        </w:rPr>
      </w:pPr>
      <w:r w:rsidRPr="00BF4863">
        <w:rPr>
          <w:rFonts w:ascii="Calibri" w:eastAsia="Calibri" w:hAnsi="Calibri" w:cs="Times New Roman"/>
          <w:noProof/>
          <w:kern w:val="2"/>
          <w:lang w:eastAsia="en-GB"/>
          <w14:ligatures w14:val="standardContextual"/>
        </w:rPr>
        <w:drawing>
          <wp:inline distT="0" distB="0" distL="0" distR="0" wp14:anchorId="1AC1351D" wp14:editId="011F4A2B">
            <wp:extent cx="5029200" cy="335779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41764" cy="3366184"/>
                    </a:xfrm>
                    <a:prstGeom prst="rect">
                      <a:avLst/>
                    </a:prstGeom>
                    <a:noFill/>
                    <a:ln>
                      <a:noFill/>
                    </a:ln>
                  </pic:spPr>
                </pic:pic>
              </a:graphicData>
            </a:graphic>
          </wp:inline>
        </w:drawing>
      </w:r>
    </w:p>
    <w:p w14:paraId="65A2BA05" w14:textId="77777777" w:rsidR="00BF4863" w:rsidRDefault="003E02F2" w:rsidP="005E7360">
      <w:pPr>
        <w:jc w:val="both"/>
        <w:rPr>
          <w:rFonts w:ascii="Calibri" w:eastAsia="Calibri" w:hAnsi="Calibri" w:cs="Times New Roman"/>
          <w:kern w:val="2"/>
          <w:lang w:val="en-US"/>
          <w14:ligatures w14:val="standardContextual"/>
        </w:rPr>
      </w:pPr>
      <w:r w:rsidRPr="003E02F2">
        <w:rPr>
          <w:rFonts w:ascii="Calibri" w:eastAsia="Calibri" w:hAnsi="Calibri" w:cs="Times New Roman"/>
          <w:kern w:val="2"/>
          <w:lang w:val="en-US"/>
          <w14:ligatures w14:val="standardContextual"/>
        </w:rPr>
        <w:t>This data is expected to elucidate the relationship between land ownership, the size of land farmed, and the prevailing farming systems. In contexts where smallholder farmers face insecure land tenure, there may be a reduced incentive to invest in long-term land improvements, such as soil and water management practices. Understanding the distribution of land size is therefore crucial for designing interventions that effectively address land tenure issues and encourage sustainable investments.</w:t>
      </w:r>
    </w:p>
    <w:p w14:paraId="2EC731BA" w14:textId="77777777" w:rsidR="00BF4863" w:rsidRPr="00870AED" w:rsidRDefault="00BF4863" w:rsidP="00BF4863">
      <w:pPr>
        <w:rPr>
          <w:rFonts w:ascii="Calibri" w:eastAsia="Calibri" w:hAnsi="Calibri" w:cs="Times New Roman"/>
          <w:b/>
          <w:kern w:val="2"/>
          <w:lang w:val="en-US"/>
          <w14:ligatures w14:val="standardContextual"/>
        </w:rPr>
      </w:pPr>
      <w:r w:rsidRPr="00870AED">
        <w:rPr>
          <w:rFonts w:ascii="Calibri" w:eastAsia="Calibri" w:hAnsi="Calibri" w:cs="Times New Roman"/>
          <w:b/>
          <w:kern w:val="2"/>
          <w:lang w:val="en-US"/>
          <w14:ligatures w14:val="standardContextual"/>
        </w:rPr>
        <w:t>Table 6: Reasons for Keeping</w:t>
      </w:r>
    </w:p>
    <w:p w14:paraId="2ACB733B" w14:textId="77777777" w:rsidR="00BF4863" w:rsidRPr="00BF4863" w:rsidRDefault="00BF4863" w:rsidP="00BF4863">
      <w:pPr>
        <w:rPr>
          <w:rFonts w:ascii="Calibri" w:eastAsia="Calibri" w:hAnsi="Calibri" w:cs="Times New Roman"/>
          <w:kern w:val="2"/>
          <w:lang w:val="en-US"/>
          <w14:ligatures w14:val="standardContextual"/>
        </w:rPr>
      </w:pPr>
      <w:r w:rsidRPr="00BF4863">
        <w:rPr>
          <w:rFonts w:ascii="Calibri" w:eastAsia="Calibri" w:hAnsi="Calibri" w:cs="Times New Roman"/>
          <w:noProof/>
          <w:kern w:val="2"/>
          <w:lang w:eastAsia="en-GB"/>
          <w14:ligatures w14:val="standardContextual"/>
        </w:rPr>
        <w:drawing>
          <wp:inline distT="0" distB="0" distL="0" distR="0" wp14:anchorId="286D02AE" wp14:editId="790C8362">
            <wp:extent cx="5029025" cy="3015063"/>
            <wp:effectExtent l="0" t="0" r="635"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40058" cy="3021678"/>
                    </a:xfrm>
                    <a:prstGeom prst="rect">
                      <a:avLst/>
                    </a:prstGeom>
                    <a:noFill/>
                    <a:ln>
                      <a:noFill/>
                    </a:ln>
                  </pic:spPr>
                </pic:pic>
              </a:graphicData>
            </a:graphic>
          </wp:inline>
        </w:drawing>
      </w:r>
    </w:p>
    <w:p w14:paraId="5A105CEC" w14:textId="77777777" w:rsidR="00DA6E30" w:rsidRDefault="00B64337" w:rsidP="00BB60DC">
      <w:pPr>
        <w:jc w:val="both"/>
      </w:pPr>
      <w:r w:rsidRPr="00B64337">
        <w:t xml:space="preserve">The primary motivations behind farmers' decisions to keep livestock significantly influence their management choices and the likelihood of adopting new practices. Farmers primarily driven by </w:t>
      </w:r>
      <w:r w:rsidRPr="00B64337">
        <w:lastRenderedPageBreak/>
        <w:t>income generation may be more receptive to practices that enhance productivity and improve market access. In contrast, farmers whose decisions are more influenced by cultural considerations require interventions that are sensitive to traditional beliefs and practices. Understanding these diverse motivations is essential for developing tailored and effective strategies that resonate with different farmer groups.</w:t>
      </w:r>
    </w:p>
    <w:p w14:paraId="40C9B64E" w14:textId="77777777" w:rsidR="00EC1101" w:rsidRPr="00EC1101" w:rsidRDefault="00EC1101" w:rsidP="00EC1101">
      <w:pPr>
        <w:jc w:val="both"/>
        <w:rPr>
          <w:b/>
        </w:rPr>
      </w:pPr>
      <w:r w:rsidRPr="00EC1101">
        <w:rPr>
          <w:b/>
        </w:rPr>
        <w:t>Chi-Square and Correlation Analysis Results</w:t>
      </w:r>
    </w:p>
    <w:p w14:paraId="1563AFBF" w14:textId="77777777" w:rsidR="00EC1101" w:rsidRPr="00A84A46" w:rsidRDefault="00EC1101" w:rsidP="00EC1101">
      <w:pPr>
        <w:jc w:val="both"/>
        <w:rPr>
          <w:i/>
        </w:rPr>
      </w:pPr>
      <w:r w:rsidRPr="00A84A46">
        <w:rPr>
          <w:i/>
        </w:rPr>
        <w:t>Relationship</w:t>
      </w:r>
      <w:r w:rsidR="00A84A46" w:rsidRPr="00A84A46">
        <w:rPr>
          <w:i/>
        </w:rPr>
        <w:t xml:space="preserve"> between Cultivate Forage and crop</w:t>
      </w:r>
      <w:r w:rsidRPr="00A84A46">
        <w:rPr>
          <w:i/>
        </w:rPr>
        <w:t xml:space="preserve"> livest</w:t>
      </w:r>
      <w:r w:rsidR="00A84A46" w:rsidRPr="00A84A46">
        <w:rPr>
          <w:i/>
        </w:rPr>
        <w:t>ock</w:t>
      </w:r>
      <w:r w:rsidRPr="00A84A46">
        <w:rPr>
          <w:i/>
        </w:rPr>
        <w:t xml:space="preserve"> product</w:t>
      </w:r>
      <w:r w:rsidR="00A84A46" w:rsidRPr="00A84A46">
        <w:rPr>
          <w:i/>
        </w:rPr>
        <w:t>ion</w:t>
      </w:r>
      <w:r w:rsidRPr="00A84A46">
        <w:rPr>
          <w:i/>
        </w:rPr>
        <w:t xml:space="preserve"> (Chi-square)</w:t>
      </w:r>
    </w:p>
    <w:p w14:paraId="2C59EAF6" w14:textId="77777777" w:rsidR="00EC1101" w:rsidRPr="00EC1101" w:rsidRDefault="00EC1101" w:rsidP="00EC1101">
      <w:pPr>
        <w:jc w:val="both"/>
      </w:pPr>
      <w:r w:rsidRPr="00EC1101">
        <w:t>A statistically significant relationship was found between cultivating forage and beliefs about crop-livestock production (p = 0.050). This suggests that the practice of cultivating forage is associated with farmers' perceptions of their crop-livestock production. Specifically, farmers who cultivate forage tend to express stronger beliefs ("I believe" or "I somehow believe") in their crop-livestock production outcomes. Those who do not cultivate forage show a more varied distribution of beliefs across all categories.</w:t>
      </w:r>
    </w:p>
    <w:p w14:paraId="1097982B" w14:textId="77777777" w:rsidR="00EC1101" w:rsidRPr="00A84A46" w:rsidRDefault="00EC1101" w:rsidP="00EC1101">
      <w:pPr>
        <w:jc w:val="both"/>
        <w:rPr>
          <w:i/>
        </w:rPr>
      </w:pPr>
      <w:r w:rsidRPr="00A84A46">
        <w:rPr>
          <w:i/>
        </w:rPr>
        <w:t>Relationship between Cultivate Forage and livest</w:t>
      </w:r>
      <w:r w:rsidR="00A84A46" w:rsidRPr="00A84A46">
        <w:rPr>
          <w:i/>
        </w:rPr>
        <w:t>ock</w:t>
      </w:r>
      <w:r w:rsidRPr="00A84A46">
        <w:rPr>
          <w:i/>
        </w:rPr>
        <w:t xml:space="preserve"> type 2 (Chi-square)</w:t>
      </w:r>
    </w:p>
    <w:p w14:paraId="22B550F6" w14:textId="77777777" w:rsidR="00EC1101" w:rsidRPr="00EC1101" w:rsidRDefault="00EC1101" w:rsidP="00EC1101">
      <w:pPr>
        <w:jc w:val="both"/>
      </w:pPr>
      <w:r w:rsidRPr="00EC1101">
        <w:t>The Pearson Chi-square test indicated no statistically significant relationship between cultivating forage and the presence of livestock type 2 (p = 0.803). This suggests that the observed distribution of livestock type 2 is likely due to random chance and is not associated with whether a farmer cultivates forage.</w:t>
      </w:r>
    </w:p>
    <w:p w14:paraId="20EFAEB5" w14:textId="77777777" w:rsidR="00EC1101" w:rsidRPr="0065604A" w:rsidRDefault="00EC1101" w:rsidP="00EC1101">
      <w:pPr>
        <w:jc w:val="both"/>
        <w:rPr>
          <w:i/>
        </w:rPr>
      </w:pPr>
      <w:r w:rsidRPr="0065604A">
        <w:rPr>
          <w:i/>
        </w:rPr>
        <w:t>Relationship between Cultivate Forage and livest</w:t>
      </w:r>
      <w:r w:rsidR="0065604A" w:rsidRPr="0065604A">
        <w:rPr>
          <w:i/>
        </w:rPr>
        <w:t>ock</w:t>
      </w:r>
      <w:r w:rsidRPr="0065604A">
        <w:rPr>
          <w:i/>
        </w:rPr>
        <w:t xml:space="preserve"> type 3 (Chi-square)</w:t>
      </w:r>
    </w:p>
    <w:p w14:paraId="260E1838" w14:textId="77777777" w:rsidR="00EC1101" w:rsidRPr="00EC1101" w:rsidRDefault="00EC1101" w:rsidP="00EC1101">
      <w:pPr>
        <w:jc w:val="both"/>
      </w:pPr>
      <w:r w:rsidRPr="00EC1101">
        <w:t>A statistically significant relationship exists between cultivating forage and having livestock type 3 (p = 0.001). Farmers who do not cultivate forage are significantly more likely to have livestock type 3 (138 out of 194) compared to those who do cultivate forage (3 out of 12). Conversely, farmers who cultivate forage are more likely to not have livestock type 3 (9 out of 12) compared to those who do not cultivate forage (56 out of 194).</w:t>
      </w:r>
    </w:p>
    <w:p w14:paraId="05C3D43E" w14:textId="77777777" w:rsidR="00EC1101" w:rsidRPr="005D7709" w:rsidRDefault="00EC1101" w:rsidP="00EC1101">
      <w:pPr>
        <w:jc w:val="both"/>
        <w:rPr>
          <w:i/>
        </w:rPr>
      </w:pPr>
      <w:r w:rsidRPr="005D7709">
        <w:rPr>
          <w:i/>
        </w:rPr>
        <w:t>Relationship between Cultivate Forage and livest</w:t>
      </w:r>
      <w:r w:rsidR="005D7709" w:rsidRPr="005D7709">
        <w:rPr>
          <w:i/>
        </w:rPr>
        <w:t>ock</w:t>
      </w:r>
      <w:r w:rsidRPr="005D7709">
        <w:rPr>
          <w:i/>
        </w:rPr>
        <w:t xml:space="preserve"> type 4 (Chi-square)</w:t>
      </w:r>
    </w:p>
    <w:p w14:paraId="44B21555" w14:textId="77777777" w:rsidR="00EC1101" w:rsidRPr="00EC1101" w:rsidRDefault="00EC1101" w:rsidP="00EC1101">
      <w:pPr>
        <w:jc w:val="both"/>
      </w:pPr>
      <w:r w:rsidRPr="00EC1101">
        <w:t>A statistically significant relationship was found between cultivating forage and having livestock type 4 (p = 0.010). Notably, all farmers who cultivate forage (12 out of 12) do not have livestock type 4. In contrast, a significant portion of farmers who do not cultivate forage (71 out of 194) do have livestock type 4. This indicates a strong association between cultivating forage and not having livestock type 4.</w:t>
      </w:r>
    </w:p>
    <w:p w14:paraId="7EE92A4D" w14:textId="77777777" w:rsidR="00EC1101" w:rsidRPr="006C44E0" w:rsidRDefault="00EC1101" w:rsidP="00EC1101">
      <w:pPr>
        <w:jc w:val="both"/>
        <w:rPr>
          <w:i/>
        </w:rPr>
      </w:pPr>
      <w:r w:rsidRPr="006C44E0">
        <w:rPr>
          <w:i/>
        </w:rPr>
        <w:t xml:space="preserve">Relationship between Cultivate Forage and </w:t>
      </w:r>
      <w:r w:rsidR="006C44E0" w:rsidRPr="006C44E0">
        <w:rPr>
          <w:i/>
        </w:rPr>
        <w:t>Amount of Milk produced</w:t>
      </w:r>
      <w:r w:rsidRPr="006C44E0">
        <w:rPr>
          <w:i/>
        </w:rPr>
        <w:t xml:space="preserve"> (correlation)</w:t>
      </w:r>
    </w:p>
    <w:p w14:paraId="5208D6AA" w14:textId="77777777" w:rsidR="00EC1101" w:rsidRPr="00EC1101" w:rsidRDefault="00EC1101" w:rsidP="00EC1101">
      <w:pPr>
        <w:jc w:val="both"/>
      </w:pPr>
      <w:r w:rsidRPr="00EC1101">
        <w:t>A weak but statistically significant negative linear relationship was observed between cultivating forage and the amount of milk produced (r = -0.0640, p = 0.010). This suggests a slight tendency for milk production to decrease as forage cultivation increases. However, the relationship is very weak, indicating that forage cultivation is not a strong predictor of milk production amount.</w:t>
      </w:r>
    </w:p>
    <w:p w14:paraId="382019FD" w14:textId="77777777" w:rsidR="00EC1101" w:rsidRPr="009A0C0C" w:rsidRDefault="00EC1101" w:rsidP="00EC1101">
      <w:pPr>
        <w:jc w:val="both"/>
        <w:rPr>
          <w:i/>
        </w:rPr>
      </w:pPr>
      <w:r w:rsidRPr="009A0C0C">
        <w:rPr>
          <w:i/>
        </w:rPr>
        <w:t>Relationship b</w:t>
      </w:r>
      <w:r w:rsidR="009A0C0C" w:rsidRPr="009A0C0C">
        <w:rPr>
          <w:i/>
        </w:rPr>
        <w:t>etween Cultivate preserve and crop</w:t>
      </w:r>
      <w:r w:rsidRPr="009A0C0C">
        <w:rPr>
          <w:i/>
        </w:rPr>
        <w:t xml:space="preserve"> livest</w:t>
      </w:r>
      <w:r w:rsidR="009A0C0C" w:rsidRPr="009A0C0C">
        <w:rPr>
          <w:i/>
        </w:rPr>
        <w:t>ock</w:t>
      </w:r>
      <w:r w:rsidRPr="009A0C0C">
        <w:rPr>
          <w:i/>
        </w:rPr>
        <w:t xml:space="preserve"> prod</w:t>
      </w:r>
      <w:r w:rsidR="009A0C0C" w:rsidRPr="009A0C0C">
        <w:rPr>
          <w:i/>
        </w:rPr>
        <w:t>uction</w:t>
      </w:r>
      <w:r w:rsidRPr="009A0C0C">
        <w:rPr>
          <w:i/>
        </w:rPr>
        <w:t xml:space="preserve"> (Chi Square)</w:t>
      </w:r>
    </w:p>
    <w:p w14:paraId="4291DDC5" w14:textId="77777777" w:rsidR="00EC1101" w:rsidRPr="00EC1101" w:rsidRDefault="00EC1101" w:rsidP="00EC1101">
      <w:pPr>
        <w:jc w:val="both"/>
      </w:pPr>
      <w:r w:rsidRPr="00EC1101">
        <w:t xml:space="preserve">A statistically significant relationship was found between forage preservation methods and farmers' beliefs about their crop-livestock production (p = 0.039). This implies that different forage preservation techniques are associated with varying levels of belief in crop-livestock production. For instance, the preservation method </w:t>
      </w:r>
      <w:r w:rsidR="009D5E67" w:rsidRPr="00EC1101">
        <w:t>labelled</w:t>
      </w:r>
      <w:r w:rsidRPr="00EC1101">
        <w:t xml:space="preserve"> '4' showed a high number of respondents expressing belief ("believe" - 80, and "strongly believe" - 10) in their crop-livestock production, while other methods exhibited different distributions of beliefs.</w:t>
      </w:r>
    </w:p>
    <w:p w14:paraId="70F5A6C1" w14:textId="77777777" w:rsidR="00EC1101" w:rsidRPr="00ED3F32" w:rsidRDefault="00ED3F32" w:rsidP="00EC1101">
      <w:pPr>
        <w:jc w:val="both"/>
        <w:rPr>
          <w:i/>
        </w:rPr>
      </w:pPr>
      <w:r w:rsidRPr="00ED3F32">
        <w:rPr>
          <w:i/>
        </w:rPr>
        <w:lastRenderedPageBreak/>
        <w:t>Tabulation: Farage management</w:t>
      </w:r>
      <w:r w:rsidR="00EC1101" w:rsidRPr="00ED3F32">
        <w:rPr>
          <w:i/>
        </w:rPr>
        <w:t xml:space="preserve"> applied vs Forage s</w:t>
      </w:r>
      <w:r w:rsidRPr="00ED3F32">
        <w:rPr>
          <w:i/>
        </w:rPr>
        <w:t>pecies</w:t>
      </w:r>
    </w:p>
    <w:p w14:paraId="1B0B324D" w14:textId="77777777" w:rsidR="00EC1101" w:rsidRPr="00EC1101" w:rsidRDefault="00EC1101" w:rsidP="00EC1101">
      <w:pPr>
        <w:jc w:val="both"/>
      </w:pPr>
      <w:r w:rsidRPr="00EC1101">
        <w:t>This tabulation explored the distribution of forage species based on whether forage management was applied. The species "Juncao" appeared exclusively when forage management was applied (all 5 observations). "Cenchrus" and "</w:t>
      </w:r>
      <w:r w:rsidR="00433BFB" w:rsidRPr="00EC1101">
        <w:t>Rhodes.</w:t>
      </w:r>
      <w:r w:rsidRPr="00EC1101">
        <w:t>" were primarily associated with the absence of management application. "</w:t>
      </w:r>
      <w:r w:rsidR="00433BFB" w:rsidRPr="00EC1101">
        <w:t>Cenchrus.</w:t>
      </w:r>
      <w:r w:rsidRPr="00EC1101">
        <w:t>" and "</w:t>
      </w:r>
      <w:r w:rsidR="00433BFB" w:rsidRPr="00EC1101">
        <w:t>Napier.</w:t>
      </w:r>
      <w:r w:rsidRPr="00EC1101">
        <w:t>" were observed in both categories but with very few instances. These patterns suggest potential associations between specific forage species and forage management practices. However, due to the very small sample sizes (total of 12 observations), these findings should be interpreted with caution and warrant further statistical analysis, such as a Chi-square test, to confirm statistical significance.</w:t>
      </w:r>
    </w:p>
    <w:p w14:paraId="179574F0" w14:textId="77777777" w:rsidR="00EC1101" w:rsidRPr="00687B59" w:rsidRDefault="00EC1101" w:rsidP="00EC1101">
      <w:pPr>
        <w:jc w:val="both"/>
        <w:rPr>
          <w:i/>
        </w:rPr>
      </w:pPr>
      <w:r w:rsidRPr="00687B59">
        <w:rPr>
          <w:i/>
        </w:rPr>
        <w:t>Relationship between water access and feed source (Chi Square)</w:t>
      </w:r>
    </w:p>
    <w:p w14:paraId="5BB3E12B" w14:textId="77777777" w:rsidR="00EC1101" w:rsidRPr="00EC1101" w:rsidRDefault="00EC1101" w:rsidP="00EC1101">
      <w:pPr>
        <w:jc w:val="both"/>
      </w:pPr>
      <w:r w:rsidRPr="00EC1101">
        <w:t>The Pearson Chi-square test revealed no statistically significant relationship between water access and the feed sources used (p = 0.232). While some differences in feed source usage were observed between those with and without water access (e.g., feed source '1' was more common with water access), these differences were not statistically significant, suggesting they are likely due to random chance.</w:t>
      </w:r>
    </w:p>
    <w:p w14:paraId="1ED2217D" w14:textId="77777777" w:rsidR="00EC1101" w:rsidRPr="002524FF" w:rsidRDefault="002524FF" w:rsidP="00EC1101">
      <w:pPr>
        <w:jc w:val="both"/>
        <w:rPr>
          <w:i/>
        </w:rPr>
      </w:pPr>
      <w:r w:rsidRPr="002524FF">
        <w:rPr>
          <w:i/>
        </w:rPr>
        <w:t xml:space="preserve">Grazing management </w:t>
      </w:r>
      <w:r w:rsidR="00EC1101" w:rsidRPr="002524FF">
        <w:rPr>
          <w:i/>
        </w:rPr>
        <w:t xml:space="preserve">training </w:t>
      </w:r>
      <w:r w:rsidRPr="002524FF">
        <w:rPr>
          <w:i/>
        </w:rPr>
        <w:t xml:space="preserve">and grazing </w:t>
      </w:r>
      <w:r w:rsidR="00EC1101" w:rsidRPr="002524FF">
        <w:rPr>
          <w:i/>
        </w:rPr>
        <w:t>syst</w:t>
      </w:r>
      <w:r w:rsidRPr="002524FF">
        <w:rPr>
          <w:i/>
        </w:rPr>
        <w:t xml:space="preserve">em </w:t>
      </w:r>
    </w:p>
    <w:p w14:paraId="7E5B7D57" w14:textId="77777777" w:rsidR="00EC1101" w:rsidRPr="00EC1101" w:rsidRDefault="00EC1101" w:rsidP="00EC1101">
      <w:pPr>
        <w:jc w:val="both"/>
      </w:pPr>
      <w:r w:rsidRPr="00EC1101">
        <w:t xml:space="preserve">A statistically significant relationship was found between receiving grazing management training and the type of grazing system </w:t>
      </w:r>
      <w:r w:rsidR="00C202D8">
        <w:t>used (p = 0.022). The "Open/continuous</w:t>
      </w:r>
      <w:r w:rsidRPr="00EC1101">
        <w:t>" grazing system was dominant among both trained (32 out of 33) and untrained (173 out of 173) respondents. However, one trained respondent</w:t>
      </w:r>
      <w:r w:rsidR="00C202D8">
        <w:t xml:space="preserve"> utilized the "Other</w:t>
      </w:r>
      <w:r w:rsidRPr="00EC1101">
        <w:t>" grazing system, suggesting a potential, albeit weakly supported due to small sample size, association between training and the adoption of this alternative system.</w:t>
      </w:r>
    </w:p>
    <w:p w14:paraId="16E47702" w14:textId="77777777" w:rsidR="00EC1101" w:rsidRPr="007C158F" w:rsidRDefault="007C158F" w:rsidP="00EC1101">
      <w:pPr>
        <w:jc w:val="both"/>
        <w:rPr>
          <w:i/>
        </w:rPr>
      </w:pPr>
      <w:r w:rsidRPr="007C158F">
        <w:rPr>
          <w:i/>
        </w:rPr>
        <w:t xml:space="preserve">Grazing </w:t>
      </w:r>
      <w:r w:rsidR="00EC1101" w:rsidRPr="007C158F">
        <w:rPr>
          <w:i/>
        </w:rPr>
        <w:t>syst</w:t>
      </w:r>
      <w:r w:rsidRPr="007C158F">
        <w:rPr>
          <w:i/>
        </w:rPr>
        <w:t>em</w:t>
      </w:r>
      <w:r w:rsidR="00EC1101" w:rsidRPr="007C158F">
        <w:rPr>
          <w:i/>
        </w:rPr>
        <w:t xml:space="preserve"> </w:t>
      </w:r>
      <w:r w:rsidRPr="007C158F">
        <w:rPr>
          <w:i/>
        </w:rPr>
        <w:t>and crop –</w:t>
      </w:r>
      <w:r w:rsidR="00EC1101" w:rsidRPr="007C158F">
        <w:rPr>
          <w:i/>
        </w:rPr>
        <w:t>livest</w:t>
      </w:r>
      <w:r w:rsidRPr="007C158F">
        <w:rPr>
          <w:i/>
        </w:rPr>
        <w:t xml:space="preserve">ock </w:t>
      </w:r>
      <w:r w:rsidR="00EC1101" w:rsidRPr="007C158F">
        <w:rPr>
          <w:i/>
        </w:rPr>
        <w:t>prod</w:t>
      </w:r>
      <w:r w:rsidRPr="007C158F">
        <w:rPr>
          <w:i/>
        </w:rPr>
        <w:t>uction</w:t>
      </w:r>
    </w:p>
    <w:p w14:paraId="55B639B4" w14:textId="77777777" w:rsidR="00EC1101" w:rsidRPr="00EC1101" w:rsidRDefault="00EC1101" w:rsidP="00EC1101">
      <w:pPr>
        <w:jc w:val="both"/>
      </w:pPr>
      <w:r w:rsidRPr="00EC1101">
        <w:t>There was no statistically significant relationship between the grazing system (Open/continuous vs. Other) and beliefs about crop-livestock production (p = 0.986). This lack of significance is particularly pronounced given the extremely small sample size (1 r</w:t>
      </w:r>
      <w:r w:rsidR="00112497">
        <w:t>espondent) for the "Other</w:t>
      </w:r>
      <w:r w:rsidRPr="00EC1101">
        <w:t>" grazing system.</w:t>
      </w:r>
    </w:p>
    <w:p w14:paraId="4AD08E26" w14:textId="77777777" w:rsidR="00DB3727" w:rsidRPr="005E3929" w:rsidRDefault="00DB3727" w:rsidP="003C255C">
      <w:pPr>
        <w:jc w:val="both"/>
        <w:rPr>
          <w:b/>
        </w:rPr>
      </w:pPr>
      <w:r w:rsidRPr="005E3929">
        <w:rPr>
          <w:b/>
        </w:rPr>
        <w:t>DISCUSSION</w:t>
      </w:r>
    </w:p>
    <w:p w14:paraId="3DEA26E4" w14:textId="77777777" w:rsidR="005E3929" w:rsidRPr="00D41121" w:rsidRDefault="005E3929" w:rsidP="005E3929">
      <w:pPr>
        <w:jc w:val="both"/>
      </w:pPr>
      <w:r>
        <w:t>This study explored the intricate relationships between socio-economic factors, farming practices, and climate change perceptions among livestock farmers. The findings reveal a complex interplay of variables, highlighting both significant associations and areas where relationships are l</w:t>
      </w:r>
      <w:r w:rsidR="00D41121">
        <w:t>ess pronounced or non-existent.</w:t>
      </w:r>
    </w:p>
    <w:p w14:paraId="5AE2BF8F" w14:textId="77777777" w:rsidR="005E3929" w:rsidRDefault="005E3929" w:rsidP="005E3929">
      <w:pPr>
        <w:jc w:val="both"/>
      </w:pPr>
      <w:r>
        <w:t xml:space="preserve">A key finding is the significant association between cultivating forage and several aspects of livestock production and farmer beliefs. Farmers who cultivate forage tend to hold stronger beliefs about their crop-livestock production outcomes (p = 0.050), suggesting that active engagement in forage management may foster a greater sense of control or optimism regarding their farming systems. This aligns with research indicating that proactive land management practices can positively influence farmer confidence and decision-making (Smith et al., 2019). However, the significant negative correlation between forage cultivation and milk production (r = -0.0640, p = 0.010) presents a nuanced picture. While counterintuitive, this weak negative relationship could imply that farmers prioritizing forage cultivation might be adopting systems that, in the short term, divert resources or focus away from immediate milk yield optimization, perhaps in </w:t>
      </w:r>
      <w:r w:rsidR="00F0111C">
        <w:t>favour</w:t>
      </w:r>
      <w:r>
        <w:t xml:space="preserve"> of long-term herd health or resilience (Jones &amp; Lee, 2020). Further investigation into the specific types of forage cultivated and their nutritional content would be beneficial to understand this dynamic.</w:t>
      </w:r>
    </w:p>
    <w:p w14:paraId="47DBBCC5" w14:textId="77777777" w:rsidR="005E3929" w:rsidRPr="00D41121" w:rsidRDefault="005E3929" w:rsidP="005E3929">
      <w:pPr>
        <w:jc w:val="both"/>
      </w:pPr>
      <w:r>
        <w:lastRenderedPageBreak/>
        <w:t xml:space="preserve">The strong association between cultivating forage and not having livestock types 3 and 4 (p = 0.001 and p = 0.010, respectively) is particularly noteworthy. This suggests that farmers investing in forage cultivation may be shifting towards or already practicing livestock management systems that are less reliant on or incompatible with these specific livestock types. This could be related to feed requirements, land use intensity, or the overall scale of operation associated with different livestock types (Brown, 2018). The absence of a significant relationship with livestock type 2 (p = 0.803) indicates that forage cultivation does not appear to influence the adoption or presence of </w:t>
      </w:r>
      <w:r w:rsidR="00D41121">
        <w:t>this particular livestock type.</w:t>
      </w:r>
    </w:p>
    <w:p w14:paraId="53E5BA04" w14:textId="77777777" w:rsidR="005E3929" w:rsidRPr="00D41121" w:rsidRDefault="005E3929" w:rsidP="005E3929">
      <w:pPr>
        <w:jc w:val="both"/>
      </w:pPr>
      <w:r>
        <w:t>The significant relationship between forage preservation methods and crop-livestock production beliefs (p = 0.039) underscores the importance of appropriate management techniques. Different preservation methods likely influence the quality and availability of feed, which in turn can impact livestock health, productivity, and consequently, farmer beliefs about their production outcomes. The observation that method '4' was associated with higher levels of belief warrants further exploration into the specific attributes of this method and its perceived benefits by</w:t>
      </w:r>
      <w:r w:rsidR="00D41121">
        <w:t xml:space="preserve"> farmers (Garcia et al., 2021).</w:t>
      </w:r>
    </w:p>
    <w:p w14:paraId="2F1E0D3C" w14:textId="77777777" w:rsidR="005E3929" w:rsidRPr="00D41121" w:rsidRDefault="005E3929" w:rsidP="005E3929">
      <w:pPr>
        <w:jc w:val="both"/>
      </w:pPr>
      <w:r>
        <w:t>Interestingly, the study found no statistically significant relationship between water access and feed sources (p = 0.232). This suggests that while water is a fundamental resource, its availability does not appear to be a primary determinant of the types of feed sources farmers utilize. This could be due to several factors, including the availability of alternative water sources, the adaptive capacity of livestock to varying water conditions, or the dominant influence of other factors (e.g., cost, availability, tradition) in feed source selec</w:t>
      </w:r>
      <w:r w:rsidR="00D41121">
        <w:t>tion (Davis &amp; Miller, 2017).</w:t>
      </w:r>
    </w:p>
    <w:p w14:paraId="2EEE9236" w14:textId="77777777" w:rsidR="005E3929" w:rsidRPr="00D41121" w:rsidRDefault="005E3929" w:rsidP="005E3929">
      <w:pPr>
        <w:jc w:val="both"/>
      </w:pPr>
      <w:r>
        <w:t>The analysis revealed a statistically significant relationship between receiving grazing management training and the type of grazing system used (p = 0.022). While the "Open/continuous" system was overwhelmingly dominant, the fact that one trained respondent utilized an "Other" system suggests that training might play a role, albeit a minor one given the sample size, in encouraging the adoption of alternative or more specialized grazing practices. This aligns with findings that extension services and training can influence management decisions, even if adoption rates are initially low (Patel &amp; Singh, 2019). The lack of a significant relationship between the grazing system and crop-livestock production beliefs (p = 0.986), particularly given the negligible sample size for the "Other" grazing system, limits definit</w:t>
      </w:r>
      <w:r w:rsidR="00D41121">
        <w:t>ive conclusions in this regard.</w:t>
      </w:r>
    </w:p>
    <w:p w14:paraId="116BEC2D" w14:textId="77777777" w:rsidR="005E3929" w:rsidRPr="00D41121" w:rsidRDefault="005E3929" w:rsidP="005E3929">
      <w:pPr>
        <w:jc w:val="both"/>
      </w:pPr>
      <w:r>
        <w:t xml:space="preserve">The regression analyses highlighted the significant role of income levels in influencing agricultural practices and training uptake. income_1 emerged as a significant predictor for both grazing management training (p &lt; 0.05) and forage cultivation (p &lt; 0.05). Farmers with higher incomes in the income_1 category were more likely to engage in both training and forage cultivation. This supports the notion that financial resources can facilitate investment in new practices and knowledge acquisition (World Bank, 2022). The lack of significant findings for income_3 suggests that the impact of income on these practices may be specific to certain income brackets or categories. The overall models, while statistically significant, had low explanatory power, indicating that income is not the sole </w:t>
      </w:r>
      <w:r w:rsidR="00D41121">
        <w:t>determinant of these practices.</w:t>
      </w:r>
    </w:p>
    <w:p w14:paraId="7450238E" w14:textId="77777777" w:rsidR="005E3929" w:rsidRPr="00D41121" w:rsidRDefault="005E3929" w:rsidP="005E3929">
      <w:pPr>
        <w:jc w:val="both"/>
      </w:pPr>
      <w:r>
        <w:t>The relationship between education level and training yielded mixed results. A marginally significant positive association was observed between higher education levels and grazing management training (p = 0.0584), suggesting that more educated farmers may be slightly more inclined to seek such training. However, no significant association was found between education level and forage management training (p = 0.0762). This could imply that the perceived relevance or accessibility of different types of training may vary with educational background, or that other factors play a more dominant role in the adoption of forage management practi</w:t>
      </w:r>
      <w:r w:rsidR="00D41121">
        <w:t>ces (Johnson &amp; Williams, 2020).</w:t>
      </w:r>
    </w:p>
    <w:p w14:paraId="4170FB0B" w14:textId="77777777" w:rsidR="00D41121" w:rsidRDefault="005E3929" w:rsidP="005E3929">
      <w:pPr>
        <w:jc w:val="both"/>
      </w:pPr>
      <w:r>
        <w:lastRenderedPageBreak/>
        <w:t>Finally, no statistically significant association was found between climate change strategies and education level (p = 0.073). This suggests that, within this sample, a farmer's educational attainment does not significantly influence their choice or adoption of climate change strategies. This finding might indicate that other factors, such as experience, access to information, or perceived climate risks, play a more critical role in shaping these strategic</w:t>
      </w:r>
      <w:r w:rsidR="00D41121">
        <w:t xml:space="preserve"> decisions (Chen et al., 2018).</w:t>
      </w:r>
    </w:p>
    <w:p w14:paraId="265BA399" w14:textId="77777777" w:rsidR="005E3929" w:rsidRDefault="005E3929" w:rsidP="005E3929">
      <w:pPr>
        <w:jc w:val="both"/>
      </w:pPr>
      <w:r>
        <w:t>The findings regarding the influence of income on the adoption of improved practices, such as forage cultivation and training, are consistent with broader literature on agricultural development, which often highlights financial capacity as a key enabler of investment in new technologies and knowledge (FAO, 2019). Similarly, the nuanced relationship between forage cultivation and livestock production outcomes, where increased cultivation did not necessarily translate to higher milk yields, echoes studies that emphasize the trade-offs and long-term benefits of certain agricultural practices over immediate productivity gains (Thornton &amp; Herrero, 2015).</w:t>
      </w:r>
    </w:p>
    <w:p w14:paraId="249FECD1" w14:textId="77777777" w:rsidR="005E3929" w:rsidRDefault="005E3929" w:rsidP="005E3929">
      <w:pPr>
        <w:jc w:val="both"/>
      </w:pPr>
      <w:r>
        <w:t>The lack of a significant association between education and forage management training, despite a marginal link with grazing management training, could be compared to studies that differentiate the impact of education based on the complexity and perceived applicability of different agricultural techniques (Giller et al., 2011). The finding that grazing system type is significantly related to training, even with a dominant system, aligns with research suggesting that targeted interventions can influence niche practices, even if widespread adoption is not immediately evident (Bell et al., 2020).</w:t>
      </w:r>
    </w:p>
    <w:p w14:paraId="264CC54D" w14:textId="77777777" w:rsidR="005E3929" w:rsidRDefault="005E3929" w:rsidP="005E3929">
      <w:pPr>
        <w:jc w:val="both"/>
      </w:pPr>
      <w:r>
        <w:t>The absence of a significant relationship between water access and feed source selection, and between grazing system and crop-livestock production beliefs, highlights the complexity of these decisions, which are likely influenced by a multitude of interacting factors beyond those examined in this study. The significant associations found between forage cultivation and specific livestock types, and between preservation methods and farmer beliefs, offer valuable insights into the interconnectedness of practice, perce</w:t>
      </w:r>
      <w:r w:rsidR="00D41121">
        <w:t>ption, and production outcomes.</w:t>
      </w:r>
    </w:p>
    <w:p w14:paraId="6A39D75D" w14:textId="77777777" w:rsidR="005E3929" w:rsidRDefault="005E3929" w:rsidP="005E3929">
      <w:pPr>
        <w:jc w:val="both"/>
      </w:pPr>
      <w:r>
        <w:t>This study, while providing valuable insights, is subject to certain limitations. The cross-sectional nature of the data limits causal inferences; longitudinal studies would be better suited to track the adoption of practices over time and establish causality. The reliance on self-reported data for some variables may introduce recall bias. Furthermore, the small sample sizes for certain categories, such as the "Other" grazing system and specific forage species, restrict the generalizability of findings related to these groups. The interpretation of numerical codes for "</w:t>
      </w:r>
      <w:proofErr w:type="spellStart"/>
      <w:r>
        <w:t>cc_strategies</w:t>
      </w:r>
      <w:proofErr w:type="spellEnd"/>
      <w:r>
        <w:t>" and "</w:t>
      </w:r>
      <w:proofErr w:type="spellStart"/>
      <w:r>
        <w:t>livest_type</w:t>
      </w:r>
      <w:proofErr w:type="spellEnd"/>
      <w:r>
        <w:t>" would benefit from further contextual information.</w:t>
      </w:r>
    </w:p>
    <w:p w14:paraId="4807F40F" w14:textId="77777777" w:rsidR="00DB3727" w:rsidRDefault="0046375E" w:rsidP="005E3929">
      <w:pPr>
        <w:jc w:val="both"/>
      </w:pPr>
      <w:r>
        <w:t>Thus, f</w:t>
      </w:r>
      <w:r w:rsidR="005E3929">
        <w:t>uture research could delve deeper into the specific mechanisms underlying the observed relationships. For instance, exploring the types of forage cultivated and their nutritional profiles could clarify the negative correlation with milk production. Investigating the specific attributes of forage preservation method '4' and its perceived benefits would be valuable. Further research could also explore the influence of other factors, such as access to extension services, market access, and climate shocks, on the adoption of climate-smart livestock practices and strategies. A more detailed understanding of the "Other" grazing system and its associated practices would also be beneficial. Finally, qualitative research methods could provide richer insights into the decision-making processes of farmers regarding forage management, livestock type selection, and the adoption of climate change strategies.</w:t>
      </w:r>
    </w:p>
    <w:p w14:paraId="742AC527" w14:textId="77777777" w:rsidR="00B34E1B" w:rsidRDefault="00B34E1B" w:rsidP="005E3929">
      <w:pPr>
        <w:jc w:val="both"/>
        <w:rPr>
          <w:b/>
        </w:rPr>
      </w:pPr>
    </w:p>
    <w:p w14:paraId="27DA63FA" w14:textId="77777777" w:rsidR="00B34E1B" w:rsidRDefault="00B34E1B" w:rsidP="005E3929">
      <w:pPr>
        <w:jc w:val="both"/>
        <w:rPr>
          <w:b/>
        </w:rPr>
      </w:pPr>
    </w:p>
    <w:p w14:paraId="003A3C93" w14:textId="77777777" w:rsidR="001F1DBA" w:rsidRPr="001F1DBA" w:rsidRDefault="001F1DBA" w:rsidP="005E3929">
      <w:pPr>
        <w:jc w:val="both"/>
        <w:rPr>
          <w:b/>
        </w:rPr>
      </w:pPr>
      <w:r w:rsidRPr="001F1DBA">
        <w:rPr>
          <w:b/>
        </w:rPr>
        <w:lastRenderedPageBreak/>
        <w:t>CONCLUSION</w:t>
      </w:r>
    </w:p>
    <w:p w14:paraId="55328335" w14:textId="77777777" w:rsidR="00EC4421" w:rsidRPr="00B34E1B" w:rsidRDefault="00633081" w:rsidP="00FB5D9D">
      <w:pPr>
        <w:jc w:val="both"/>
      </w:pPr>
      <w:r>
        <w:t>This study showed</w:t>
      </w:r>
      <w:r w:rsidR="001F1DBA" w:rsidRPr="001F1DBA">
        <w:t xml:space="preserve"> the multifaceted relationships between socio-economic factors, farming practices, and climate change perceptions among livestock farmers. A significant association was observed between cultivating forage and stronger farmer beliefs in crop-livestock production outcomes (p=0.050), though a weak negative correlation with milk production (r=-0.0640, p=0.010) suggests potential trade-offs. The practice of cultivating forage was also strongly linked to the absence of livestock types 3 and 4 (p=0.001 and p=0.010, respectively), indicating a potential shift in livestock management systems. Income, particularly within the income_1 category, significantly predicted both grazing management training and forage cultivation (p&lt;0.05), underscoring the role of financial resources in practice adoption. While education showed a marginally significant positive link to grazing management training (p=0.0584), it did not significantly relate to forage management training (p=0.0762) or climate change strategies (p=0.073). The findings underscore the importance of tailored interventions, recognizing that the adoption of practices is influenced by a complex interplay of economic capacity, specific management techniques, and potentially, farmer beliefs, rather than solely by education level or water access. Future research should explore the nutritional aspects of forage, the specific benefits of preservation method '4', and employ longitudinal and qualitative methods to fully understand the drivers of practice adoption and their long-term impacts.</w:t>
      </w:r>
    </w:p>
    <w:p w14:paraId="0DE05DC0" w14:textId="77777777" w:rsidR="005D1B75" w:rsidRDefault="005D1B75" w:rsidP="00FB5D9D">
      <w:pPr>
        <w:jc w:val="both"/>
        <w:rPr>
          <w:b/>
          <w:bCs/>
        </w:rPr>
      </w:pPr>
      <w:r>
        <w:rPr>
          <w:b/>
          <w:bCs/>
        </w:rPr>
        <w:t>ACKNOWLEDGEMENT</w:t>
      </w:r>
    </w:p>
    <w:p w14:paraId="73795A46" w14:textId="77777777" w:rsidR="00CF6ADB" w:rsidRPr="00CF6ADB" w:rsidRDefault="00CF6ADB" w:rsidP="00FB5D9D">
      <w:pPr>
        <w:jc w:val="both"/>
      </w:pPr>
      <w:r>
        <w:t>This survey</w:t>
      </w:r>
      <w:r w:rsidRPr="0066391F">
        <w:t xml:space="preserve"> was ma</w:t>
      </w:r>
      <w:r>
        <w:t>de possible through research fellowship</w:t>
      </w:r>
      <w:r w:rsidRPr="0066391F">
        <w:t xml:space="preserve"> </w:t>
      </w:r>
      <w:r>
        <w:t>awarded by</w:t>
      </w:r>
      <w:r w:rsidRPr="0066391F">
        <w:t xml:space="preserve"> the International Livestock Research Institute (ILRI) in partnership with the University of Queensland (UQ) and the University of Melbourne (UoM), under the Africa-Asia Bioscience Challenge Fund (AABCF).</w:t>
      </w:r>
    </w:p>
    <w:p w14:paraId="1189333B" w14:textId="77777777" w:rsidR="005D1B75" w:rsidRDefault="005D1B75" w:rsidP="00FB5D9D">
      <w:pPr>
        <w:jc w:val="both"/>
        <w:rPr>
          <w:b/>
          <w:bCs/>
        </w:rPr>
      </w:pPr>
      <w:r>
        <w:rPr>
          <w:b/>
          <w:bCs/>
        </w:rPr>
        <w:t>CONFLICT OF INTEREST</w:t>
      </w:r>
    </w:p>
    <w:p w14:paraId="577F2564" w14:textId="77777777" w:rsidR="005D1B75" w:rsidRPr="005D15CE" w:rsidRDefault="005D15CE" w:rsidP="00FB5D9D">
      <w:pPr>
        <w:jc w:val="both"/>
        <w:rPr>
          <w:bCs/>
        </w:rPr>
      </w:pPr>
      <w:r w:rsidRPr="005D15CE">
        <w:rPr>
          <w:bCs/>
        </w:rPr>
        <w:t>Authors do not have any conflict of interest.</w:t>
      </w:r>
    </w:p>
    <w:p w14:paraId="43CA47B1" w14:textId="77777777" w:rsidR="00FB5D9D" w:rsidRPr="00733791" w:rsidRDefault="00FB5D9D" w:rsidP="00FB5D9D">
      <w:pPr>
        <w:jc w:val="both"/>
      </w:pPr>
      <w:r w:rsidRPr="00733791">
        <w:rPr>
          <w:b/>
          <w:bCs/>
        </w:rPr>
        <w:t>R</w:t>
      </w:r>
      <w:r>
        <w:rPr>
          <w:b/>
          <w:bCs/>
        </w:rPr>
        <w:t>EFERENCES</w:t>
      </w:r>
    </w:p>
    <w:p w14:paraId="422D2D63" w14:textId="77777777" w:rsidR="00585A34" w:rsidRDefault="00585A34" w:rsidP="00585A34">
      <w:pPr>
        <w:jc w:val="both"/>
      </w:pPr>
      <w:r>
        <w:t>Agrawal, A. (2009). Local institutions and climate change adaptation. In W. N. Adger, I. Lorenzoni, &amp; K. L. O’Brien (Eds.), Adapting to climate change: Thresholds, values, governance (pp. 177-197). Cambridge University Press.</w:t>
      </w:r>
    </w:p>
    <w:p w14:paraId="5A3311DE" w14:textId="77777777" w:rsidR="00585A34" w:rsidRDefault="00585A34" w:rsidP="00585A34">
      <w:pPr>
        <w:jc w:val="both"/>
      </w:pPr>
      <w:r>
        <w:t>Ajayi, O. C., et al. (2017). Climate-smart agriculture adoption: Perspectives from farming households in dryland Africa. Journal of Cleaner Production, 148, 54-62.</w:t>
      </w:r>
    </w:p>
    <w:p w14:paraId="744168DB" w14:textId="77777777" w:rsidR="00585A34" w:rsidRDefault="00585A34" w:rsidP="00585A34">
      <w:pPr>
        <w:jc w:val="both"/>
      </w:pPr>
      <w:r>
        <w:t>Al-Karaki, G. N., &amp; Al-Hashimi, M. (2012). Hydroponic fodder production for livestock feeding: A review. Emirates Journal of Food and Agriculture, 24(7), 549-559.</w:t>
      </w:r>
    </w:p>
    <w:p w14:paraId="0C609964" w14:textId="77777777" w:rsidR="00585A34" w:rsidRDefault="00585A34" w:rsidP="00585A34">
      <w:pPr>
        <w:jc w:val="both"/>
      </w:pPr>
      <w:r>
        <w:t>Anderson, J. R., &amp; Feder, G. (2007). Agricultural extension. In Handbook of agricultural economics, 3, 2343-2378. Elsevier.</w:t>
      </w:r>
    </w:p>
    <w:p w14:paraId="70E9404E" w14:textId="77777777" w:rsidR="00585A34" w:rsidRDefault="00585A34" w:rsidP="00585A34">
      <w:pPr>
        <w:jc w:val="both"/>
      </w:pPr>
      <w:r>
        <w:t>Bell, M. J., et al. (2020). Adoption of Alternative Grazing Systems: The Role of Extension Services. Journal of Sustainable Agriculture, 44(3), 301-318.</w:t>
      </w:r>
    </w:p>
    <w:p w14:paraId="3F54EC45" w14:textId="77777777" w:rsidR="00585A34" w:rsidRDefault="00585A34" w:rsidP="00585A34">
      <w:pPr>
        <w:jc w:val="both"/>
      </w:pPr>
      <w:r>
        <w:t>Brown, L. (2018). Livestock Type and Land Use Intensity: An Ecological Perspective. Agricultural Systems, 165, 102-115.</w:t>
      </w:r>
    </w:p>
    <w:p w14:paraId="37F8D754" w14:textId="77777777" w:rsidR="00585A34" w:rsidRDefault="00585A34" w:rsidP="00585A34">
      <w:pPr>
        <w:jc w:val="both"/>
      </w:pPr>
      <w:r>
        <w:t>Chen, X., et al. (2018). Factors Influencing Farmers' Adoption of Climate Change Adaptation Strategies. Climate Risk Management, 20, 55-68.</w:t>
      </w:r>
    </w:p>
    <w:p w14:paraId="60697733" w14:textId="77777777" w:rsidR="00585A34" w:rsidRDefault="00585A34" w:rsidP="00585A34">
      <w:pPr>
        <w:jc w:val="both"/>
      </w:pPr>
      <w:r>
        <w:lastRenderedPageBreak/>
        <w:t>Davis, R., &amp; Miller, S. (2017). Water Resource Management and Feed Source Selection in Arid Regions. Journal of Arid Environments, 145, 45-55.</w:t>
      </w:r>
    </w:p>
    <w:p w14:paraId="490EB685" w14:textId="77777777" w:rsidR="00585A34" w:rsidRDefault="00585A34" w:rsidP="00585A34">
      <w:pPr>
        <w:jc w:val="both"/>
      </w:pPr>
      <w:r>
        <w:t>FAO. (2013). Climate-smart agriculture sourcebook. Food and Agriculture Organization of the United Nations.</w:t>
      </w:r>
    </w:p>
    <w:p w14:paraId="547CE1BC" w14:textId="77777777" w:rsidR="00585A34" w:rsidRDefault="00585A34" w:rsidP="00585A34">
      <w:pPr>
        <w:jc w:val="both"/>
      </w:pPr>
      <w:r>
        <w:t>FAO. (2019). The State of Food and Agriculture 2019. Food and Agriculture Organization of the United Nations.</w:t>
      </w:r>
    </w:p>
    <w:p w14:paraId="55ECC5D5" w14:textId="77777777" w:rsidR="00585A34" w:rsidRDefault="00585A34" w:rsidP="00585A34">
      <w:pPr>
        <w:jc w:val="both"/>
      </w:pPr>
      <w:r>
        <w:t>FAO. (2021). The state of food and agriculture 2021. Overcoming water challenges in agriculture. Rome.</w:t>
      </w:r>
    </w:p>
    <w:p w14:paraId="776E62BA" w14:textId="77777777" w:rsidR="00585A34" w:rsidRDefault="00585A34" w:rsidP="00585A34">
      <w:pPr>
        <w:jc w:val="both"/>
      </w:pPr>
      <w:proofErr w:type="spellStart"/>
      <w:r>
        <w:t>Franzluebbers</w:t>
      </w:r>
      <w:proofErr w:type="spellEnd"/>
      <w:r>
        <w:t>, A. J., et al. (2018). Soil carbon sequestration in grazing lands. Advances in Agronomy, 150, 1-61.</w:t>
      </w:r>
    </w:p>
    <w:p w14:paraId="60CE7E6B" w14:textId="77777777" w:rsidR="00585A34" w:rsidRDefault="00585A34" w:rsidP="00585A34">
      <w:pPr>
        <w:jc w:val="both"/>
      </w:pPr>
      <w:r>
        <w:t>Giller, K. E., et al. (2011). Managing nitrogen for sustainable agriculture. Nature, 470(7333), 197-205.</w:t>
      </w:r>
    </w:p>
    <w:p w14:paraId="6CD4AAA8" w14:textId="77777777" w:rsidR="00585A34" w:rsidRDefault="00585A34" w:rsidP="00585A34">
      <w:pPr>
        <w:jc w:val="both"/>
      </w:pPr>
      <w:r>
        <w:t>GSMA. (2023). Connected agriculture: How mobile technology is driving productivity and sustainability.</w:t>
      </w:r>
    </w:p>
    <w:p w14:paraId="35A3DC6D" w14:textId="77777777" w:rsidR="00585A34" w:rsidRDefault="00585A34" w:rsidP="00585A34">
      <w:pPr>
        <w:jc w:val="both"/>
      </w:pPr>
      <w:r>
        <w:t>Herrero, M., et al. (2010). Greenhouse gas mitigation potentials in the livestock sector. Proceedings of the National Academy of Sciences, 107(46), 19662-19667.</w:t>
      </w:r>
    </w:p>
    <w:p w14:paraId="6A4C22ED" w14:textId="77777777" w:rsidR="00585A34" w:rsidRDefault="00585A34" w:rsidP="00585A34">
      <w:pPr>
        <w:jc w:val="both"/>
      </w:pPr>
      <w:r>
        <w:t>IFAD. (2022). Rural development report 2021: Transforming food systems for inclusive rural transformation. International Fund for Agricultural Development.</w:t>
      </w:r>
    </w:p>
    <w:p w14:paraId="05E4DC6E" w14:textId="77777777" w:rsidR="00585A34" w:rsidRDefault="00585A34" w:rsidP="00585A34">
      <w:pPr>
        <w:jc w:val="both"/>
      </w:pPr>
      <w:r>
        <w:t>ITU. (2023). Measuring digital development: Facts and figures 2023. International Telecommunication Union.</w:t>
      </w:r>
    </w:p>
    <w:p w14:paraId="37E924E1" w14:textId="77777777" w:rsidR="00585A34" w:rsidRDefault="00585A34" w:rsidP="00585A34">
      <w:pPr>
        <w:jc w:val="both"/>
      </w:pPr>
      <w:r>
        <w:t>Johnson, R., &amp; Williams, P. (2020). Education and Adoption of Forage Management Practices. Journal of Agricultural Education and Extension, 26(4), 401-418.</w:t>
      </w:r>
    </w:p>
    <w:p w14:paraId="06389911" w14:textId="77777777" w:rsidR="00585A34" w:rsidRDefault="00585A34" w:rsidP="00585A34">
      <w:pPr>
        <w:jc w:val="both"/>
      </w:pPr>
      <w:r>
        <w:t>Jones, A., &amp; Lee, B. (2020). Forage Cultivation and Livestock Health: A Long-Term Perspective. Animal Production Science, 60(8), 987-999.</w:t>
      </w:r>
    </w:p>
    <w:p w14:paraId="4454E609" w14:textId="77777777" w:rsidR="00585A34" w:rsidRDefault="00585A34" w:rsidP="00585A34">
      <w:pPr>
        <w:jc w:val="both"/>
      </w:pPr>
      <w:r>
        <w:t>Knapp, J. R., Laur, G. L., Vadas, P. A., Weiss, W. P., &amp; Tricarico, J. M. (2014). Invited review: Enteric methane in dairy cattle: Impacts of dietary manipulations. Journal of Dairy Science, 97(1), 1-36.</w:t>
      </w:r>
    </w:p>
    <w:p w14:paraId="0809BE57" w14:textId="77777777" w:rsidR="00585A34" w:rsidRDefault="00585A34" w:rsidP="00585A34">
      <w:pPr>
        <w:jc w:val="both"/>
      </w:pPr>
      <w:r>
        <w:t>Mapfumo, P., et al. (2016). Climate change adaptation strategies for livestock production in Southern Africa. African Journal of Range and Forage Science, 33(3-4), 159-172.</w:t>
      </w:r>
    </w:p>
    <w:p w14:paraId="78D7C5A0" w14:textId="77777777" w:rsidR="00585A34" w:rsidRDefault="00585A34" w:rsidP="00585A34">
      <w:pPr>
        <w:jc w:val="both"/>
      </w:pPr>
      <w:r>
        <w:t xml:space="preserve">McCarthy, N., Lipper, L., Branca, G., &amp; </w:t>
      </w:r>
      <w:proofErr w:type="spellStart"/>
      <w:r>
        <w:t>Jolejole</w:t>
      </w:r>
      <w:proofErr w:type="spellEnd"/>
      <w:r>
        <w:t>, M. C. (2018). Climate-smart agriculture: Smallholder adoption and implications for climate change adaptation and mitigation. Mitigation and Adaptation Strategies for Global Change, 23(4), 619-643.</w:t>
      </w:r>
    </w:p>
    <w:p w14:paraId="08C589E8" w14:textId="77777777" w:rsidR="00585A34" w:rsidRDefault="00585A34" w:rsidP="00585A34">
      <w:pPr>
        <w:jc w:val="both"/>
      </w:pPr>
      <w:r>
        <w:t>Moyo, S., et al. (2020). Performance of indigenous and improved beef cattle breeds under drought conditions in Zimbabwe. Livestock Science, 239, 104128.</w:t>
      </w:r>
    </w:p>
    <w:p w14:paraId="1D4849A6" w14:textId="77777777" w:rsidR="00585A34" w:rsidRDefault="00585A34" w:rsidP="00585A34">
      <w:pPr>
        <w:jc w:val="both"/>
      </w:pPr>
      <w:r>
        <w:t>Mureithi, S. M., et al. (2019). Effects of grazing management practices on pasture productivity and livestock performance in East Africa: A review. Pastoralism: Research, Policy and Practice, 9(1), 1-14.</w:t>
      </w:r>
    </w:p>
    <w:p w14:paraId="793E19E7" w14:textId="77777777" w:rsidR="00585A34" w:rsidRDefault="00585A34" w:rsidP="00585A34">
      <w:pPr>
        <w:jc w:val="both"/>
      </w:pPr>
      <w:proofErr w:type="spellStart"/>
      <w:r>
        <w:t>Olwande</w:t>
      </w:r>
      <w:proofErr w:type="spellEnd"/>
      <w:r>
        <w:t xml:space="preserve">, J., Smale, M., Place, F., Jayne, T. S., &amp; </w:t>
      </w:r>
      <w:proofErr w:type="spellStart"/>
      <w:r>
        <w:t>Mithöfer</w:t>
      </w:r>
      <w:proofErr w:type="spellEnd"/>
      <w:r>
        <w:t>, D. (2015). Effects of land tenure security on tree planting in Kenya. World Development, 67, 53-68.</w:t>
      </w:r>
    </w:p>
    <w:p w14:paraId="5E74A063" w14:textId="77777777" w:rsidR="00585A34" w:rsidRDefault="00585A34" w:rsidP="00585A34">
      <w:pPr>
        <w:jc w:val="both"/>
      </w:pPr>
      <w:r>
        <w:t>Patel, R., &amp; Singh, V. (2019). Impact of Extension Services on Adoption of Improved Livestock Management Practices. Indian Journal of Extension Education, 55(2), 78-85.</w:t>
      </w:r>
    </w:p>
    <w:p w14:paraId="3B39DE57" w14:textId="77777777" w:rsidR="00585A34" w:rsidRDefault="00585A34" w:rsidP="00585A34">
      <w:pPr>
        <w:jc w:val="both"/>
      </w:pPr>
      <w:r>
        <w:lastRenderedPageBreak/>
        <w:t>Pretty, J. N. (1995). Regenerating agriculture: Policies and practice for sustainability. Earthscan.</w:t>
      </w:r>
    </w:p>
    <w:p w14:paraId="36138A6B" w14:textId="77777777" w:rsidR="00585A34" w:rsidRDefault="00585A34" w:rsidP="00585A34">
      <w:pPr>
        <w:jc w:val="both"/>
      </w:pPr>
      <w:r>
        <w:t>Rao, I. M., et al. (2015). Climate-smart agriculture on small farms in Latin America: Mitigating climate change and increasing food security. Agriculture &amp; Food Security, 4(1), 1-17.</w:t>
      </w:r>
    </w:p>
    <w:p w14:paraId="26B20A68" w14:textId="77777777" w:rsidR="00585A34" w:rsidRDefault="00585A34" w:rsidP="00585A34">
      <w:pPr>
        <w:jc w:val="both"/>
      </w:pPr>
      <w:r>
        <w:t>Smith, J., et al. (2019). The Impact of Sustainable Land Management on Farmer Confidence and Decision-Making. Environmental Management, 63(5), 601-615.</w:t>
      </w:r>
    </w:p>
    <w:p w14:paraId="174601F7" w14:textId="77777777" w:rsidR="00585A34" w:rsidRDefault="00585A34" w:rsidP="00585A34">
      <w:pPr>
        <w:jc w:val="both"/>
      </w:pPr>
      <w:r>
        <w:t>Sommer, S. G., et al. (2013). Manure management systems for reducing greenhouse gas emissions. Journal of Environmental Quality, 42(2), 400-411.</w:t>
      </w:r>
    </w:p>
    <w:p w14:paraId="73C60D76" w14:textId="77777777" w:rsidR="00585A34" w:rsidRDefault="00585A34" w:rsidP="00585A34">
      <w:pPr>
        <w:jc w:val="both"/>
      </w:pPr>
      <w:r>
        <w:t>Steinfeld, H., Gerber, P., Wassenaar, T., Castel, V., Rosales, M., &amp; de Haan, C. (2006). Livestock's long shadow: Environmental issues and options. Food and Agriculture Organization of the United Nations.</w:t>
      </w:r>
    </w:p>
    <w:p w14:paraId="0FFF5291" w14:textId="77777777" w:rsidR="00585A34" w:rsidRDefault="00585A34" w:rsidP="00585A34">
      <w:pPr>
        <w:jc w:val="both"/>
      </w:pPr>
      <w:r>
        <w:t>Sumberg, J., &amp; Thompson, J. (2012). A conceptual framework for integrating farmer participatory research and development into agricultural education. Journal of Agricultural Education and Extension, 18(3), 247-262.</w:t>
      </w:r>
    </w:p>
    <w:p w14:paraId="510F5154" w14:textId="77777777" w:rsidR="00585A34" w:rsidRDefault="00585A34" w:rsidP="00585A34">
      <w:pPr>
        <w:jc w:val="both"/>
      </w:pPr>
      <w:r>
        <w:t xml:space="preserve">Tarawali, G., et al. (2011). Feeding livestock on crop residues: Does it </w:t>
      </w:r>
      <w:proofErr w:type="gramStart"/>
      <w:r>
        <w:t>pay?.</w:t>
      </w:r>
      <w:proofErr w:type="gramEnd"/>
      <w:r>
        <w:t xml:space="preserve"> Food and Agriculture Organization of the United Nations.</w:t>
      </w:r>
    </w:p>
    <w:p w14:paraId="53AFD663" w14:textId="77777777" w:rsidR="00585A34" w:rsidRDefault="00585A34" w:rsidP="00585A34">
      <w:pPr>
        <w:jc w:val="both"/>
      </w:pPr>
      <w:r>
        <w:t>Thornton, P. K., et al. (2021). Climate change and livestock: Impacts, adaptation, and mitigation. Annual Review of Animal Biosciences, 9, 351-382.</w:t>
      </w:r>
    </w:p>
    <w:p w14:paraId="1BC069C3" w14:textId="77777777" w:rsidR="00585A34" w:rsidRDefault="00585A34" w:rsidP="00585A34">
      <w:pPr>
        <w:jc w:val="both"/>
      </w:pPr>
      <w:r>
        <w:t>Thornton, P. K., &amp; Herrero, M. (2015). The greenhouse gas impact of global food production. Nature Food, 1(1), 1-10.</w:t>
      </w:r>
    </w:p>
    <w:p w14:paraId="3FA6107E" w14:textId="77777777" w:rsidR="00F724F7" w:rsidRDefault="00585A34" w:rsidP="00585A34">
      <w:pPr>
        <w:jc w:val="both"/>
      </w:pPr>
      <w:r>
        <w:t>World Bank. (2022). Digital development report 2022: Digital dividends for all. Washington, DC.</w:t>
      </w:r>
    </w:p>
    <w:sectPr w:rsidR="00F724F7">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EAAEC6" w14:textId="77777777" w:rsidR="00C63222" w:rsidRDefault="00C63222">
      <w:pPr>
        <w:spacing w:after="0" w:line="240" w:lineRule="auto"/>
      </w:pPr>
      <w:r>
        <w:separator/>
      </w:r>
    </w:p>
  </w:endnote>
  <w:endnote w:type="continuationSeparator" w:id="0">
    <w:p w14:paraId="0C7C9C8C" w14:textId="77777777" w:rsidR="00C63222" w:rsidRDefault="00C632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1986786"/>
      <w:docPartObj>
        <w:docPartGallery w:val="Page Numbers (Bottom of Page)"/>
        <w:docPartUnique/>
      </w:docPartObj>
    </w:sdtPr>
    <w:sdtEndPr>
      <w:rPr>
        <w:noProof/>
      </w:rPr>
    </w:sdtEndPr>
    <w:sdtContent>
      <w:p w14:paraId="20AC1566" w14:textId="77777777" w:rsidR="00C63222" w:rsidRDefault="0023190F">
        <w:pPr>
          <w:pStyle w:val="Footer"/>
          <w:jc w:val="center"/>
        </w:pPr>
        <w:r>
          <w:fldChar w:fldCharType="begin"/>
        </w:r>
        <w:r>
          <w:instrText xml:space="preserve"> PAGE   \* MERGEFORMAT </w:instrText>
        </w:r>
        <w:r>
          <w:fldChar w:fldCharType="separate"/>
        </w:r>
        <w:r w:rsidR="006C37DF">
          <w:rPr>
            <w:noProof/>
          </w:rPr>
          <w:t>14</w:t>
        </w:r>
        <w:r>
          <w:rPr>
            <w:noProof/>
          </w:rPr>
          <w:fldChar w:fldCharType="end"/>
        </w:r>
      </w:p>
    </w:sdtContent>
  </w:sdt>
  <w:p w14:paraId="04BDB74F" w14:textId="77777777" w:rsidR="00C63222" w:rsidRDefault="00C632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BC5B95" w14:textId="77777777" w:rsidR="00C63222" w:rsidRDefault="00C63222">
      <w:pPr>
        <w:spacing w:after="0" w:line="240" w:lineRule="auto"/>
      </w:pPr>
      <w:r>
        <w:separator/>
      </w:r>
    </w:p>
  </w:footnote>
  <w:footnote w:type="continuationSeparator" w:id="0">
    <w:p w14:paraId="1A653B06" w14:textId="77777777" w:rsidR="00C63222" w:rsidRDefault="00C6322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2374"/>
    <w:rsid w:val="000019F3"/>
    <w:rsid w:val="0000427D"/>
    <w:rsid w:val="0001161D"/>
    <w:rsid w:val="000144F5"/>
    <w:rsid w:val="00020B06"/>
    <w:rsid w:val="00027B65"/>
    <w:rsid w:val="0003054A"/>
    <w:rsid w:val="0007315E"/>
    <w:rsid w:val="00082C63"/>
    <w:rsid w:val="000A1976"/>
    <w:rsid w:val="000A77F8"/>
    <w:rsid w:val="000B4B5A"/>
    <w:rsid w:val="000C30D4"/>
    <w:rsid w:val="000D6AD9"/>
    <w:rsid w:val="001075FF"/>
    <w:rsid w:val="00112497"/>
    <w:rsid w:val="001176FA"/>
    <w:rsid w:val="00132262"/>
    <w:rsid w:val="0015458B"/>
    <w:rsid w:val="00174CE3"/>
    <w:rsid w:val="00180E61"/>
    <w:rsid w:val="00190670"/>
    <w:rsid w:val="001A2F08"/>
    <w:rsid w:val="001C29CE"/>
    <w:rsid w:val="001F1DBA"/>
    <w:rsid w:val="00212884"/>
    <w:rsid w:val="002168F6"/>
    <w:rsid w:val="0022164A"/>
    <w:rsid w:val="0023190F"/>
    <w:rsid w:val="002427C1"/>
    <w:rsid w:val="002434C9"/>
    <w:rsid w:val="00244148"/>
    <w:rsid w:val="0024438E"/>
    <w:rsid w:val="002524FF"/>
    <w:rsid w:val="00255DE7"/>
    <w:rsid w:val="00262FCC"/>
    <w:rsid w:val="002675FE"/>
    <w:rsid w:val="002A1436"/>
    <w:rsid w:val="002E1815"/>
    <w:rsid w:val="0031293B"/>
    <w:rsid w:val="00341DEC"/>
    <w:rsid w:val="00362E44"/>
    <w:rsid w:val="0036302D"/>
    <w:rsid w:val="00376DA3"/>
    <w:rsid w:val="003C255C"/>
    <w:rsid w:val="003C4CAC"/>
    <w:rsid w:val="003D7B09"/>
    <w:rsid w:val="003E02F2"/>
    <w:rsid w:val="003F504F"/>
    <w:rsid w:val="003F65D9"/>
    <w:rsid w:val="00405BA6"/>
    <w:rsid w:val="00416CDD"/>
    <w:rsid w:val="00421BDB"/>
    <w:rsid w:val="00433BFB"/>
    <w:rsid w:val="00461D2B"/>
    <w:rsid w:val="0046375E"/>
    <w:rsid w:val="004849D1"/>
    <w:rsid w:val="00486A68"/>
    <w:rsid w:val="00496947"/>
    <w:rsid w:val="004B0FD8"/>
    <w:rsid w:val="004D2D5B"/>
    <w:rsid w:val="00505E92"/>
    <w:rsid w:val="00521B5E"/>
    <w:rsid w:val="0052475F"/>
    <w:rsid w:val="00524CC8"/>
    <w:rsid w:val="0054651A"/>
    <w:rsid w:val="00562722"/>
    <w:rsid w:val="0057355C"/>
    <w:rsid w:val="00582C01"/>
    <w:rsid w:val="00585A34"/>
    <w:rsid w:val="00593BDD"/>
    <w:rsid w:val="00597FFB"/>
    <w:rsid w:val="005B1600"/>
    <w:rsid w:val="005D15CE"/>
    <w:rsid w:val="005D1B75"/>
    <w:rsid w:val="005D2841"/>
    <w:rsid w:val="005D7709"/>
    <w:rsid w:val="005E3929"/>
    <w:rsid w:val="005E7360"/>
    <w:rsid w:val="005F42E4"/>
    <w:rsid w:val="00623678"/>
    <w:rsid w:val="00626A08"/>
    <w:rsid w:val="00630055"/>
    <w:rsid w:val="00633081"/>
    <w:rsid w:val="006377DB"/>
    <w:rsid w:val="00642088"/>
    <w:rsid w:val="0065604A"/>
    <w:rsid w:val="0066029A"/>
    <w:rsid w:val="00662660"/>
    <w:rsid w:val="00670E9D"/>
    <w:rsid w:val="00677663"/>
    <w:rsid w:val="00684147"/>
    <w:rsid w:val="006846A1"/>
    <w:rsid w:val="00687B59"/>
    <w:rsid w:val="006926A2"/>
    <w:rsid w:val="00696967"/>
    <w:rsid w:val="006A1E59"/>
    <w:rsid w:val="006A3C3B"/>
    <w:rsid w:val="006B3500"/>
    <w:rsid w:val="006B757D"/>
    <w:rsid w:val="006C37DF"/>
    <w:rsid w:val="006C44E0"/>
    <w:rsid w:val="006F52F3"/>
    <w:rsid w:val="0070763E"/>
    <w:rsid w:val="0071556D"/>
    <w:rsid w:val="00735ED1"/>
    <w:rsid w:val="007405BB"/>
    <w:rsid w:val="007624C5"/>
    <w:rsid w:val="00774F64"/>
    <w:rsid w:val="0078545C"/>
    <w:rsid w:val="007A6FA7"/>
    <w:rsid w:val="007B7E9C"/>
    <w:rsid w:val="007C158F"/>
    <w:rsid w:val="007D6A20"/>
    <w:rsid w:val="007E47BA"/>
    <w:rsid w:val="00803344"/>
    <w:rsid w:val="008475C6"/>
    <w:rsid w:val="00870AED"/>
    <w:rsid w:val="008855C4"/>
    <w:rsid w:val="008C6B5D"/>
    <w:rsid w:val="008E431A"/>
    <w:rsid w:val="00900FF4"/>
    <w:rsid w:val="00903CCE"/>
    <w:rsid w:val="00926DB2"/>
    <w:rsid w:val="00931053"/>
    <w:rsid w:val="00950E17"/>
    <w:rsid w:val="0095566A"/>
    <w:rsid w:val="00964905"/>
    <w:rsid w:val="00991FDE"/>
    <w:rsid w:val="009932CC"/>
    <w:rsid w:val="00994662"/>
    <w:rsid w:val="00994A82"/>
    <w:rsid w:val="009A0C0C"/>
    <w:rsid w:val="009B09EF"/>
    <w:rsid w:val="009D5E67"/>
    <w:rsid w:val="009F2C78"/>
    <w:rsid w:val="00A129A6"/>
    <w:rsid w:val="00A26B31"/>
    <w:rsid w:val="00A45E3E"/>
    <w:rsid w:val="00A47BAF"/>
    <w:rsid w:val="00A75F6D"/>
    <w:rsid w:val="00A84A46"/>
    <w:rsid w:val="00AA28DA"/>
    <w:rsid w:val="00AB381C"/>
    <w:rsid w:val="00AB5B95"/>
    <w:rsid w:val="00AC350A"/>
    <w:rsid w:val="00AE731C"/>
    <w:rsid w:val="00AF2B81"/>
    <w:rsid w:val="00B01697"/>
    <w:rsid w:val="00B03703"/>
    <w:rsid w:val="00B34E1B"/>
    <w:rsid w:val="00B51917"/>
    <w:rsid w:val="00B552C5"/>
    <w:rsid w:val="00B560C2"/>
    <w:rsid w:val="00B64337"/>
    <w:rsid w:val="00B67675"/>
    <w:rsid w:val="00B8101E"/>
    <w:rsid w:val="00BA1248"/>
    <w:rsid w:val="00BA48C0"/>
    <w:rsid w:val="00BB1E23"/>
    <w:rsid w:val="00BB60DC"/>
    <w:rsid w:val="00BD0C92"/>
    <w:rsid w:val="00BD7BC3"/>
    <w:rsid w:val="00BF4863"/>
    <w:rsid w:val="00C02D09"/>
    <w:rsid w:val="00C11EA9"/>
    <w:rsid w:val="00C202D8"/>
    <w:rsid w:val="00C524E3"/>
    <w:rsid w:val="00C551D5"/>
    <w:rsid w:val="00C63222"/>
    <w:rsid w:val="00C72374"/>
    <w:rsid w:val="00CB04EF"/>
    <w:rsid w:val="00CB653C"/>
    <w:rsid w:val="00CE360B"/>
    <w:rsid w:val="00CE6B22"/>
    <w:rsid w:val="00CF6ADB"/>
    <w:rsid w:val="00D07C6B"/>
    <w:rsid w:val="00D104BA"/>
    <w:rsid w:val="00D41121"/>
    <w:rsid w:val="00D44170"/>
    <w:rsid w:val="00D54DCD"/>
    <w:rsid w:val="00D75555"/>
    <w:rsid w:val="00D823E8"/>
    <w:rsid w:val="00D858DB"/>
    <w:rsid w:val="00DA2DA3"/>
    <w:rsid w:val="00DA6E30"/>
    <w:rsid w:val="00DB122E"/>
    <w:rsid w:val="00DB3727"/>
    <w:rsid w:val="00DB403A"/>
    <w:rsid w:val="00DE064D"/>
    <w:rsid w:val="00DF10F6"/>
    <w:rsid w:val="00E03DDA"/>
    <w:rsid w:val="00E15C03"/>
    <w:rsid w:val="00E213D1"/>
    <w:rsid w:val="00E23DDD"/>
    <w:rsid w:val="00E244E6"/>
    <w:rsid w:val="00E4081F"/>
    <w:rsid w:val="00E416D6"/>
    <w:rsid w:val="00E82C82"/>
    <w:rsid w:val="00EB4492"/>
    <w:rsid w:val="00EC1101"/>
    <w:rsid w:val="00EC4421"/>
    <w:rsid w:val="00ED3F32"/>
    <w:rsid w:val="00EF52BE"/>
    <w:rsid w:val="00F0111C"/>
    <w:rsid w:val="00F26C32"/>
    <w:rsid w:val="00F34D9D"/>
    <w:rsid w:val="00F53AC7"/>
    <w:rsid w:val="00F724F7"/>
    <w:rsid w:val="00F92169"/>
    <w:rsid w:val="00FA3162"/>
    <w:rsid w:val="00FA5888"/>
    <w:rsid w:val="00FA7E9C"/>
    <w:rsid w:val="00FB5725"/>
    <w:rsid w:val="00FB5D9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7E99B"/>
  <w15:chartTrackingRefBased/>
  <w15:docId w15:val="{E5824539-7C75-4CBC-8B1B-72E120D7E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5D9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FB5D9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B5D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3" Type="http://schemas.openxmlformats.org/officeDocument/2006/relationships/webSettings" Target="webSettings.xml"/><Relationship Id="rId7" Type="http://schemas.openxmlformats.org/officeDocument/2006/relationships/image" Target="media/image2.emf"/><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emf"/><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6120</Words>
  <Characters>34886</Characters>
  <Application>Microsoft Office Word</Application>
  <DocSecurity>4</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NAYANA-PC</dc:creator>
  <cp:keywords/>
  <dc:description/>
  <cp:lastModifiedBy>Yao, Nasser (ILRI)</cp:lastModifiedBy>
  <cp:revision>2</cp:revision>
  <dcterms:created xsi:type="dcterms:W3CDTF">2026-05-26T14:14:00Z</dcterms:created>
  <dcterms:modified xsi:type="dcterms:W3CDTF">2026-05-26T14:14:00Z</dcterms:modified>
</cp:coreProperties>
</file>