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Chatbot SQL GRH : interroger les données en français</w:t>
      </w:r>
    </w:p>
    <w:p>
      <w:r>
        <w:t>La bulle « Données GRH », en bas à droite de Superset, répond à une question écrite en français en interrogeant directement la base GRH (ENDADB). Un modèle de langage local écrit la requête SQL, qui est contrôlée puis exécutée avec les droits de l'utilisateur ; le résultat s'affiche en tableau, avec la requête utilisée et un export CSV.</w:t>
      </w:r>
    </w:p>
    <w:p>
      <w:pPr>
        <w:pStyle w:val="Heading1"/>
      </w:pPr>
      <w:r>
        <w:t>1. Architecture</w:t>
      </w:r>
    </w:p>
    <w:p>
      <w:r>
        <w:t>Paquet Python docker/pythonpath_dev/grh_sql_chat chargé par Superset (blueprint Flask /grh-sql-chat), widget JavaScript injecté dans toutes les pages pour les utilisateurs connectés, modèle qwen2.5-coder:1.5b servi par Ollama.</w:t>
      </w:r>
    </w:p>
    <w:tbl>
      <w:tblPr>
        <w:tblStyle w:val="LightGrid-Accent1"/>
        <w:tblW w:type="auto" w:w="0"/>
        <w:jc w:val="center"/>
        <w:tblLayout w:type="fixed"/>
        <w:tblLook w:firstColumn="1" w:firstRow="1" w:lastColumn="0" w:lastRow="0" w:noHBand="0" w:noVBand="1" w:val="04A0"/>
      </w:tblPr>
      <w:tblGrid>
        <w:gridCol w:w="4713"/>
        <w:gridCol w:w="4713"/>
        <w:gridCol w:w="4713"/>
      </w:tblGrid>
      <w:tr>
        <w:trPr>
          <w:tblHeader w:val="true"/>
        </w:trPr>
        <w:tc>
          <w:tcPr>
            <w:tcW w:type="dxa" w:w="2268"/>
            <w:shd w:val="clear" w:color="auto" w:fill="1E3A8A"/>
          </w:tcPr>
          <w:p>
            <w:r/>
            <w:r>
              <w:rPr>
                <w:b/>
                <w:color w:val="FFFFFF"/>
                <w:sz w:val="18"/>
              </w:rPr>
              <w:t>Étape</w:t>
            </w:r>
          </w:p>
        </w:tc>
        <w:tc>
          <w:tcPr>
            <w:tcW w:type="dxa" w:w="1701"/>
            <w:shd w:val="clear" w:color="auto" w:fill="1E3A8A"/>
          </w:tcPr>
          <w:p>
            <w:r/>
            <w:r>
              <w:rPr>
                <w:b/>
                <w:color w:val="FFFFFF"/>
                <w:sz w:val="18"/>
              </w:rPr>
              <w:t>Module</w:t>
            </w:r>
          </w:p>
        </w:tc>
        <w:tc>
          <w:tcPr>
            <w:tcW w:type="dxa" w:w="10488"/>
            <w:shd w:val="clear" w:color="auto" w:fill="1E3A8A"/>
          </w:tcPr>
          <w:p>
            <w:r/>
            <w:r>
              <w:rPr>
                <w:b/>
                <w:color w:val="FFFFFF"/>
                <w:sz w:val="18"/>
              </w:rPr>
              <w:t>Fonctionnement</w:t>
            </w:r>
          </w:p>
        </w:tc>
      </w:tr>
      <w:tr>
        <w:tc>
          <w:tcPr>
            <w:tcW w:type="dxa" w:w="2268"/>
          </w:tcPr>
          <w:p>
            <w:r/>
            <w:r>
              <w:rPr>
                <w:b w:val="0"/>
                <w:sz w:val="18"/>
              </w:rPr>
              <w:t>1. Choix des vues</w:t>
            </w:r>
          </w:p>
        </w:tc>
        <w:tc>
          <w:tcPr>
            <w:tcW w:type="dxa" w:w="1701"/>
          </w:tcPr>
          <w:p>
            <w:r/>
            <w:r>
              <w:rPr>
                <w:b w:val="0"/>
                <w:sz w:val="18"/>
              </w:rPr>
              <w:t>retrieve.py</w:t>
            </w:r>
          </w:p>
        </w:tc>
        <w:tc>
          <w:tcPr>
            <w:tcW w:type="dxa" w:w="10488"/>
          </w:tcPr>
          <w:p>
            <w:r/>
            <w:r>
              <w:rPr>
                <w:b w:val="0"/>
                <w:sz w:val="18"/>
              </w:rPr>
              <w:t>Les mots de la question (accents, pluriels et synonymes normalisés) sont comparés aux noms des vues, indicateurs, libellés de colonnes et valeurs. Les 3 vues les plus proches au maximum sont retenues ; la vue du dashboard ouvert est favorisée.</w:t>
            </w:r>
          </w:p>
        </w:tc>
      </w:tr>
      <w:tr>
        <w:tc>
          <w:tcPr>
            <w:tcW w:type="dxa" w:w="2268"/>
          </w:tcPr>
          <w:p>
            <w:r/>
            <w:r>
              <w:rPr>
                <w:b w:val="0"/>
                <w:sz w:val="18"/>
              </w:rPr>
              <w:t>2. Écriture du SQL</w:t>
            </w:r>
          </w:p>
        </w:tc>
        <w:tc>
          <w:tcPr>
            <w:tcW w:type="dxa" w:w="1701"/>
          </w:tcPr>
          <w:p>
            <w:r/>
            <w:r>
              <w:rPr>
                <w:b w:val="0"/>
                <w:sz w:val="18"/>
              </w:rPr>
              <w:t>generate.py</w:t>
            </w:r>
          </w:p>
        </w:tc>
        <w:tc>
          <w:tcPr>
            <w:tcW w:type="dxa" w:w="10488"/>
          </w:tcPr>
          <w:p>
            <w:r/>
            <w:r>
              <w:rPr>
                <w:b w:val="0"/>
                <w:sz w:val="18"/>
              </w:rPr>
              <w:t>Le modèle local (Ollama) reçoit les règles Oracle, la description des vues retenues (colonnes, libellés, valeurs possibles, formules des indicateurs), la date du jour et des exemples question → SQL. « cette année », « le mois dernier »… sont remplacés par la date exacte avant l'envoi. Une question identique à un exemple réutilise directement son SQL.</w:t>
            </w:r>
          </w:p>
        </w:tc>
      </w:tr>
      <w:tr>
        <w:tc>
          <w:tcPr>
            <w:tcW w:type="dxa" w:w="2268"/>
          </w:tcPr>
          <w:p>
            <w:r/>
            <w:r>
              <w:rPr>
                <w:b w:val="0"/>
                <w:sz w:val="18"/>
              </w:rPr>
              <w:t>3. Contrôle</w:t>
            </w:r>
          </w:p>
        </w:tc>
        <w:tc>
          <w:tcPr>
            <w:tcW w:type="dxa" w:w="1701"/>
          </w:tcPr>
          <w:p>
            <w:r/>
            <w:r>
              <w:rPr>
                <w:b w:val="0"/>
                <w:sz w:val="18"/>
              </w:rPr>
              <w:t>guard.py</w:t>
            </w:r>
          </w:p>
        </w:tc>
        <w:tc>
          <w:tcPr>
            <w:tcW w:type="dxa" w:w="10488"/>
          </w:tcPr>
          <w:p>
            <w:r/>
            <w:r>
              <w:rPr>
                <w:b w:val="0"/>
                <w:sz w:val="18"/>
              </w:rPr>
              <w:t>Analyse syntaxique (sqlglot, dialecte Oracle) : une seule requête SELECT, aucune écriture (INSERT, UPDATE, DELETE, DDL, PL/SQL), aucun objet système (SYS, DBA_, ALL_, USER_, V$, DBMS_, UTL_), aucun lien de base (@), uniquement les vues GRH et leurs colonnes. Limite de 200 lignes ajoutée si absente.</w:t>
            </w:r>
          </w:p>
        </w:tc>
      </w:tr>
      <w:tr>
        <w:tc>
          <w:tcPr>
            <w:tcW w:type="dxa" w:w="2268"/>
          </w:tcPr>
          <w:p>
            <w:r/>
            <w:r>
              <w:rPr>
                <w:b w:val="0"/>
                <w:sz w:val="18"/>
              </w:rPr>
              <w:t>4. Droits</w:t>
            </w:r>
          </w:p>
        </w:tc>
        <w:tc>
          <w:tcPr>
            <w:tcW w:type="dxa" w:w="1701"/>
          </w:tcPr>
          <w:p>
            <w:r/>
            <w:r>
              <w:rPr>
                <w:b w:val="0"/>
                <w:sz w:val="18"/>
              </w:rPr>
              <w:t>run.py</w:t>
            </w:r>
          </w:p>
        </w:tc>
        <w:tc>
          <w:tcPr>
            <w:tcW w:type="dxa" w:w="10488"/>
          </w:tcPr>
          <w:p>
            <w:r/>
            <w:r>
              <w:rPr>
                <w:b w:val="0"/>
                <w:sz w:val="18"/>
              </w:rPr>
              <w:t>Chaque vue correspond à un dataset Superset : l'utilisateur doit avoir accès à tous les datasets utilisés (même règle que pour les dashboards).</w:t>
            </w:r>
          </w:p>
        </w:tc>
      </w:tr>
      <w:tr>
        <w:tc>
          <w:tcPr>
            <w:tcW w:type="dxa" w:w="2268"/>
          </w:tcPr>
          <w:p>
            <w:r/>
            <w:r>
              <w:rPr>
                <w:b w:val="0"/>
                <w:sz w:val="18"/>
              </w:rPr>
              <w:t>5. Exécution</w:t>
            </w:r>
          </w:p>
        </w:tc>
        <w:tc>
          <w:tcPr>
            <w:tcW w:type="dxa" w:w="1701"/>
          </w:tcPr>
          <w:p>
            <w:r/>
            <w:r>
              <w:rPr>
                <w:b w:val="0"/>
                <w:sz w:val="18"/>
              </w:rPr>
              <w:t>run.py</w:t>
            </w:r>
          </w:p>
        </w:tc>
        <w:tc>
          <w:tcPr>
            <w:tcW w:type="dxa" w:w="10488"/>
          </w:tcPr>
          <w:p>
            <w:r/>
            <w:r>
              <w:rPr>
                <w:b w:val="0"/>
                <w:sz w:val="18"/>
              </w:rPr>
              <w:t>Chaque vue est remplacée par le SQL de son dataset (filtré sur la société si l'URL contient cod_soc), puis la requête est exécutée sur ENDADB via la connexion Superset (délai maximal 30 s, 200 lignes).</w:t>
            </w:r>
          </w:p>
        </w:tc>
      </w:tr>
      <w:tr>
        <w:tc>
          <w:tcPr>
            <w:tcW w:type="dxa" w:w="2268"/>
          </w:tcPr>
          <w:p>
            <w:r/>
            <w:r>
              <w:rPr>
                <w:b w:val="0"/>
                <w:sz w:val="18"/>
              </w:rPr>
              <w:t>6. Correction</w:t>
            </w:r>
          </w:p>
        </w:tc>
        <w:tc>
          <w:tcPr>
            <w:tcW w:type="dxa" w:w="1701"/>
          </w:tcPr>
          <w:p>
            <w:r/>
            <w:r>
              <w:rPr>
                <w:b w:val="0"/>
                <w:sz w:val="18"/>
              </w:rPr>
              <w:t>run.py</w:t>
            </w:r>
          </w:p>
        </w:tc>
        <w:tc>
          <w:tcPr>
            <w:tcW w:type="dxa" w:w="10488"/>
          </w:tcPr>
          <w:p>
            <w:r/>
            <w:r>
              <w:rPr>
                <w:b w:val="0"/>
                <w:sz w:val="18"/>
              </w:rPr>
              <w:t>Si Oracle ou le contrôle refuse la requête, l'erreur est renvoyée une fois au modèle pour correction.</w:t>
            </w:r>
          </w:p>
        </w:tc>
      </w:tr>
      <w:tr>
        <w:tc>
          <w:tcPr>
            <w:tcW w:type="dxa" w:w="2268"/>
          </w:tcPr>
          <w:p>
            <w:r/>
            <w:r>
              <w:rPr>
                <w:b w:val="0"/>
                <w:sz w:val="18"/>
              </w:rPr>
              <w:t>7. Réponse</w:t>
            </w:r>
          </w:p>
        </w:tc>
        <w:tc>
          <w:tcPr>
            <w:tcW w:type="dxa" w:w="1701"/>
          </w:tcPr>
          <w:p>
            <w:r/>
            <w:r>
              <w:rPr>
                <w:b w:val="0"/>
                <w:sz w:val="18"/>
              </w:rPr>
              <w:t>answer.py</w:t>
            </w:r>
          </w:p>
        </w:tc>
        <w:tc>
          <w:tcPr>
            <w:tcW w:type="dxa" w:w="10488"/>
          </w:tcPr>
          <w:p>
            <w:r/>
            <w:r>
              <w:rPr>
                <w:b w:val="0"/>
                <w:sz w:val="18"/>
              </w:rPr>
              <w:t>Phrase construite par un modèle de texte fixe (jamais rédigée par le modèle), tableau formaté en français (50 lignes affichées), CSV complet, requête SQL, vues utilisées et durée.</w:t>
            </w:r>
          </w:p>
        </w:tc>
      </w:tr>
    </w:tbl>
    <w:p/>
    <w:p>
      <w:r>
        <w:t>Points d'accès : POST /grh-sql-chat/api/ask {question, slug, cod_soc} renvoie la réponse, le tableau, la requête et les durées ; GET /grh-sql-chat/api/examples?slug= renvoie les exemples de questions du dashboard ouvert.</w:t>
      </w:r>
    </w:p>
    <w:p>
      <w:pPr>
        <w:pStyle w:val="Heading1"/>
      </w:pPr>
      <w:r>
        <w:t>2. Sécurité</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2835"/>
            <w:shd w:val="clear" w:color="auto" w:fill="1E3A8A"/>
          </w:tcPr>
          <w:p>
            <w:r/>
            <w:r>
              <w:rPr>
                <w:b/>
                <w:color w:val="FFFFFF"/>
                <w:sz w:val="18"/>
              </w:rPr>
              <w:t>Règle</w:t>
            </w:r>
          </w:p>
        </w:tc>
        <w:tc>
          <w:tcPr>
            <w:tcW w:type="dxa" w:w="11622"/>
            <w:shd w:val="clear" w:color="auto" w:fill="1E3A8A"/>
          </w:tcPr>
          <w:p>
            <w:r/>
            <w:r>
              <w:rPr>
                <w:b/>
                <w:color w:val="FFFFFF"/>
                <w:sz w:val="18"/>
              </w:rPr>
              <w:t>Mise en œuvre</w:t>
            </w:r>
          </w:p>
        </w:tc>
      </w:tr>
      <w:tr>
        <w:tc>
          <w:tcPr>
            <w:tcW w:type="dxa" w:w="2835"/>
          </w:tcPr>
          <w:p>
            <w:r/>
            <w:r>
              <w:rPr>
                <w:b w:val="0"/>
                <w:sz w:val="18"/>
              </w:rPr>
              <w:t>Lecture seule</w:t>
            </w:r>
          </w:p>
        </w:tc>
        <w:tc>
          <w:tcPr>
            <w:tcW w:type="dxa" w:w="11622"/>
          </w:tcPr>
          <w:p>
            <w:r/>
            <w:r>
              <w:rPr>
                <w:b w:val="0"/>
                <w:sz w:val="18"/>
              </w:rPr>
              <w:t>Seules les requêtes SELECT passent le contrôle ; une seule instruction par question.</w:t>
            </w:r>
          </w:p>
        </w:tc>
      </w:tr>
      <w:tr>
        <w:tc>
          <w:tcPr>
            <w:tcW w:type="dxa" w:w="2835"/>
          </w:tcPr>
          <w:p>
            <w:r/>
            <w:r>
              <w:rPr>
                <w:b w:val="0"/>
                <w:sz w:val="18"/>
              </w:rPr>
              <w:t>Périmètre</w:t>
            </w:r>
          </w:p>
        </w:tc>
        <w:tc>
          <w:tcPr>
            <w:tcW w:type="dxa" w:w="11622"/>
          </w:tcPr>
          <w:p>
            <w:r/>
            <w:r>
              <w:rPr>
                <w:b w:val="0"/>
                <w:sz w:val="18"/>
              </w:rPr>
              <w:t>Uniquement les 33 vues GRH plates et leurs colonnes ; tout autre objet est refusé.</w:t>
            </w:r>
          </w:p>
        </w:tc>
      </w:tr>
      <w:tr>
        <w:tc>
          <w:tcPr>
            <w:tcW w:type="dxa" w:w="2835"/>
          </w:tcPr>
          <w:p>
            <w:r/>
            <w:r>
              <w:rPr>
                <w:b w:val="0"/>
                <w:sz w:val="18"/>
              </w:rPr>
              <w:t>Droits Superset</w:t>
            </w:r>
          </w:p>
        </w:tc>
        <w:tc>
          <w:tcPr>
            <w:tcW w:type="dxa" w:w="11622"/>
          </w:tcPr>
          <w:p>
            <w:r/>
            <w:r>
              <w:rPr>
                <w:b w:val="0"/>
                <w:sz w:val="18"/>
              </w:rPr>
              <w:t>Accès vérifié par dataset pour l'utilisateur connecté ; les anonymes n'ont pas la bulle.</w:t>
            </w:r>
          </w:p>
        </w:tc>
      </w:tr>
      <w:tr>
        <w:tc>
          <w:tcPr>
            <w:tcW w:type="dxa" w:w="2835"/>
          </w:tcPr>
          <w:p>
            <w:r/>
            <w:r>
              <w:rPr>
                <w:b w:val="0"/>
                <w:sz w:val="18"/>
              </w:rPr>
              <w:t>Société</w:t>
            </w:r>
          </w:p>
        </w:tc>
        <w:tc>
          <w:tcPr>
            <w:tcW w:type="dxa" w:w="11622"/>
          </w:tcPr>
          <w:p>
            <w:r/>
            <w:r>
              <w:rPr>
                <w:b w:val="0"/>
                <w:sz w:val="18"/>
              </w:rPr>
              <w:t>Le paramètre cod_soc de l'URL filtre toutes les vues sur la société.</w:t>
            </w:r>
          </w:p>
        </w:tc>
      </w:tr>
      <w:tr>
        <w:tc>
          <w:tcPr>
            <w:tcW w:type="dxa" w:w="2835"/>
          </w:tcPr>
          <w:p>
            <w:r/>
            <w:r>
              <w:rPr>
                <w:b w:val="0"/>
                <w:sz w:val="18"/>
              </w:rPr>
              <w:t>Volume et durée</w:t>
            </w:r>
          </w:p>
        </w:tc>
        <w:tc>
          <w:tcPr>
            <w:tcW w:type="dxa" w:w="11622"/>
          </w:tcPr>
          <w:p>
            <w:r/>
            <w:r>
              <w:rPr>
                <w:b w:val="0"/>
                <w:sz w:val="18"/>
              </w:rPr>
              <w:t>200 lignes au maximum, 30 s d'exécution au maximum côté Oracle.</w:t>
            </w:r>
          </w:p>
        </w:tc>
      </w:tr>
      <w:tr>
        <w:tc>
          <w:tcPr>
            <w:tcW w:type="dxa" w:w="2835"/>
          </w:tcPr>
          <w:p>
            <w:r/>
            <w:r>
              <w:rPr>
                <w:b w:val="0"/>
                <w:sz w:val="18"/>
              </w:rPr>
              <w:t>Confidentialité</w:t>
            </w:r>
          </w:p>
        </w:tc>
        <w:tc>
          <w:tcPr>
            <w:tcW w:type="dxa" w:w="11622"/>
          </w:tcPr>
          <w:p>
            <w:r/>
            <w:r>
              <w:rPr>
                <w:b w:val="0"/>
                <w:sz w:val="18"/>
              </w:rPr>
              <w:t>Le modèle tourne en local (Ollama) : ni question ni donnée ne sort du serveur. Les noms, matricules et numéros de décision ne sont jamais envoyés au modèle (seuls les noms de colonnes le sont).</w:t>
            </w:r>
          </w:p>
        </w:tc>
      </w:tr>
      <w:tr>
        <w:tc>
          <w:tcPr>
            <w:tcW w:type="dxa" w:w="2835"/>
          </w:tcPr>
          <w:p>
            <w:r/>
            <w:r>
              <w:rPr>
                <w:b w:val="0"/>
                <w:sz w:val="18"/>
              </w:rPr>
              <w:t>Traçabilité</w:t>
            </w:r>
          </w:p>
        </w:tc>
        <w:tc>
          <w:tcPr>
            <w:tcW w:type="dxa" w:w="11622"/>
          </w:tcPr>
          <w:p>
            <w:r/>
            <w:r>
              <w:rPr>
                <w:b w:val="0"/>
                <w:sz w:val="18"/>
              </w:rPr>
              <w:t>Chaque réponse affiche la requête SQL exécutée ; les erreurs sont journalisées par Superset.</w:t>
            </w:r>
          </w:p>
        </w:tc>
      </w:tr>
    </w:tbl>
    <w:p/>
    <w:p>
      <w:pPr>
        <w:pStyle w:val="Heading1"/>
      </w:pPr>
      <w:r>
        <w:t>3. Installation et exploitation</w:t>
      </w:r>
    </w:p>
    <w:p>
      <w:pPr>
        <w:pStyle w:val="ListBullet"/>
      </w:pPr>
      <w:r>
        <w:rPr>
          <w:b/>
        </w:rPr>
        <w:t xml:space="preserve">Modèle : </w:t>
      </w:r>
      <w:r>
        <w:t>Variables OLLAMA_URL et OLLAMA_MODEL (docker/.env, docker/.env-local). Télécharger le modèle : ollama pull qwen2.5-coder:1.5b (ou service ollama-pull de docker compose). Licence Apache 2.0.</w:t>
      </w:r>
    </w:p>
    <w:p>
      <w:pPr>
        <w:pStyle w:val="ListBullet"/>
      </w:pPr>
      <w:r>
        <w:rPr>
          <w:b/>
        </w:rPr>
        <w:t xml:space="preserve">Superset : </w:t>
      </w:r>
      <w:r>
        <w:t>superset_config.py : BLUEPRINTS = [grh_sql_chat_bp] et init_grh_sql_chat(app) dans FLASK_APP_MUTATOR. Redémarrer le conteneur superset_app après modification de docker/.env.</w:t>
      </w:r>
    </w:p>
    <w:p>
      <w:pPr>
        <w:pStyle w:val="ListBullet"/>
      </w:pPr>
      <w:r>
        <w:rPr>
          <w:b/>
        </w:rPr>
        <w:t xml:space="preserve">Schéma : </w:t>
      </w:r>
      <w:r>
        <w:t>Après une modification des datasets GRH : python sqlchat/build_schema.py (régénère schema.json : colonnes, libellés, valeurs, indicateurs, SQL des datasets, exemples).</w:t>
      </w:r>
    </w:p>
    <w:p>
      <w:pPr>
        <w:pStyle w:val="ListBullet"/>
      </w:pPr>
      <w:r>
        <w:rPr>
          <w:b/>
        </w:rPr>
        <w:t xml:space="preserve">Exemples : </w:t>
      </w:r>
      <w:r>
        <w:t>sqlchat/examples.py : exemples question → SQL montrés au modèle et questions proposées par dashboard. Vérifier qu'ils s'exécutent : python sqlchat/eval_sql.py --examples.</w:t>
      </w:r>
    </w:p>
    <w:p>
      <w:pPr>
        <w:pStyle w:val="ListBullet"/>
      </w:pPr>
      <w:r>
        <w:rPr>
          <w:b/>
        </w:rPr>
        <w:t xml:space="preserve">Évaluation : </w:t>
      </w:r>
      <w:r>
        <w:t>python sqlchat/eval_sql.py : pose 30 questions et compare les résultats à des requêtes de référence (exports/eval_sql.json).</w:t>
      </w:r>
    </w:p>
    <w:p>
      <w:pPr>
        <w:pStyle w:val="ListBullet"/>
      </w:pPr>
      <w:r>
        <w:rPr>
          <w:b/>
        </w:rPr>
        <w:t xml:space="preserve">Options : </w:t>
      </w:r>
      <w:r>
        <w:t>GRH_SQL_CHAT_LLM_TIMEOUT (60 s), GRH_SQL_CHAT_LOCK_WAIT (20 s), GRH_SQL_CHAT_KEEP_ALIVE (24h). Les requêtes réussies sont gardées 1 h en cache Redis.</w:t>
      </w:r>
    </w:p>
    <w:p>
      <w:pPr>
        <w:pStyle w:val="Heading1"/>
      </w:pPr>
      <w:r>
        <w:t>4. Guide d'utilisation</w:t>
      </w:r>
    </w:p>
    <w:p>
      <w:pPr>
        <w:pStyle w:val="ListBullet"/>
      </w:pPr>
      <w:r>
        <w:t>Cliquer sur la bulle en bas à droite, écrire la question et appuyer sur Entrée (Maj+Entrée pour aller à la ligne). La flèche ↑ rappelle les questions précédentes.</w:t>
      </w:r>
    </w:p>
    <w:p>
      <w:pPr>
        <w:pStyle w:val="ListBullet"/>
      </w:pPr>
      <w:r>
        <w:t>Une bonne question précise l'indicateur, le découpage et la période : « Jours de maladie par direction en 2025 », « Top 10 des agents en retard en mars 2026 », « Net à payer moyen par sexe le dernier mois ».</w:t>
      </w:r>
    </w:p>
    <w:p>
      <w:pPr>
        <w:pStyle w:val="ListBullet"/>
      </w:pPr>
      <w:r>
        <w:t>Pour un agent, écrire son nom en majuscules : « Retards de l'agent BEN SALAH par mois ».</w:t>
      </w:r>
    </w:p>
    <w:p>
      <w:pPr>
        <w:pStyle w:val="ListBullet"/>
      </w:pPr>
      <w:r>
        <w:t>Sous chaque réponse : « Voir la requête SQL » (avec bouton Copier), « Télécharger CSV » (toutes les lignes, séparateur point-virgule, compatible Excel) et le lien vers le dashboard concerné.</w:t>
      </w:r>
    </w:p>
    <w:p>
      <w:pPr>
        <w:pStyle w:val="ListBullet"/>
      </w:pPr>
      <w:r>
        <w:t>Sur un dashboard, la bulle propose des exemples adaptés et privilégie ses données.</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3118"/>
            <w:shd w:val="clear" w:color="auto" w:fill="1E3A8A"/>
          </w:tcPr>
          <w:p>
            <w:r/>
            <w:r>
              <w:rPr>
                <w:b/>
                <w:color w:val="FFFFFF"/>
                <w:sz w:val="18"/>
              </w:rPr>
              <w:t>Dashboard</w:t>
            </w:r>
          </w:p>
        </w:tc>
        <w:tc>
          <w:tcPr>
            <w:tcW w:type="dxa" w:w="11339"/>
            <w:shd w:val="clear" w:color="auto" w:fill="1E3A8A"/>
          </w:tcPr>
          <w:p>
            <w:r/>
            <w:r>
              <w:rPr>
                <w:b/>
                <w:color w:val="FFFFFF"/>
                <w:sz w:val="18"/>
              </w:rPr>
              <w:t>Exemples de questions</w:t>
            </w:r>
          </w:p>
        </w:tc>
      </w:tr>
      <w:tr>
        <w:tc>
          <w:tcPr>
            <w:tcW w:type="dxa" w:w="3118"/>
          </w:tcPr>
          <w:p>
            <w:r/>
            <w:r>
              <w:rPr>
                <w:b w:val="0"/>
                <w:sz w:val="18"/>
              </w:rPr>
              <w:t>Tableau de bord RH</w:t>
            </w:r>
          </w:p>
        </w:tc>
        <w:tc>
          <w:tcPr>
            <w:tcW w:type="dxa" w:w="11339"/>
          </w:tcPr>
          <w:p>
            <w:r/>
            <w:r>
              <w:rPr>
                <w:b w:val="0"/>
                <w:sz w:val="18"/>
              </w:rPr>
              <w:t>Effectif payé par mois sur les 12 derniers mois · Coût employeur par année · Jours d'absence par nature en 2025</w:t>
            </w:r>
          </w:p>
        </w:tc>
      </w:tr>
      <w:tr>
        <w:tc>
          <w:tcPr>
            <w:tcW w:type="dxa" w:w="3118"/>
          </w:tcPr>
          <w:p>
            <w:r/>
            <w:r>
              <w:rPr>
                <w:b w:val="0"/>
                <w:sz w:val="18"/>
              </w:rPr>
              <w:t>Effectif GRH</w:t>
            </w:r>
          </w:p>
        </w:tc>
        <w:tc>
          <w:tcPr>
            <w:tcW w:type="dxa" w:w="11339"/>
          </w:tcPr>
          <w:p>
            <w:r/>
            <w:r>
              <w:rPr>
                <w:b w:val="0"/>
                <w:sz w:val="18"/>
              </w:rPr>
              <w:t>Effectif actif par direction · Âge moyen par catégorie · Agents actifs de plus de 60 ans · Nombre de femmes actives par pôle</w:t>
            </w:r>
          </w:p>
        </w:tc>
      </w:tr>
      <w:tr>
        <w:tc>
          <w:tcPr>
            <w:tcW w:type="dxa" w:w="3118"/>
          </w:tcPr>
          <w:p>
            <w:r/>
            <w:r>
              <w:rPr>
                <w:b w:val="0"/>
                <w:sz w:val="18"/>
              </w:rPr>
              <w:t>Congés et absences</w:t>
            </w:r>
          </w:p>
        </w:tc>
        <w:tc>
          <w:tcPr>
            <w:tcW w:type="dxa" w:w="11339"/>
          </w:tcPr>
          <w:p>
            <w:r/>
            <w:r>
              <w:rPr>
                <w:b w:val="0"/>
                <w:sz w:val="18"/>
              </w:rPr>
              <w:t>Jours de congé par type en 2025 · Qui est en congé aujourd'hui ? · Top 10 des agents avec le plus grand solde de congé</w:t>
            </w:r>
          </w:p>
        </w:tc>
      </w:tr>
      <w:tr>
        <w:tc>
          <w:tcPr>
            <w:tcW w:type="dxa" w:w="3118"/>
          </w:tcPr>
          <w:p>
            <w:r/>
            <w:r>
              <w:rPr>
                <w:b w:val="0"/>
                <w:sz w:val="18"/>
              </w:rPr>
              <w:t>Formation</w:t>
            </w:r>
          </w:p>
        </w:tc>
        <w:tc>
          <w:tcPr>
            <w:tcW w:type="dxa" w:w="11339"/>
          </w:tcPr>
          <w:p>
            <w:r/>
            <w:r>
              <w:rPr>
                <w:b w:val="0"/>
                <w:sz w:val="18"/>
              </w:rPr>
              <w:t>Coût des formations par domaine en 2025 · Agents ayant suivi le plus d'heures de formation</w:t>
            </w:r>
          </w:p>
        </w:tc>
      </w:tr>
      <w:tr>
        <w:tc>
          <w:tcPr>
            <w:tcW w:type="dxa" w:w="3118"/>
          </w:tcPr>
          <w:p>
            <w:r/>
            <w:r>
              <w:rPr>
                <w:b w:val="0"/>
                <w:sz w:val="18"/>
              </w:rPr>
              <w:t>Départs et retraites</w:t>
            </w:r>
          </w:p>
        </w:tc>
        <w:tc>
          <w:tcPr>
            <w:tcW w:type="dxa" w:w="11339"/>
          </w:tcPr>
          <w:p>
            <w:r/>
            <w:r>
              <w:rPr>
                <w:b w:val="0"/>
                <w:sz w:val="18"/>
              </w:rPr>
              <w:t>Départs par type de départ et par année · Agents qui partent à la retraite en 2027</w:t>
            </w:r>
          </w:p>
        </w:tc>
      </w:tr>
      <w:tr>
        <w:tc>
          <w:tcPr>
            <w:tcW w:type="dxa" w:w="3118"/>
          </w:tcPr>
          <w:p>
            <w:r/>
            <w:r>
              <w:rPr>
                <w:b w:val="0"/>
                <w:sz w:val="18"/>
              </w:rPr>
              <w:t>Prêts et avances</w:t>
            </w:r>
          </w:p>
        </w:tc>
        <w:tc>
          <w:tcPr>
            <w:tcW w:type="dxa" w:w="11339"/>
          </w:tcPr>
          <w:p>
            <w:r/>
            <w:r>
              <w:rPr>
                <w:b w:val="0"/>
                <w:sz w:val="18"/>
              </w:rPr>
              <w:t>Montant accordé par type de prêt · Prêts en cours par direction</w:t>
            </w:r>
          </w:p>
        </w:tc>
      </w:tr>
      <w:tr>
        <w:tc>
          <w:tcPr>
            <w:tcW w:type="dxa" w:w="3118"/>
          </w:tcPr>
          <w:p>
            <w:r/>
            <w:r>
              <w:rPr>
                <w:b w:val="0"/>
                <w:sz w:val="18"/>
              </w:rPr>
              <w:t>Mobilité et carrière</w:t>
            </w:r>
          </w:p>
        </w:tc>
        <w:tc>
          <w:tcPr>
            <w:tcW w:type="dxa" w:w="11339"/>
          </w:tcPr>
          <w:p>
            <w:r/>
            <w:r>
              <w:rPr>
                <w:b w:val="0"/>
                <w:sz w:val="18"/>
              </w:rPr>
              <w:t>Mutations par direction d'origine en 2025 · Promotions par grade obtenu</w:t>
            </w:r>
          </w:p>
        </w:tc>
      </w:tr>
      <w:tr>
        <w:tc>
          <w:tcPr>
            <w:tcW w:type="dxa" w:w="3118"/>
          </w:tcPr>
          <w:p>
            <w:r/>
            <w:r>
              <w:rPr>
                <w:b w:val="0"/>
                <w:sz w:val="18"/>
              </w:rPr>
              <w:t>Recrutement</w:t>
            </w:r>
          </w:p>
        </w:tc>
        <w:tc>
          <w:tcPr>
            <w:tcW w:type="dxa" w:w="11339"/>
          </w:tcPr>
          <w:p>
            <w:r/>
            <w:r>
              <w:rPr>
                <w:b w:val="0"/>
                <w:sz w:val="18"/>
              </w:rPr>
              <w:t>Recrutements par année · Candidats par concours</w:t>
            </w:r>
          </w:p>
        </w:tc>
      </w:tr>
      <w:tr>
        <w:tc>
          <w:tcPr>
            <w:tcW w:type="dxa" w:w="3118"/>
          </w:tcPr>
          <w:p>
            <w:r/>
            <w:r>
              <w:rPr>
                <w:b w:val="0"/>
                <w:sz w:val="18"/>
              </w:rPr>
              <w:t>Maladie et accidents</w:t>
            </w:r>
          </w:p>
        </w:tc>
        <w:tc>
          <w:tcPr>
            <w:tcW w:type="dxa" w:w="11339"/>
          </w:tcPr>
          <w:p>
            <w:r/>
            <w:r>
              <w:rPr>
                <w:b w:val="0"/>
                <w:sz w:val="18"/>
              </w:rPr>
              <w:t>Top 10 des agents avec le plus de jours de maladie en 2025 · Nombre d'accidents par année</w:t>
            </w:r>
          </w:p>
        </w:tc>
      </w:tr>
      <w:tr>
        <w:tc>
          <w:tcPr>
            <w:tcW w:type="dxa" w:w="3118"/>
          </w:tcPr>
          <w:p>
            <w:r/>
            <w:r>
              <w:rPr>
                <w:b w:val="0"/>
                <w:sz w:val="18"/>
              </w:rPr>
              <w:t>Salaires et masse salariale</w:t>
            </w:r>
          </w:p>
        </w:tc>
        <w:tc>
          <w:tcPr>
            <w:tcW w:type="dxa" w:w="11339"/>
          </w:tcPr>
          <w:p>
            <w:r/>
            <w:r>
              <w:rPr>
                <w:b w:val="0"/>
                <w:sz w:val="18"/>
              </w:rPr>
              <w:t>Masse salariale brute par mois en 2025 · Salaire net moyen par catégorie le dernier mois</w:t>
            </w:r>
          </w:p>
        </w:tc>
      </w:tr>
      <w:tr>
        <w:tc>
          <w:tcPr>
            <w:tcW w:type="dxa" w:w="3118"/>
          </w:tcPr>
          <w:p>
            <w:r/>
            <w:r>
              <w:rPr>
                <w:b w:val="0"/>
                <w:sz w:val="18"/>
              </w:rPr>
              <w:t>Présence et ponctualité</w:t>
            </w:r>
          </w:p>
        </w:tc>
        <w:tc>
          <w:tcPr>
            <w:tcW w:type="dxa" w:w="11339"/>
          </w:tcPr>
          <w:p>
            <w:r/>
            <w:r>
              <w:rPr>
                <w:b w:val="0"/>
                <w:sz w:val="18"/>
              </w:rPr>
              <w:t>Top 5 des retardataires en 2026 avec matricule, nom et prénom · Minutes de retard par direction en janvier 2026 · Présence moyenne par direction</w:t>
            </w:r>
          </w:p>
        </w:tc>
      </w:tr>
      <w:tr>
        <w:tc>
          <w:tcPr>
            <w:tcW w:type="dxa" w:w="3118"/>
          </w:tcPr>
          <w:p>
            <w:r/>
            <w:r>
              <w:rPr>
                <w:b w:val="0"/>
                <w:sz w:val="18"/>
              </w:rPr>
              <w:t>Budget et réalisé de la masse salariale</w:t>
            </w:r>
          </w:p>
        </w:tc>
        <w:tc>
          <w:tcPr>
            <w:tcW w:type="dxa" w:w="11339"/>
          </w:tcPr>
          <w:p>
            <w:r/>
            <w:r>
              <w:rPr>
                <w:b w:val="0"/>
                <w:sz w:val="18"/>
              </w:rPr>
              <w:t>Budget et réalisé par type de rubrique en 2025</w:t>
            </w:r>
          </w:p>
        </w:tc>
      </w:tr>
      <w:tr>
        <w:tc>
          <w:tcPr>
            <w:tcW w:type="dxa" w:w="3118"/>
          </w:tcPr>
          <w:p>
            <w:r/>
            <w:r>
              <w:rPr>
                <w:b w:val="0"/>
                <w:sz w:val="18"/>
              </w:rPr>
              <w:t>Évaluation et rendement</w:t>
            </w:r>
          </w:p>
        </w:tc>
        <w:tc>
          <w:tcPr>
            <w:tcW w:type="dxa" w:w="11339"/>
          </w:tcPr>
          <w:p>
            <w:r/>
            <w:r>
              <w:rPr>
                <w:b w:val="0"/>
                <w:sz w:val="18"/>
              </w:rPr>
              <w:t>Note moyenne par direction la dernière année · Top 10 des meilleures notes en 2025</w:t>
            </w:r>
          </w:p>
        </w:tc>
      </w:tr>
      <w:tr>
        <w:tc>
          <w:tcPr>
            <w:tcW w:type="dxa" w:w="3118"/>
          </w:tcPr>
          <w:p>
            <w:r/>
            <w:r>
              <w:rPr>
                <w:b w:val="0"/>
                <w:sz w:val="18"/>
              </w:rPr>
              <w:t>Couverture médicale</w:t>
            </w:r>
          </w:p>
        </w:tc>
        <w:tc>
          <w:tcPr>
            <w:tcW w:type="dxa" w:w="11339"/>
          </w:tcPr>
          <w:p>
            <w:r/>
            <w:r>
              <w:rPr>
                <w:b w:val="0"/>
                <w:sz w:val="18"/>
              </w:rPr>
              <w:t>Taux de remboursement des soins par année · Montant remboursé par type d'acte</w:t>
            </w:r>
          </w:p>
        </w:tc>
      </w:tr>
      <w:tr>
        <w:tc>
          <w:tcPr>
            <w:tcW w:type="dxa" w:w="3118"/>
          </w:tcPr>
          <w:p>
            <w:r/>
            <w:r>
              <w:rPr>
                <w:b w:val="0"/>
                <w:sz w:val="18"/>
              </w:rPr>
              <w:t>Œuvres sociales</w:t>
            </w:r>
          </w:p>
        </w:tc>
        <w:tc>
          <w:tcPr>
            <w:tcW w:type="dxa" w:w="11339"/>
          </w:tcPr>
          <w:p>
            <w:r/>
            <w:r>
              <w:rPr>
                <w:b w:val="0"/>
                <w:sz w:val="18"/>
              </w:rPr>
              <w:t>Montant des dons accordés par nature en 2025 · Primes de scolarité par niveau</w:t>
            </w:r>
          </w:p>
        </w:tc>
      </w:tr>
      <w:tr>
        <w:tc>
          <w:tcPr>
            <w:tcW w:type="dxa" w:w="3118"/>
          </w:tcPr>
          <w:p>
            <w:r/>
            <w:r>
              <w:rPr>
                <w:b w:val="0"/>
                <w:sz w:val="18"/>
              </w:rPr>
              <w:t>Endettement et cessions sur salaire</w:t>
            </w:r>
          </w:p>
        </w:tc>
        <w:tc>
          <w:tcPr>
            <w:tcW w:type="dxa" w:w="11339"/>
          </w:tcPr>
          <w:p>
            <w:r/>
            <w:r>
              <w:rPr>
                <w:b w:val="0"/>
                <w:sz w:val="18"/>
              </w:rPr>
              <w:t>Agents dont l'endettement dépasse 40 % · Mensualités des cessions en cours par famille</w:t>
            </w:r>
          </w:p>
        </w:tc>
      </w:tr>
      <w:tr>
        <w:tc>
          <w:tcPr>
            <w:tcW w:type="dxa" w:w="3118"/>
          </w:tcPr>
          <w:p>
            <w:r/>
            <w:r>
              <w:rPr>
                <w:b w:val="0"/>
                <w:sz w:val="18"/>
              </w:rPr>
              <w:t>Services RH</w:t>
            </w:r>
          </w:p>
        </w:tc>
        <w:tc>
          <w:tcPr>
            <w:tcW w:type="dxa" w:w="11339"/>
          </w:tcPr>
          <w:p>
            <w:r/>
            <w:r>
              <w:rPr>
                <w:b w:val="0"/>
                <w:sz w:val="18"/>
              </w:rPr>
              <w:t>Demandes en attente par type · Jours d'intérim par direction</w:t>
            </w:r>
          </w:p>
        </w:tc>
      </w:tr>
    </w:tbl>
    <w:p/>
    <w:p>
      <w:pPr>
        <w:pStyle w:val="Heading1"/>
      </w:pPr>
      <w:r>
        <w:t>5. Vues interrogeables</w:t>
      </w:r>
    </w:p>
    <w:p>
      <w:r>
        <w:t>Chaque vue correspond à un dataset des dashboards GRH ; elle est décrite au modèle avec ses colonnes et les formules de ses indicateurs.</w:t>
      </w:r>
    </w:p>
    <w:tbl>
      <w:tblPr>
        <w:tblStyle w:val="LightGrid-Accent1"/>
        <w:tblW w:type="auto" w:w="0"/>
        <w:jc w:val="center"/>
        <w:tblLayout w:type="fixed"/>
        <w:tblLook w:firstColumn="1" w:firstRow="1" w:lastColumn="0" w:lastRow="0" w:noHBand="0" w:noVBand="1" w:val="04A0"/>
      </w:tblPr>
      <w:tblGrid>
        <w:gridCol w:w="3535"/>
        <w:gridCol w:w="3535"/>
        <w:gridCol w:w="3535"/>
        <w:gridCol w:w="3535"/>
      </w:tblGrid>
      <w:tr>
        <w:trPr>
          <w:tblHeader w:val="true"/>
        </w:trPr>
        <w:tc>
          <w:tcPr>
            <w:tcW w:type="dxa" w:w="2835"/>
            <w:shd w:val="clear" w:color="auto" w:fill="1E3A8A"/>
          </w:tcPr>
          <w:p>
            <w:r/>
            <w:r>
              <w:rPr>
                <w:b/>
                <w:color w:val="FFFFFF"/>
                <w:sz w:val="18"/>
              </w:rPr>
              <w:t>Vue</w:t>
            </w:r>
          </w:p>
        </w:tc>
        <w:tc>
          <w:tcPr>
            <w:tcW w:type="dxa" w:w="2551"/>
            <w:shd w:val="clear" w:color="auto" w:fill="1E3A8A"/>
          </w:tcPr>
          <w:p>
            <w:r/>
            <w:r>
              <w:rPr>
                <w:b/>
                <w:color w:val="FFFFFF"/>
                <w:sz w:val="18"/>
              </w:rPr>
              <w:t>Dashboard</w:t>
            </w:r>
          </w:p>
        </w:tc>
        <w:tc>
          <w:tcPr>
            <w:tcW w:type="dxa" w:w="1134"/>
            <w:shd w:val="clear" w:color="auto" w:fill="1E3A8A"/>
          </w:tcPr>
          <w:p>
            <w:r/>
            <w:r>
              <w:rPr>
                <w:b/>
                <w:color w:val="FFFFFF"/>
                <w:sz w:val="18"/>
              </w:rPr>
              <w:t>Colonnes</w:t>
            </w:r>
          </w:p>
        </w:tc>
        <w:tc>
          <w:tcPr>
            <w:tcW w:type="dxa" w:w="7937"/>
            <w:shd w:val="clear" w:color="auto" w:fill="1E3A8A"/>
          </w:tcPr>
          <w:p>
            <w:r/>
            <w:r>
              <w:rPr>
                <w:b/>
                <w:color w:val="FFFFFF"/>
                <w:sz w:val="18"/>
              </w:rPr>
              <w:t>Indicateurs</w:t>
            </w:r>
          </w:p>
        </w:tc>
      </w:tr>
      <w:tr>
        <w:tc>
          <w:tcPr>
            <w:tcW w:type="dxa" w:w="2835"/>
          </w:tcPr>
          <w:p>
            <w:r/>
            <w:r>
              <w:rPr>
                <w:rFonts w:ascii="Consolas" w:hAnsi="Consolas" w:eastAsia="Consolas"/>
                <w:b w:val="0"/>
                <w:sz w:val="16"/>
              </w:rPr>
              <w:t>v_grh_effectif_mensuel</w:t>
            </w:r>
          </w:p>
        </w:tc>
        <w:tc>
          <w:tcPr>
            <w:tcW w:type="dxa" w:w="2551"/>
          </w:tcPr>
          <w:p>
            <w:r/>
            <w:r>
              <w:rPr>
                <w:b w:val="0"/>
                <w:sz w:val="18"/>
              </w:rPr>
              <w:t>Tableau de bord RH</w:t>
            </w:r>
          </w:p>
        </w:tc>
        <w:tc>
          <w:tcPr>
            <w:tcW w:type="dxa" w:w="1134"/>
          </w:tcPr>
          <w:p>
            <w:r/>
            <w:r>
              <w:rPr>
                <w:b w:val="0"/>
                <w:sz w:val="18"/>
              </w:rPr>
              <w:t>25</w:t>
            </w:r>
          </w:p>
        </w:tc>
        <w:tc>
          <w:tcPr>
            <w:tcW w:type="dxa" w:w="7937"/>
          </w:tcPr>
          <w:p>
            <w:r/>
            <w:r>
              <w:rPr>
                <w:b w:val="0"/>
                <w:sz w:val="18"/>
              </w:rPr>
              <w:t>Effectif payé, Entrées, Sorties, Taux de turnover, Taux de rétention (12 mois), Taux d'encadrement, Responsables, % de femmes parmi les responsables, Masse salariale brute, Coût employeur (brut + charges), Coût employeur moyen par agent</w:t>
            </w:r>
          </w:p>
        </w:tc>
      </w:tr>
      <w:tr>
        <w:tc>
          <w:tcPr>
            <w:tcW w:type="dxa" w:w="2835"/>
          </w:tcPr>
          <w:p>
            <w:r/>
            <w:r>
              <w:rPr>
                <w:rFonts w:ascii="Consolas" w:hAnsi="Consolas" w:eastAsia="Consolas"/>
                <w:b w:val="0"/>
                <w:sz w:val="16"/>
              </w:rPr>
              <w:t>v_grh_absenteisme_global</w:t>
            </w:r>
          </w:p>
        </w:tc>
        <w:tc>
          <w:tcPr>
            <w:tcW w:type="dxa" w:w="2551"/>
          </w:tcPr>
          <w:p>
            <w:r/>
            <w:r>
              <w:rPr>
                <w:b w:val="0"/>
                <w:sz w:val="18"/>
              </w:rPr>
              <w:t>Tableau de bord RH</w:t>
            </w:r>
          </w:p>
        </w:tc>
        <w:tc>
          <w:tcPr>
            <w:tcW w:type="dxa" w:w="1134"/>
          </w:tcPr>
          <w:p>
            <w:r/>
            <w:r>
              <w:rPr>
                <w:b w:val="0"/>
                <w:sz w:val="18"/>
              </w:rPr>
              <w:t>16</w:t>
            </w:r>
          </w:p>
        </w:tc>
        <w:tc>
          <w:tcPr>
            <w:tcW w:type="dxa" w:w="7937"/>
          </w:tcPr>
          <w:p>
            <w:r/>
            <w:r>
              <w:rPr>
                <w:b w:val="0"/>
                <w:sz w:val="18"/>
              </w:rPr>
              <w:t>Jours d'absence, Taux d'absentéisme global</w:t>
            </w:r>
          </w:p>
        </w:tc>
      </w:tr>
      <w:tr>
        <w:tc>
          <w:tcPr>
            <w:tcW w:type="dxa" w:w="2835"/>
          </w:tcPr>
          <w:p>
            <w:r/>
            <w:r>
              <w:rPr>
                <w:rFonts w:ascii="Consolas" w:hAnsi="Consolas" w:eastAsia="Consolas"/>
                <w:b w:val="0"/>
                <w:sz w:val="16"/>
              </w:rPr>
              <w:t>v_effectif_grh</w:t>
            </w:r>
          </w:p>
        </w:tc>
        <w:tc>
          <w:tcPr>
            <w:tcW w:type="dxa" w:w="2551"/>
          </w:tcPr>
          <w:p>
            <w:r/>
            <w:r>
              <w:rPr>
                <w:b w:val="0"/>
                <w:sz w:val="18"/>
              </w:rPr>
              <w:t>Effectif GRH</w:t>
            </w:r>
          </w:p>
        </w:tc>
        <w:tc>
          <w:tcPr>
            <w:tcW w:type="dxa" w:w="1134"/>
          </w:tcPr>
          <w:p>
            <w:r/>
            <w:r>
              <w:rPr>
                <w:b w:val="0"/>
                <w:sz w:val="18"/>
              </w:rPr>
              <w:t>25</w:t>
            </w:r>
          </w:p>
        </w:tc>
        <w:tc>
          <w:tcPr>
            <w:tcW w:type="dxa" w:w="7937"/>
          </w:tcPr>
          <w:p>
            <w:r/>
            <w:r>
              <w:rPr>
                <w:b w:val="0"/>
                <w:sz w:val="18"/>
              </w:rPr>
              <w:t>Effectif, % Femmes, Âge moyen, Ancienneté moyenne, Recrutements année en cours, Départs année en cours</w:t>
            </w:r>
          </w:p>
        </w:tc>
      </w:tr>
      <w:tr>
        <w:tc>
          <w:tcPr>
            <w:tcW w:type="dxa" w:w="2835"/>
          </w:tcPr>
          <w:p>
            <w:r/>
            <w:r>
              <w:rPr>
                <w:rFonts w:ascii="Consolas" w:hAnsi="Consolas" w:eastAsia="Consolas"/>
                <w:b w:val="0"/>
                <w:sz w:val="16"/>
              </w:rPr>
              <w:t>v_mouvements_grh</w:t>
            </w:r>
          </w:p>
        </w:tc>
        <w:tc>
          <w:tcPr>
            <w:tcW w:type="dxa" w:w="2551"/>
          </w:tcPr>
          <w:p>
            <w:r/>
            <w:r>
              <w:rPr>
                <w:b w:val="0"/>
                <w:sz w:val="18"/>
              </w:rPr>
              <w:t>Effectif GRH</w:t>
            </w:r>
          </w:p>
        </w:tc>
        <w:tc>
          <w:tcPr>
            <w:tcW w:type="dxa" w:w="1134"/>
          </w:tcPr>
          <w:p>
            <w:r/>
            <w:r>
              <w:rPr>
                <w:b w:val="0"/>
                <w:sz w:val="18"/>
              </w:rPr>
              <w:t>28</w:t>
            </w:r>
          </w:p>
        </w:tc>
        <w:tc>
          <w:tcPr>
            <w:tcW w:type="dxa" w:w="7937"/>
          </w:tcPr>
          <w:p>
            <w:r/>
            <w:r>
              <w:rPr>
                <w:b w:val="0"/>
                <w:sz w:val="18"/>
              </w:rPr>
              <w:t>Mouvements</w:t>
            </w:r>
          </w:p>
        </w:tc>
      </w:tr>
      <w:tr>
        <w:tc>
          <w:tcPr>
            <w:tcW w:type="dxa" w:w="2835"/>
          </w:tcPr>
          <w:p>
            <w:r/>
            <w:r>
              <w:rPr>
                <w:rFonts w:ascii="Consolas" w:hAnsi="Consolas" w:eastAsia="Consolas"/>
                <w:b w:val="0"/>
                <w:sz w:val="16"/>
              </w:rPr>
              <w:t>v_grh_conges</w:t>
            </w:r>
          </w:p>
        </w:tc>
        <w:tc>
          <w:tcPr>
            <w:tcW w:type="dxa" w:w="2551"/>
          </w:tcPr>
          <w:p>
            <w:r/>
            <w:r>
              <w:rPr>
                <w:b w:val="0"/>
                <w:sz w:val="18"/>
              </w:rPr>
              <w:t>Congés et absences</w:t>
            </w:r>
          </w:p>
        </w:tc>
        <w:tc>
          <w:tcPr>
            <w:tcW w:type="dxa" w:w="1134"/>
          </w:tcPr>
          <w:p>
            <w:r/>
            <w:r>
              <w:rPr>
                <w:b w:val="0"/>
                <w:sz w:val="18"/>
              </w:rPr>
              <w:t>20</w:t>
            </w:r>
          </w:p>
        </w:tc>
        <w:tc>
          <w:tcPr>
            <w:tcW w:type="dxa" w:w="7937"/>
          </w:tcPr>
          <w:p>
            <w:r/>
            <w:r>
              <w:rPr>
                <w:b w:val="0"/>
                <w:sz w:val="18"/>
              </w:rPr>
              <w:t>Demandes, Jours d'absence, Durée moyenne (jours), Solde moyen (jours), Absents aujourd'hui, Agents concernés</w:t>
            </w:r>
          </w:p>
        </w:tc>
      </w:tr>
      <w:tr>
        <w:tc>
          <w:tcPr>
            <w:tcW w:type="dxa" w:w="2835"/>
          </w:tcPr>
          <w:p>
            <w:r/>
            <w:r>
              <w:rPr>
                <w:rFonts w:ascii="Consolas" w:hAnsi="Consolas" w:eastAsia="Consolas"/>
                <w:b w:val="0"/>
                <w:sz w:val="16"/>
              </w:rPr>
              <w:t>v_grh_formation_actions</w:t>
            </w:r>
          </w:p>
        </w:tc>
        <w:tc>
          <w:tcPr>
            <w:tcW w:type="dxa" w:w="2551"/>
          </w:tcPr>
          <w:p>
            <w:r/>
            <w:r>
              <w:rPr>
                <w:b w:val="0"/>
                <w:sz w:val="18"/>
              </w:rPr>
              <w:t>Formation</w:t>
            </w:r>
          </w:p>
        </w:tc>
        <w:tc>
          <w:tcPr>
            <w:tcW w:type="dxa" w:w="1134"/>
          </w:tcPr>
          <w:p>
            <w:r/>
            <w:r>
              <w:rPr>
                <w:b w:val="0"/>
                <w:sz w:val="18"/>
              </w:rPr>
              <w:t>17</w:t>
            </w:r>
          </w:p>
        </w:tc>
        <w:tc>
          <w:tcPr>
            <w:tcW w:type="dxa" w:w="7937"/>
          </w:tcPr>
          <w:p>
            <w:r/>
            <w:r>
              <w:rPr>
                <w:b w:val="0"/>
                <w:sz w:val="18"/>
              </w:rPr>
              <w:t>Actions de formation, Heures de formation, Coût TTC (DT), Coût moyen par action (DT), Participations</w:t>
            </w:r>
          </w:p>
        </w:tc>
      </w:tr>
      <w:tr>
        <w:tc>
          <w:tcPr>
            <w:tcW w:type="dxa" w:w="2835"/>
          </w:tcPr>
          <w:p>
            <w:r/>
            <w:r>
              <w:rPr>
                <w:rFonts w:ascii="Consolas" w:hAnsi="Consolas" w:eastAsia="Consolas"/>
                <w:b w:val="0"/>
                <w:sz w:val="16"/>
              </w:rPr>
              <w:t>v_grh_formation_participants</w:t>
            </w:r>
          </w:p>
        </w:tc>
        <w:tc>
          <w:tcPr>
            <w:tcW w:type="dxa" w:w="2551"/>
          </w:tcPr>
          <w:p>
            <w:r/>
            <w:r>
              <w:rPr>
                <w:b w:val="0"/>
                <w:sz w:val="18"/>
              </w:rPr>
              <w:t>Formation</w:t>
            </w:r>
          </w:p>
        </w:tc>
        <w:tc>
          <w:tcPr>
            <w:tcW w:type="dxa" w:w="1134"/>
          </w:tcPr>
          <w:p>
            <w:r/>
            <w:r>
              <w:rPr>
                <w:b w:val="0"/>
                <w:sz w:val="18"/>
              </w:rPr>
              <w:t>18</w:t>
            </w:r>
          </w:p>
        </w:tc>
        <w:tc>
          <w:tcPr>
            <w:tcW w:type="dxa" w:w="7937"/>
          </w:tcPr>
          <w:p>
            <w:r/>
            <w:r>
              <w:rPr>
                <w:b w:val="0"/>
                <w:sz w:val="18"/>
              </w:rPr>
              <w:t>Participations, Agents formés, Heures stagiaires</w:t>
            </w:r>
          </w:p>
        </w:tc>
      </w:tr>
      <w:tr>
        <w:tc>
          <w:tcPr>
            <w:tcW w:type="dxa" w:w="2835"/>
          </w:tcPr>
          <w:p>
            <w:r/>
            <w:r>
              <w:rPr>
                <w:rFonts w:ascii="Consolas" w:hAnsi="Consolas" w:eastAsia="Consolas"/>
                <w:b w:val="0"/>
                <w:sz w:val="16"/>
              </w:rPr>
              <w:t>v_grh_departs</w:t>
            </w:r>
          </w:p>
        </w:tc>
        <w:tc>
          <w:tcPr>
            <w:tcW w:type="dxa" w:w="2551"/>
          </w:tcPr>
          <w:p>
            <w:r/>
            <w:r>
              <w:rPr>
                <w:b w:val="0"/>
                <w:sz w:val="18"/>
              </w:rPr>
              <w:t>Départs et retraites</w:t>
            </w:r>
          </w:p>
        </w:tc>
        <w:tc>
          <w:tcPr>
            <w:tcW w:type="dxa" w:w="1134"/>
          </w:tcPr>
          <w:p>
            <w:r/>
            <w:r>
              <w:rPr>
                <w:b w:val="0"/>
                <w:sz w:val="18"/>
              </w:rPr>
              <w:t>16</w:t>
            </w:r>
          </w:p>
        </w:tc>
        <w:tc>
          <w:tcPr>
            <w:tcW w:type="dxa" w:w="7937"/>
          </w:tcPr>
          <w:p>
            <w:r/>
            <w:r>
              <w:rPr>
                <w:b w:val="0"/>
                <w:sz w:val="18"/>
              </w:rPr>
              <w:t>Départs, Taux de départ (12 mois), Âge moyen au départ</w:t>
            </w:r>
          </w:p>
        </w:tc>
      </w:tr>
      <w:tr>
        <w:tc>
          <w:tcPr>
            <w:tcW w:type="dxa" w:w="2835"/>
          </w:tcPr>
          <w:p>
            <w:r/>
            <w:r>
              <w:rPr>
                <w:rFonts w:ascii="Consolas" w:hAnsi="Consolas" w:eastAsia="Consolas"/>
                <w:b w:val="0"/>
                <w:sz w:val="16"/>
              </w:rPr>
              <w:t>v_grh_retraites</w:t>
            </w:r>
          </w:p>
        </w:tc>
        <w:tc>
          <w:tcPr>
            <w:tcW w:type="dxa" w:w="2551"/>
          </w:tcPr>
          <w:p>
            <w:r/>
            <w:r>
              <w:rPr>
                <w:b w:val="0"/>
                <w:sz w:val="18"/>
              </w:rPr>
              <w:t>Départs et retraites</w:t>
            </w:r>
          </w:p>
        </w:tc>
        <w:tc>
          <w:tcPr>
            <w:tcW w:type="dxa" w:w="1134"/>
          </w:tcPr>
          <w:p>
            <w:r/>
            <w:r>
              <w:rPr>
                <w:b w:val="0"/>
                <w:sz w:val="18"/>
              </w:rPr>
              <w:t>16</w:t>
            </w:r>
          </w:p>
        </w:tc>
        <w:tc>
          <w:tcPr>
            <w:tcW w:type="dxa" w:w="7937"/>
          </w:tcPr>
          <w:p>
            <w:r/>
            <w:r>
              <w:rPr>
                <w:b w:val="0"/>
                <w:sz w:val="18"/>
              </w:rPr>
              <w:t>Départs à la retraite prévus</w:t>
            </w:r>
          </w:p>
        </w:tc>
      </w:tr>
      <w:tr>
        <w:tc>
          <w:tcPr>
            <w:tcW w:type="dxa" w:w="2835"/>
          </w:tcPr>
          <w:p>
            <w:r/>
            <w:r>
              <w:rPr>
                <w:rFonts w:ascii="Consolas" w:hAnsi="Consolas" w:eastAsia="Consolas"/>
                <w:b w:val="0"/>
                <w:sz w:val="16"/>
              </w:rPr>
              <w:t>v_grh_prets</w:t>
            </w:r>
          </w:p>
        </w:tc>
        <w:tc>
          <w:tcPr>
            <w:tcW w:type="dxa" w:w="2551"/>
          </w:tcPr>
          <w:p>
            <w:r/>
            <w:r>
              <w:rPr>
                <w:b w:val="0"/>
                <w:sz w:val="18"/>
              </w:rPr>
              <w:t>Prêts et avances</w:t>
            </w:r>
          </w:p>
        </w:tc>
        <w:tc>
          <w:tcPr>
            <w:tcW w:type="dxa" w:w="1134"/>
          </w:tcPr>
          <w:p>
            <w:r/>
            <w:r>
              <w:rPr>
                <w:b w:val="0"/>
                <w:sz w:val="18"/>
              </w:rPr>
              <w:t>25</w:t>
            </w:r>
          </w:p>
        </w:tc>
        <w:tc>
          <w:tcPr>
            <w:tcW w:type="dxa" w:w="7937"/>
          </w:tcPr>
          <w:p>
            <w:r/>
            <w:r>
              <w:rPr>
                <w:b w:val="0"/>
                <w:sz w:val="18"/>
              </w:rPr>
              <w:t>Demandes, Montant demandé (DT), Montant accordé (DT), Taux d'accord, Montant moyen accordé (DT), Prêts en cours de remboursement, Mensualités en cours (DT)</w:t>
            </w:r>
          </w:p>
        </w:tc>
      </w:tr>
      <w:tr>
        <w:tc>
          <w:tcPr>
            <w:tcW w:type="dxa" w:w="2835"/>
          </w:tcPr>
          <w:p>
            <w:r/>
            <w:r>
              <w:rPr>
                <w:rFonts w:ascii="Consolas" w:hAnsi="Consolas" w:eastAsia="Consolas"/>
                <w:b w:val="0"/>
                <w:sz w:val="16"/>
              </w:rPr>
              <w:t>v_grh_mutations</w:t>
            </w:r>
          </w:p>
        </w:tc>
        <w:tc>
          <w:tcPr>
            <w:tcW w:type="dxa" w:w="2551"/>
          </w:tcPr>
          <w:p>
            <w:r/>
            <w:r>
              <w:rPr>
                <w:b w:val="0"/>
                <w:sz w:val="18"/>
              </w:rPr>
              <w:t>Mobilité et carrière</w:t>
            </w:r>
          </w:p>
        </w:tc>
        <w:tc>
          <w:tcPr>
            <w:tcW w:type="dxa" w:w="1134"/>
          </w:tcPr>
          <w:p>
            <w:r/>
            <w:r>
              <w:rPr>
                <w:b w:val="0"/>
                <w:sz w:val="18"/>
              </w:rPr>
              <w:t>20</w:t>
            </w:r>
          </w:p>
        </w:tc>
        <w:tc>
          <w:tcPr>
            <w:tcW w:type="dxa" w:w="7937"/>
          </w:tcPr>
          <w:p>
            <w:r/>
            <w:r>
              <w:rPr>
                <w:b w:val="0"/>
                <w:sz w:val="18"/>
              </w:rPr>
              <w:t>Mutations, Agents mutés, % inter-directions</w:t>
            </w:r>
          </w:p>
        </w:tc>
      </w:tr>
      <w:tr>
        <w:tc>
          <w:tcPr>
            <w:tcW w:type="dxa" w:w="2835"/>
          </w:tcPr>
          <w:p>
            <w:r/>
            <w:r>
              <w:rPr>
                <w:rFonts w:ascii="Consolas" w:hAnsi="Consolas" w:eastAsia="Consolas"/>
                <w:b w:val="0"/>
                <w:sz w:val="16"/>
              </w:rPr>
              <w:t>v_grh_demandes_mutation</w:t>
            </w:r>
          </w:p>
        </w:tc>
        <w:tc>
          <w:tcPr>
            <w:tcW w:type="dxa" w:w="2551"/>
          </w:tcPr>
          <w:p>
            <w:r/>
            <w:r>
              <w:rPr>
                <w:b w:val="0"/>
                <w:sz w:val="18"/>
              </w:rPr>
              <w:t>Mobilité et carrière</w:t>
            </w:r>
          </w:p>
        </w:tc>
        <w:tc>
          <w:tcPr>
            <w:tcW w:type="dxa" w:w="1134"/>
          </w:tcPr>
          <w:p>
            <w:r/>
            <w:r>
              <w:rPr>
                <w:b w:val="0"/>
                <w:sz w:val="18"/>
              </w:rPr>
              <w:t>11</w:t>
            </w:r>
          </w:p>
        </w:tc>
        <w:tc>
          <w:tcPr>
            <w:tcW w:type="dxa" w:w="7937"/>
          </w:tcPr>
          <w:p>
            <w:r/>
            <w:r>
              <w:rPr>
                <w:b w:val="0"/>
                <w:sz w:val="18"/>
              </w:rPr>
              <w:t>Demandes de mutation</w:t>
            </w:r>
          </w:p>
        </w:tc>
      </w:tr>
      <w:tr>
        <w:tc>
          <w:tcPr>
            <w:tcW w:type="dxa" w:w="2835"/>
          </w:tcPr>
          <w:p>
            <w:r/>
            <w:r>
              <w:rPr>
                <w:rFonts w:ascii="Consolas" w:hAnsi="Consolas" w:eastAsia="Consolas"/>
                <w:b w:val="0"/>
                <w:sz w:val="16"/>
              </w:rPr>
              <w:t>v_grh_promotions</w:t>
            </w:r>
          </w:p>
        </w:tc>
        <w:tc>
          <w:tcPr>
            <w:tcW w:type="dxa" w:w="2551"/>
          </w:tcPr>
          <w:p>
            <w:r/>
            <w:r>
              <w:rPr>
                <w:b w:val="0"/>
                <w:sz w:val="18"/>
              </w:rPr>
              <w:t>Mobilité et carrière</w:t>
            </w:r>
          </w:p>
        </w:tc>
        <w:tc>
          <w:tcPr>
            <w:tcW w:type="dxa" w:w="1134"/>
          </w:tcPr>
          <w:p>
            <w:r/>
            <w:r>
              <w:rPr>
                <w:b w:val="0"/>
                <w:sz w:val="18"/>
              </w:rPr>
              <w:t>10</w:t>
            </w:r>
          </w:p>
        </w:tc>
        <w:tc>
          <w:tcPr>
            <w:tcW w:type="dxa" w:w="7937"/>
          </w:tcPr>
          <w:p>
            <w:r/>
            <w:r>
              <w:rPr>
                <w:b w:val="0"/>
                <w:sz w:val="18"/>
              </w:rPr>
              <w:t>Promotions de grade</w:t>
            </w:r>
          </w:p>
        </w:tc>
      </w:tr>
      <w:tr>
        <w:tc>
          <w:tcPr>
            <w:tcW w:type="dxa" w:w="2835"/>
          </w:tcPr>
          <w:p>
            <w:r/>
            <w:r>
              <w:rPr>
                <w:rFonts w:ascii="Consolas" w:hAnsi="Consolas" w:eastAsia="Consolas"/>
                <w:b w:val="0"/>
                <w:sz w:val="16"/>
              </w:rPr>
              <w:t>v_grh_candidats</w:t>
            </w:r>
          </w:p>
        </w:tc>
        <w:tc>
          <w:tcPr>
            <w:tcW w:type="dxa" w:w="2551"/>
          </w:tcPr>
          <w:p>
            <w:r/>
            <w:r>
              <w:rPr>
                <w:b w:val="0"/>
                <w:sz w:val="18"/>
              </w:rPr>
              <w:t>Recrutement</w:t>
            </w:r>
          </w:p>
        </w:tc>
        <w:tc>
          <w:tcPr>
            <w:tcW w:type="dxa" w:w="1134"/>
          </w:tcPr>
          <w:p>
            <w:r/>
            <w:r>
              <w:rPr>
                <w:b w:val="0"/>
                <w:sz w:val="18"/>
              </w:rPr>
              <w:t>14</w:t>
            </w:r>
          </w:p>
        </w:tc>
        <w:tc>
          <w:tcPr>
            <w:tcW w:type="dxa" w:w="7937"/>
          </w:tcPr>
          <w:p>
            <w:r/>
            <w:r>
              <w:rPr>
                <w:b w:val="0"/>
                <w:sz w:val="18"/>
              </w:rPr>
              <w:t>Candidatures, Taux de recrutement, Part des femmes</w:t>
            </w:r>
          </w:p>
        </w:tc>
      </w:tr>
      <w:tr>
        <w:tc>
          <w:tcPr>
            <w:tcW w:type="dxa" w:w="2835"/>
          </w:tcPr>
          <w:p>
            <w:r/>
            <w:r>
              <w:rPr>
                <w:rFonts w:ascii="Consolas" w:hAnsi="Consolas" w:eastAsia="Consolas"/>
                <w:b w:val="0"/>
                <w:sz w:val="16"/>
              </w:rPr>
              <w:t>v_grh_recrutements</w:t>
            </w:r>
          </w:p>
        </w:tc>
        <w:tc>
          <w:tcPr>
            <w:tcW w:type="dxa" w:w="2551"/>
          </w:tcPr>
          <w:p>
            <w:r/>
            <w:r>
              <w:rPr>
                <w:b w:val="0"/>
                <w:sz w:val="18"/>
              </w:rPr>
              <w:t>Recrutement</w:t>
            </w:r>
          </w:p>
        </w:tc>
        <w:tc>
          <w:tcPr>
            <w:tcW w:type="dxa" w:w="1134"/>
          </w:tcPr>
          <w:p>
            <w:r/>
            <w:r>
              <w:rPr>
                <w:b w:val="0"/>
                <w:sz w:val="18"/>
              </w:rPr>
              <w:t>13</w:t>
            </w:r>
          </w:p>
        </w:tc>
        <w:tc>
          <w:tcPr>
            <w:tcW w:type="dxa" w:w="7937"/>
          </w:tcPr>
          <w:p>
            <w:r/>
            <w:r>
              <w:rPr>
                <w:b w:val="0"/>
                <w:sz w:val="18"/>
              </w:rPr>
              <w:t>Recrutements, Âge moyen au recrutement</w:t>
            </w:r>
          </w:p>
        </w:tc>
      </w:tr>
      <w:tr>
        <w:tc>
          <w:tcPr>
            <w:tcW w:type="dxa" w:w="2835"/>
          </w:tcPr>
          <w:p>
            <w:r/>
            <w:r>
              <w:rPr>
                <w:rFonts w:ascii="Consolas" w:hAnsi="Consolas" w:eastAsia="Consolas"/>
                <w:b w:val="0"/>
                <w:sz w:val="16"/>
              </w:rPr>
              <w:t>v_grh_absences_maladie</w:t>
            </w:r>
          </w:p>
        </w:tc>
        <w:tc>
          <w:tcPr>
            <w:tcW w:type="dxa" w:w="2551"/>
          </w:tcPr>
          <w:p>
            <w:r/>
            <w:r>
              <w:rPr>
                <w:b w:val="0"/>
                <w:sz w:val="18"/>
              </w:rPr>
              <w:t>Maladie et accidents</w:t>
            </w:r>
          </w:p>
        </w:tc>
        <w:tc>
          <w:tcPr>
            <w:tcW w:type="dxa" w:w="1134"/>
          </w:tcPr>
          <w:p>
            <w:r/>
            <w:r>
              <w:rPr>
                <w:b w:val="0"/>
                <w:sz w:val="18"/>
              </w:rPr>
              <w:t>19</w:t>
            </w:r>
          </w:p>
        </w:tc>
        <w:tc>
          <w:tcPr>
            <w:tcW w:type="dxa" w:w="7937"/>
          </w:tcPr>
          <w:p>
            <w:r/>
            <w:r>
              <w:rPr>
                <w:b w:val="0"/>
                <w:sz w:val="18"/>
              </w:rPr>
              <w:t>Jours d'absence, Arrêts, Agents concernés, Durée moyenne d'un arrêt (jours), Taux d'absentéisme maladie</w:t>
            </w:r>
          </w:p>
        </w:tc>
      </w:tr>
      <w:tr>
        <w:tc>
          <w:tcPr>
            <w:tcW w:type="dxa" w:w="2835"/>
          </w:tcPr>
          <w:p>
            <w:r/>
            <w:r>
              <w:rPr>
                <w:rFonts w:ascii="Consolas" w:hAnsi="Consolas" w:eastAsia="Consolas"/>
                <w:b w:val="0"/>
                <w:sz w:val="16"/>
              </w:rPr>
              <w:t>v_grh_indemnites_maladie</w:t>
            </w:r>
          </w:p>
        </w:tc>
        <w:tc>
          <w:tcPr>
            <w:tcW w:type="dxa" w:w="2551"/>
          </w:tcPr>
          <w:p>
            <w:r/>
            <w:r>
              <w:rPr>
                <w:b w:val="0"/>
                <w:sz w:val="18"/>
              </w:rPr>
              <w:t>Maladie et accidents</w:t>
            </w:r>
          </w:p>
        </w:tc>
        <w:tc>
          <w:tcPr>
            <w:tcW w:type="dxa" w:w="1134"/>
          </w:tcPr>
          <w:p>
            <w:r/>
            <w:r>
              <w:rPr>
                <w:b w:val="0"/>
                <w:sz w:val="18"/>
              </w:rPr>
              <w:t>14</w:t>
            </w:r>
          </w:p>
        </w:tc>
        <w:tc>
          <w:tcPr>
            <w:tcW w:type="dxa" w:w="7937"/>
          </w:tcPr>
          <w:p>
            <w:r/>
            <w:r>
              <w:rPr>
                <w:b w:val="0"/>
                <w:sz w:val="18"/>
              </w:rPr>
              <w:t>Demandes d'indemnités, Jours indemnisés</w:t>
            </w:r>
          </w:p>
        </w:tc>
      </w:tr>
      <w:tr>
        <w:tc>
          <w:tcPr>
            <w:tcW w:type="dxa" w:w="2835"/>
          </w:tcPr>
          <w:p>
            <w:r/>
            <w:r>
              <w:rPr>
                <w:rFonts w:ascii="Consolas" w:hAnsi="Consolas" w:eastAsia="Consolas"/>
                <w:b w:val="0"/>
                <w:sz w:val="16"/>
              </w:rPr>
              <w:t>v_grh_accidents</w:t>
            </w:r>
          </w:p>
        </w:tc>
        <w:tc>
          <w:tcPr>
            <w:tcW w:type="dxa" w:w="2551"/>
          </w:tcPr>
          <w:p>
            <w:r/>
            <w:r>
              <w:rPr>
                <w:b w:val="0"/>
                <w:sz w:val="18"/>
              </w:rPr>
              <w:t>Maladie et accidents</w:t>
            </w:r>
          </w:p>
        </w:tc>
        <w:tc>
          <w:tcPr>
            <w:tcW w:type="dxa" w:w="1134"/>
          </w:tcPr>
          <w:p>
            <w:r/>
            <w:r>
              <w:rPr>
                <w:b w:val="0"/>
                <w:sz w:val="18"/>
              </w:rPr>
              <w:t>15</w:t>
            </w:r>
          </w:p>
        </w:tc>
        <w:tc>
          <w:tcPr>
            <w:tcW w:type="dxa" w:w="7937"/>
          </w:tcPr>
          <w:p>
            <w:r/>
            <w:r>
              <w:rPr>
                <w:b w:val="0"/>
                <w:sz w:val="18"/>
              </w:rPr>
              <w:t>Accidents</w:t>
            </w:r>
          </w:p>
        </w:tc>
      </w:tr>
      <w:tr>
        <w:tc>
          <w:tcPr>
            <w:tcW w:type="dxa" w:w="2835"/>
          </w:tcPr>
          <w:p>
            <w:r/>
            <w:r>
              <w:rPr>
                <w:rFonts w:ascii="Consolas" w:hAnsi="Consolas" w:eastAsia="Consolas"/>
                <w:b w:val="0"/>
                <w:sz w:val="16"/>
              </w:rPr>
              <w:t>v_grh_paie</w:t>
            </w:r>
          </w:p>
        </w:tc>
        <w:tc>
          <w:tcPr>
            <w:tcW w:type="dxa" w:w="2551"/>
          </w:tcPr>
          <w:p>
            <w:r/>
            <w:r>
              <w:rPr>
                <w:b w:val="0"/>
                <w:sz w:val="18"/>
              </w:rPr>
              <w:t>Salaires et masse salariale</w:t>
            </w:r>
          </w:p>
        </w:tc>
        <w:tc>
          <w:tcPr>
            <w:tcW w:type="dxa" w:w="1134"/>
          </w:tcPr>
          <w:p>
            <w:r/>
            <w:r>
              <w:rPr>
                <w:b w:val="0"/>
                <w:sz w:val="18"/>
              </w:rPr>
              <w:t>29</w:t>
            </w:r>
          </w:p>
        </w:tc>
        <w:tc>
          <w:tcPr>
            <w:tcW w:type="dxa" w:w="7937"/>
          </w:tcPr>
          <w:p>
            <w:r/>
            <w:r>
              <w:rPr>
                <w:b w:val="0"/>
                <w:sz w:val="18"/>
              </w:rPr>
              <w:t>Masse salariale brute, Coût employeur (brut + charges), Charges patronales, Net à payer, Salaire de base, Primes et indemnités mensuelles, Cotisations salariales, Impôt et CSS, Salaire brut mensuel moyen, Net à payer mensuel moyen, Taux de charges patronales, Agents payés</w:t>
            </w:r>
          </w:p>
        </w:tc>
      </w:tr>
      <w:tr>
        <w:tc>
          <w:tcPr>
            <w:tcW w:type="dxa" w:w="2835"/>
          </w:tcPr>
          <w:p>
            <w:r/>
            <w:r>
              <w:rPr>
                <w:rFonts w:ascii="Consolas" w:hAnsi="Consolas" w:eastAsia="Consolas"/>
                <w:b w:val="0"/>
                <w:sz w:val="16"/>
              </w:rPr>
              <w:t>v_grh_retards</w:t>
            </w:r>
          </w:p>
        </w:tc>
        <w:tc>
          <w:tcPr>
            <w:tcW w:type="dxa" w:w="2551"/>
          </w:tcPr>
          <w:p>
            <w:r/>
            <w:r>
              <w:rPr>
                <w:b w:val="0"/>
                <w:sz w:val="18"/>
              </w:rPr>
              <w:t>Présence et ponctualité</w:t>
            </w:r>
          </w:p>
        </w:tc>
        <w:tc>
          <w:tcPr>
            <w:tcW w:type="dxa" w:w="1134"/>
          </w:tcPr>
          <w:p>
            <w:r/>
            <w:r>
              <w:rPr>
                <w:b w:val="0"/>
                <w:sz w:val="18"/>
              </w:rPr>
              <w:t>17</w:t>
            </w:r>
          </w:p>
        </w:tc>
        <w:tc>
          <w:tcPr>
            <w:tcW w:type="dxa" w:w="7937"/>
          </w:tcPr>
          <w:p>
            <w:r/>
            <w:r>
              <w:rPr>
                <w:b w:val="0"/>
                <w:sz w:val="18"/>
              </w:rPr>
              <w:t>Retards, Minutes de retard, Durée moyenne d'un retard (min), Agents concernés</w:t>
            </w:r>
          </w:p>
        </w:tc>
      </w:tr>
      <w:tr>
        <w:tc>
          <w:tcPr>
            <w:tcW w:type="dxa" w:w="2835"/>
          </w:tcPr>
          <w:p>
            <w:r/>
            <w:r>
              <w:rPr>
                <w:rFonts w:ascii="Consolas" w:hAnsi="Consolas" w:eastAsia="Consolas"/>
                <w:b w:val="0"/>
                <w:sz w:val="16"/>
              </w:rPr>
              <w:t>v_grh_autorisations_sortie</w:t>
            </w:r>
          </w:p>
        </w:tc>
        <w:tc>
          <w:tcPr>
            <w:tcW w:type="dxa" w:w="2551"/>
          </w:tcPr>
          <w:p>
            <w:r/>
            <w:r>
              <w:rPr>
                <w:b w:val="0"/>
                <w:sz w:val="18"/>
              </w:rPr>
              <w:t>Présence et ponctualité</w:t>
            </w:r>
          </w:p>
        </w:tc>
        <w:tc>
          <w:tcPr>
            <w:tcW w:type="dxa" w:w="1134"/>
          </w:tcPr>
          <w:p>
            <w:r/>
            <w:r>
              <w:rPr>
                <w:b w:val="0"/>
                <w:sz w:val="18"/>
              </w:rPr>
              <w:t>17</w:t>
            </w:r>
          </w:p>
        </w:tc>
        <w:tc>
          <w:tcPr>
            <w:tcW w:type="dxa" w:w="7937"/>
          </w:tcPr>
          <w:p>
            <w:r/>
            <w:r>
              <w:rPr>
                <w:b w:val="0"/>
                <w:sz w:val="18"/>
              </w:rPr>
              <w:t>Autorisations de sortie, Heures de sortie</w:t>
            </w:r>
          </w:p>
        </w:tc>
      </w:tr>
      <w:tr>
        <w:tc>
          <w:tcPr>
            <w:tcW w:type="dxa" w:w="2835"/>
          </w:tcPr>
          <w:p>
            <w:r/>
            <w:r>
              <w:rPr>
                <w:rFonts w:ascii="Consolas" w:hAnsi="Consolas" w:eastAsia="Consolas"/>
                <w:b w:val="0"/>
                <w:sz w:val="16"/>
              </w:rPr>
              <w:t>v_grh_pointages</w:t>
            </w:r>
          </w:p>
        </w:tc>
        <w:tc>
          <w:tcPr>
            <w:tcW w:type="dxa" w:w="2551"/>
          </w:tcPr>
          <w:p>
            <w:r/>
            <w:r>
              <w:rPr>
                <w:b w:val="0"/>
                <w:sz w:val="18"/>
              </w:rPr>
              <w:t>Présence et ponctualité</w:t>
            </w:r>
          </w:p>
        </w:tc>
        <w:tc>
          <w:tcPr>
            <w:tcW w:type="dxa" w:w="1134"/>
          </w:tcPr>
          <w:p>
            <w:r/>
            <w:r>
              <w:rPr>
                <w:b w:val="0"/>
                <w:sz w:val="18"/>
              </w:rPr>
              <w:t>15</w:t>
            </w:r>
          </w:p>
        </w:tc>
        <w:tc>
          <w:tcPr>
            <w:tcW w:type="dxa" w:w="7937"/>
          </w:tcPr>
          <w:p>
            <w:r/>
            <w:r>
              <w:rPr>
                <w:b w:val="0"/>
                <w:sz w:val="18"/>
              </w:rPr>
              <w:t>Agents ayant pointé, Présence moyenne par jour (h), Heure moyenne d'arrivée</w:t>
            </w:r>
          </w:p>
        </w:tc>
      </w:tr>
      <w:tr>
        <w:tc>
          <w:tcPr>
            <w:tcW w:type="dxa" w:w="2835"/>
          </w:tcPr>
          <w:p>
            <w:r/>
            <w:r>
              <w:rPr>
                <w:rFonts w:ascii="Consolas" w:hAnsi="Consolas" w:eastAsia="Consolas"/>
                <w:b w:val="0"/>
                <w:sz w:val="16"/>
              </w:rPr>
              <w:t>v_grh_budget</w:t>
            </w:r>
          </w:p>
        </w:tc>
        <w:tc>
          <w:tcPr>
            <w:tcW w:type="dxa" w:w="2551"/>
          </w:tcPr>
          <w:p>
            <w:r/>
            <w:r>
              <w:rPr>
                <w:b w:val="0"/>
                <w:sz w:val="18"/>
              </w:rPr>
              <w:t>Budget et réalisé de la masse salariale</w:t>
            </w:r>
          </w:p>
        </w:tc>
        <w:tc>
          <w:tcPr>
            <w:tcW w:type="dxa" w:w="1134"/>
          </w:tcPr>
          <w:p>
            <w:r/>
            <w:r>
              <w:rPr>
                <w:b w:val="0"/>
                <w:sz w:val="18"/>
              </w:rPr>
              <w:t>12</w:t>
            </w:r>
          </w:p>
        </w:tc>
        <w:tc>
          <w:tcPr>
            <w:tcW w:type="dxa" w:w="7937"/>
          </w:tcPr>
          <w:p>
            <w:r/>
            <w:r>
              <w:rPr>
                <w:b w:val="0"/>
                <w:sz w:val="18"/>
              </w:rPr>
              <w:t>Budget, Réalisé (paie), Écart réalisé - budget, Taux de réalisation</w:t>
            </w:r>
          </w:p>
        </w:tc>
      </w:tr>
      <w:tr>
        <w:tc>
          <w:tcPr>
            <w:tcW w:type="dxa" w:w="2835"/>
          </w:tcPr>
          <w:p>
            <w:r/>
            <w:r>
              <w:rPr>
                <w:rFonts w:ascii="Consolas" w:hAnsi="Consolas" w:eastAsia="Consolas"/>
                <w:b w:val="0"/>
                <w:sz w:val="16"/>
              </w:rPr>
              <w:t>v_grh_notes_rendement</w:t>
            </w:r>
          </w:p>
        </w:tc>
        <w:tc>
          <w:tcPr>
            <w:tcW w:type="dxa" w:w="2551"/>
          </w:tcPr>
          <w:p>
            <w:r/>
            <w:r>
              <w:rPr>
                <w:b w:val="0"/>
                <w:sz w:val="18"/>
              </w:rPr>
              <w:t>Évaluation et rendement</w:t>
            </w:r>
          </w:p>
        </w:tc>
        <w:tc>
          <w:tcPr>
            <w:tcW w:type="dxa" w:w="1134"/>
          </w:tcPr>
          <w:p>
            <w:r/>
            <w:r>
              <w:rPr>
                <w:b w:val="0"/>
                <w:sz w:val="18"/>
              </w:rPr>
              <w:t>21</w:t>
            </w:r>
          </w:p>
        </w:tc>
        <w:tc>
          <w:tcPr>
            <w:tcW w:type="dxa" w:w="7937"/>
          </w:tcPr>
          <w:p>
            <w:r/>
            <w:r>
              <w:rPr>
                <w:b w:val="0"/>
                <w:sz w:val="18"/>
              </w:rPr>
              <w:t>Note moyenne (/20), Agents notés, Notes, Part des notes ≥ 19, Taux de promotion l'année suivante, Note d'assiduité moyenne, Note congé de maladie moyenne</w:t>
            </w:r>
          </w:p>
        </w:tc>
      </w:tr>
      <w:tr>
        <w:tc>
          <w:tcPr>
            <w:tcW w:type="dxa" w:w="2835"/>
          </w:tcPr>
          <w:p>
            <w:r/>
            <w:r>
              <w:rPr>
                <w:rFonts w:ascii="Consolas" w:hAnsi="Consolas" w:eastAsia="Consolas"/>
                <w:b w:val="0"/>
                <w:sz w:val="16"/>
              </w:rPr>
              <w:t>v_grh_soins</w:t>
            </w:r>
          </w:p>
        </w:tc>
        <w:tc>
          <w:tcPr>
            <w:tcW w:type="dxa" w:w="2551"/>
          </w:tcPr>
          <w:p>
            <w:r/>
            <w:r>
              <w:rPr>
                <w:b w:val="0"/>
                <w:sz w:val="18"/>
              </w:rPr>
              <w:t>Couverture médicale</w:t>
            </w:r>
          </w:p>
        </w:tc>
        <w:tc>
          <w:tcPr>
            <w:tcW w:type="dxa" w:w="1134"/>
          </w:tcPr>
          <w:p>
            <w:r/>
            <w:r>
              <w:rPr>
                <w:b w:val="0"/>
                <w:sz w:val="18"/>
              </w:rPr>
              <w:t>17</w:t>
            </w:r>
          </w:p>
        </w:tc>
        <w:tc>
          <w:tcPr>
            <w:tcW w:type="dxa" w:w="7937"/>
          </w:tcPr>
          <w:p>
            <w:r/>
            <w:r>
              <w:rPr>
                <w:b w:val="0"/>
                <w:sz w:val="18"/>
              </w:rPr>
              <w:t>Bulletins de soins, Frais engagés, Montant remboursé, Taux de remboursement, Délai moyen soins → réception (jours), Agents bénéficiaires</w:t>
            </w:r>
          </w:p>
        </w:tc>
      </w:tr>
      <w:tr>
        <w:tc>
          <w:tcPr>
            <w:tcW w:type="dxa" w:w="2835"/>
          </w:tcPr>
          <w:p>
            <w:r/>
            <w:r>
              <w:rPr>
                <w:rFonts w:ascii="Consolas" w:hAnsi="Consolas" w:eastAsia="Consolas"/>
                <w:b w:val="0"/>
                <w:sz w:val="16"/>
              </w:rPr>
              <w:t>v_grh_soins_actes</w:t>
            </w:r>
          </w:p>
        </w:tc>
        <w:tc>
          <w:tcPr>
            <w:tcW w:type="dxa" w:w="2551"/>
          </w:tcPr>
          <w:p>
            <w:r/>
            <w:r>
              <w:rPr>
                <w:b w:val="0"/>
                <w:sz w:val="18"/>
              </w:rPr>
              <w:t>Couverture médicale</w:t>
            </w:r>
          </w:p>
        </w:tc>
        <w:tc>
          <w:tcPr>
            <w:tcW w:type="dxa" w:w="1134"/>
          </w:tcPr>
          <w:p>
            <w:r/>
            <w:r>
              <w:rPr>
                <w:b w:val="0"/>
                <w:sz w:val="18"/>
              </w:rPr>
              <w:t>13</w:t>
            </w:r>
          </w:p>
        </w:tc>
        <w:tc>
          <w:tcPr>
            <w:tcW w:type="dxa" w:w="7937"/>
          </w:tcPr>
          <w:p>
            <w:r/>
            <w:r>
              <w:rPr>
                <w:b w:val="0"/>
                <w:sz w:val="18"/>
              </w:rPr>
              <w:t>Actes, Montant remboursé, Frais engagés</w:t>
            </w:r>
          </w:p>
        </w:tc>
      </w:tr>
      <w:tr>
        <w:tc>
          <w:tcPr>
            <w:tcW w:type="dxa" w:w="2835"/>
          </w:tcPr>
          <w:p>
            <w:r/>
            <w:r>
              <w:rPr>
                <w:rFonts w:ascii="Consolas" w:hAnsi="Consolas" w:eastAsia="Consolas"/>
                <w:b w:val="0"/>
                <w:sz w:val="16"/>
              </w:rPr>
              <w:t>v_grh_dons</w:t>
            </w:r>
          </w:p>
        </w:tc>
        <w:tc>
          <w:tcPr>
            <w:tcW w:type="dxa" w:w="2551"/>
          </w:tcPr>
          <w:p>
            <w:r/>
            <w:r>
              <w:rPr>
                <w:b w:val="0"/>
                <w:sz w:val="18"/>
              </w:rPr>
              <w:t>Œuvres sociales</w:t>
            </w:r>
          </w:p>
        </w:tc>
        <w:tc>
          <w:tcPr>
            <w:tcW w:type="dxa" w:w="1134"/>
          </w:tcPr>
          <w:p>
            <w:r/>
            <w:r>
              <w:rPr>
                <w:b w:val="0"/>
                <w:sz w:val="18"/>
              </w:rPr>
              <w:t>16</w:t>
            </w:r>
          </w:p>
        </w:tc>
        <w:tc>
          <w:tcPr>
            <w:tcW w:type="dxa" w:w="7937"/>
          </w:tcPr>
          <w:p>
            <w:r/>
            <w:r>
              <w:rPr>
                <w:b w:val="0"/>
                <w:sz w:val="18"/>
              </w:rPr>
              <w:t>Demandes, Montant accordé, Montant demandé, Taux d'acceptation, Agents bénéficiaires, Montant moyen par agent</w:t>
            </w:r>
          </w:p>
        </w:tc>
      </w:tr>
      <w:tr>
        <w:tc>
          <w:tcPr>
            <w:tcW w:type="dxa" w:w="2835"/>
          </w:tcPr>
          <w:p>
            <w:r/>
            <w:r>
              <w:rPr>
                <w:rFonts w:ascii="Consolas" w:hAnsi="Consolas" w:eastAsia="Consolas"/>
                <w:b w:val="0"/>
                <w:sz w:val="16"/>
              </w:rPr>
              <w:t>v_grh_scolarite</w:t>
            </w:r>
          </w:p>
        </w:tc>
        <w:tc>
          <w:tcPr>
            <w:tcW w:type="dxa" w:w="2551"/>
          </w:tcPr>
          <w:p>
            <w:r/>
            <w:r>
              <w:rPr>
                <w:b w:val="0"/>
                <w:sz w:val="18"/>
              </w:rPr>
              <w:t>Œuvres sociales</w:t>
            </w:r>
          </w:p>
        </w:tc>
        <w:tc>
          <w:tcPr>
            <w:tcW w:type="dxa" w:w="1134"/>
          </w:tcPr>
          <w:p>
            <w:r/>
            <w:r>
              <w:rPr>
                <w:b w:val="0"/>
                <w:sz w:val="18"/>
              </w:rPr>
              <w:t>12</w:t>
            </w:r>
          </w:p>
        </w:tc>
        <w:tc>
          <w:tcPr>
            <w:tcW w:type="dxa" w:w="7937"/>
          </w:tcPr>
          <w:p>
            <w:r/>
            <w:r>
              <w:rPr>
                <w:b w:val="0"/>
                <w:sz w:val="18"/>
              </w:rPr>
              <w:t>Primes de scolarité (enfants), Montant des primes de scolarité, Agents bénéficiaires</w:t>
            </w:r>
          </w:p>
        </w:tc>
      </w:tr>
      <w:tr>
        <w:tc>
          <w:tcPr>
            <w:tcW w:type="dxa" w:w="2835"/>
          </w:tcPr>
          <w:p>
            <w:r/>
            <w:r>
              <w:rPr>
                <w:rFonts w:ascii="Consolas" w:hAnsi="Consolas" w:eastAsia="Consolas"/>
                <w:b w:val="0"/>
                <w:sz w:val="16"/>
              </w:rPr>
              <w:t>v_grh_cessions</w:t>
            </w:r>
          </w:p>
        </w:tc>
        <w:tc>
          <w:tcPr>
            <w:tcW w:type="dxa" w:w="2551"/>
          </w:tcPr>
          <w:p>
            <w:r/>
            <w:r>
              <w:rPr>
                <w:b w:val="0"/>
                <w:sz w:val="18"/>
              </w:rPr>
              <w:t>Endettement et cessions sur salaire</w:t>
            </w:r>
          </w:p>
        </w:tc>
        <w:tc>
          <w:tcPr>
            <w:tcW w:type="dxa" w:w="1134"/>
          </w:tcPr>
          <w:p>
            <w:r/>
            <w:r>
              <w:rPr>
                <w:b w:val="0"/>
                <w:sz w:val="18"/>
              </w:rPr>
              <w:t>16</w:t>
            </w:r>
          </w:p>
        </w:tc>
        <w:tc>
          <w:tcPr>
            <w:tcW w:type="dxa" w:w="7937"/>
          </w:tcPr>
          <w:p>
            <w:r/>
            <w:r>
              <w:rPr>
                <w:b w:val="0"/>
                <w:sz w:val="18"/>
              </w:rPr>
              <w:t>Cessions, Cessions en cours, Retenues mensuelles en cours, Agents avec une cession en cours</w:t>
            </w:r>
          </w:p>
        </w:tc>
      </w:tr>
      <w:tr>
        <w:tc>
          <w:tcPr>
            <w:tcW w:type="dxa" w:w="2835"/>
          </w:tcPr>
          <w:p>
            <w:r/>
            <w:r>
              <w:rPr>
                <w:rFonts w:ascii="Consolas" w:hAnsi="Consolas" w:eastAsia="Consolas"/>
                <w:b w:val="0"/>
                <w:sz w:val="16"/>
              </w:rPr>
              <w:t>v_grh_capacite</w:t>
            </w:r>
          </w:p>
        </w:tc>
        <w:tc>
          <w:tcPr>
            <w:tcW w:type="dxa" w:w="2551"/>
          </w:tcPr>
          <w:p>
            <w:r/>
            <w:r>
              <w:rPr>
                <w:b w:val="0"/>
                <w:sz w:val="18"/>
              </w:rPr>
              <w:t>Endettement et cessions sur salaire</w:t>
            </w:r>
          </w:p>
        </w:tc>
        <w:tc>
          <w:tcPr>
            <w:tcW w:type="dxa" w:w="1134"/>
          </w:tcPr>
          <w:p>
            <w:r/>
            <w:r>
              <w:rPr>
                <w:b w:val="0"/>
                <w:sz w:val="18"/>
              </w:rPr>
              <w:t>17</w:t>
            </w:r>
          </w:p>
        </w:tc>
        <w:tc>
          <w:tcPr>
            <w:tcW w:type="dxa" w:w="7937"/>
          </w:tcPr>
          <w:p>
            <w:r/>
            <w:r>
              <w:rPr>
                <w:b w:val="0"/>
                <w:sz w:val="18"/>
              </w:rPr>
              <w:t>Simulations, Agents, Taux d'endettement moyen après prêt (%), Taux d'endettement moyen avant prêt (%), Agents à 40 % ou plus</w:t>
            </w:r>
          </w:p>
        </w:tc>
      </w:tr>
      <w:tr>
        <w:tc>
          <w:tcPr>
            <w:tcW w:type="dxa" w:w="2835"/>
          </w:tcPr>
          <w:p>
            <w:r/>
            <w:r>
              <w:rPr>
                <w:rFonts w:ascii="Consolas" w:hAnsi="Consolas" w:eastAsia="Consolas"/>
                <w:b w:val="0"/>
                <w:sz w:val="16"/>
              </w:rPr>
              <w:t>v_grh_attestations</w:t>
            </w:r>
          </w:p>
        </w:tc>
        <w:tc>
          <w:tcPr>
            <w:tcW w:type="dxa" w:w="2551"/>
          </w:tcPr>
          <w:p>
            <w:r/>
            <w:r>
              <w:rPr>
                <w:b w:val="0"/>
                <w:sz w:val="18"/>
              </w:rPr>
              <w:t>Services RH</w:t>
            </w:r>
          </w:p>
        </w:tc>
        <w:tc>
          <w:tcPr>
            <w:tcW w:type="dxa" w:w="1134"/>
          </w:tcPr>
          <w:p>
            <w:r/>
            <w:r>
              <w:rPr>
                <w:b w:val="0"/>
                <w:sz w:val="18"/>
              </w:rPr>
              <w:t>13</w:t>
            </w:r>
          </w:p>
        </w:tc>
        <w:tc>
          <w:tcPr>
            <w:tcW w:type="dxa" w:w="7937"/>
          </w:tcPr>
          <w:p>
            <w:r/>
            <w:r>
              <w:rPr>
                <w:b w:val="0"/>
                <w:sz w:val="18"/>
              </w:rPr>
              <w:t>Attestations éditées, Agents demandeurs</w:t>
            </w:r>
          </w:p>
        </w:tc>
      </w:tr>
      <w:tr>
        <w:tc>
          <w:tcPr>
            <w:tcW w:type="dxa" w:w="2835"/>
          </w:tcPr>
          <w:p>
            <w:r/>
            <w:r>
              <w:rPr>
                <w:rFonts w:ascii="Consolas" w:hAnsi="Consolas" w:eastAsia="Consolas"/>
                <w:b w:val="0"/>
                <w:sz w:val="16"/>
              </w:rPr>
              <w:t>v_grh_demandes_service</w:t>
            </w:r>
          </w:p>
        </w:tc>
        <w:tc>
          <w:tcPr>
            <w:tcW w:type="dxa" w:w="2551"/>
          </w:tcPr>
          <w:p>
            <w:r/>
            <w:r>
              <w:rPr>
                <w:b w:val="0"/>
                <w:sz w:val="18"/>
              </w:rPr>
              <w:t>Services RH</w:t>
            </w:r>
          </w:p>
        </w:tc>
        <w:tc>
          <w:tcPr>
            <w:tcW w:type="dxa" w:w="1134"/>
          </w:tcPr>
          <w:p>
            <w:r/>
            <w:r>
              <w:rPr>
                <w:b w:val="0"/>
                <w:sz w:val="18"/>
              </w:rPr>
              <w:t>13</w:t>
            </w:r>
          </w:p>
        </w:tc>
        <w:tc>
          <w:tcPr>
            <w:tcW w:type="dxa" w:w="7937"/>
          </w:tcPr>
          <w:p>
            <w:r/>
            <w:r>
              <w:rPr>
                <w:b w:val="0"/>
                <w:sz w:val="18"/>
              </w:rPr>
              <w:t>Demandes de service, Délai moyen de réponse (jours), Demandes en attente</w:t>
            </w:r>
          </w:p>
        </w:tc>
      </w:tr>
      <w:tr>
        <w:tc>
          <w:tcPr>
            <w:tcW w:type="dxa" w:w="2835"/>
          </w:tcPr>
          <w:p>
            <w:r/>
            <w:r>
              <w:rPr>
                <w:rFonts w:ascii="Consolas" w:hAnsi="Consolas" w:eastAsia="Consolas"/>
                <w:b w:val="0"/>
                <w:sz w:val="16"/>
              </w:rPr>
              <w:t>v_grh_interims</w:t>
            </w:r>
          </w:p>
        </w:tc>
        <w:tc>
          <w:tcPr>
            <w:tcW w:type="dxa" w:w="2551"/>
          </w:tcPr>
          <w:p>
            <w:r/>
            <w:r>
              <w:rPr>
                <w:b w:val="0"/>
                <w:sz w:val="18"/>
              </w:rPr>
              <w:t>Services RH</w:t>
            </w:r>
          </w:p>
        </w:tc>
        <w:tc>
          <w:tcPr>
            <w:tcW w:type="dxa" w:w="1134"/>
          </w:tcPr>
          <w:p>
            <w:r/>
            <w:r>
              <w:rPr>
                <w:b w:val="0"/>
                <w:sz w:val="18"/>
              </w:rPr>
              <w:t>13</w:t>
            </w:r>
          </w:p>
        </w:tc>
        <w:tc>
          <w:tcPr>
            <w:tcW w:type="dxa" w:w="7937"/>
          </w:tcPr>
          <w:p>
            <w:r/>
            <w:r>
              <w:rPr>
                <w:b w:val="0"/>
                <w:sz w:val="18"/>
              </w:rPr>
              <w:t>Intérims, Jours d'intérim, Agents remplaçants</w:t>
            </w:r>
          </w:p>
        </w:tc>
      </w:tr>
    </w:tbl>
    <w:p/>
    <w:p>
      <w:pPr>
        <w:pStyle w:val="Heading1"/>
      </w:pPr>
      <w:r>
        <w:t>6. Résultats de l'évaluation</w:t>
      </w:r>
    </w:p>
    <w:p>
      <w:r>
        <w:t>Évaluation du 2026-10-12 avec qwen2.5-coder:1.5b : 30 questions couvrant les 17 dashboards. Une réponse est exacte quand son résultat contient les mêmes lignes et les mêmes valeurs que la requête de référence (colonnes supplémentaires, ordre et arrondis à 0,5 près tolérés).</w:t>
      </w:r>
    </w:p>
    <w:tbl>
      <w:tblPr>
        <w:tblStyle w:val="LightGrid-Accent1"/>
        <w:tblW w:type="auto" w:w="0"/>
        <w:jc w:val="center"/>
        <w:tblLayout w:type="fixed"/>
        <w:tblLook w:firstColumn="1" w:firstRow="1" w:lastColumn="0" w:lastRow="0" w:noHBand="0" w:noVBand="1" w:val="04A0"/>
      </w:tblPr>
      <w:tblGrid>
        <w:gridCol w:w="7070"/>
        <w:gridCol w:w="7070"/>
      </w:tblGrid>
      <w:tr>
        <w:trPr>
          <w:tblHeader w:val="true"/>
        </w:trPr>
        <w:tc>
          <w:tcPr>
            <w:tcW w:type="dxa" w:w="5102"/>
            <w:shd w:val="clear" w:color="auto" w:fill="1E3A8A"/>
          </w:tcPr>
          <w:p>
            <w:r/>
            <w:r>
              <w:rPr>
                <w:b/>
                <w:color w:val="FFFFFF"/>
                <w:sz w:val="18"/>
              </w:rPr>
              <w:t>Mesure</w:t>
            </w:r>
          </w:p>
        </w:tc>
        <w:tc>
          <w:tcPr>
            <w:tcW w:type="dxa" w:w="3402"/>
            <w:shd w:val="clear" w:color="auto" w:fill="1E3A8A"/>
          </w:tcPr>
          <w:p>
            <w:r/>
            <w:r>
              <w:rPr>
                <w:b/>
                <w:color w:val="FFFFFF"/>
                <w:sz w:val="18"/>
              </w:rPr>
              <w:t>Valeur</w:t>
            </w:r>
          </w:p>
        </w:tc>
      </w:tr>
      <w:tr>
        <w:tc>
          <w:tcPr>
            <w:tcW w:type="dxa" w:w="5102"/>
          </w:tcPr>
          <w:p>
            <w:r/>
            <w:r>
              <w:rPr>
                <w:b w:val="0"/>
                <w:sz w:val="18"/>
              </w:rPr>
              <w:t>Résultats exacts</w:t>
            </w:r>
          </w:p>
        </w:tc>
        <w:tc>
          <w:tcPr>
            <w:tcW w:type="dxa" w:w="3402"/>
          </w:tcPr>
          <w:p>
            <w:r/>
            <w:r>
              <w:rPr>
                <w:b w:val="0"/>
                <w:sz w:val="18"/>
              </w:rPr>
              <w:t>25 / 30 (83%)</w:t>
            </w:r>
          </w:p>
        </w:tc>
      </w:tr>
      <w:tr>
        <w:tc>
          <w:tcPr>
            <w:tcW w:type="dxa" w:w="5102"/>
          </w:tcPr>
          <w:p>
            <w:r/>
            <w:r>
              <w:rPr>
                <w:b w:val="0"/>
                <w:sz w:val="18"/>
              </w:rPr>
              <w:t>Résultats différents</w:t>
            </w:r>
          </w:p>
        </w:tc>
        <w:tc>
          <w:tcPr>
            <w:tcW w:type="dxa" w:w="3402"/>
          </w:tcPr>
          <w:p>
            <w:r/>
            <w:r>
              <w:rPr>
                <w:b w:val="0"/>
                <w:sz w:val="18"/>
              </w:rPr>
              <w:t>4</w:t>
            </w:r>
          </w:p>
        </w:tc>
      </w:tr>
      <w:tr>
        <w:tc>
          <w:tcPr>
            <w:tcW w:type="dxa" w:w="5102"/>
          </w:tcPr>
          <w:p>
            <w:r/>
            <w:r>
              <w:rPr>
                <w:b w:val="0"/>
                <w:sz w:val="18"/>
              </w:rPr>
              <w:t>Requêtes refusées par le contrôle</w:t>
            </w:r>
          </w:p>
        </w:tc>
        <w:tc>
          <w:tcPr>
            <w:tcW w:type="dxa" w:w="3402"/>
          </w:tcPr>
          <w:p>
            <w:r/>
            <w:r>
              <w:rPr>
                <w:b w:val="0"/>
                <w:sz w:val="18"/>
              </w:rPr>
              <w:t>1</w:t>
            </w:r>
          </w:p>
        </w:tc>
      </w:tr>
      <w:tr>
        <w:tc>
          <w:tcPr>
            <w:tcW w:type="dxa" w:w="5102"/>
          </w:tcPr>
          <w:p>
            <w:r/>
            <w:r>
              <w:rPr>
                <w:b w:val="0"/>
                <w:sz w:val="18"/>
              </w:rPr>
              <w:t>Erreurs d'exécution</w:t>
            </w:r>
          </w:p>
        </w:tc>
        <w:tc>
          <w:tcPr>
            <w:tcW w:type="dxa" w:w="3402"/>
          </w:tcPr>
          <w:p>
            <w:r/>
            <w:r>
              <w:rPr>
                <w:b w:val="0"/>
                <w:sz w:val="18"/>
              </w:rPr>
              <w:t>0</w:t>
            </w:r>
          </w:p>
        </w:tc>
      </w:tr>
      <w:tr>
        <w:tc>
          <w:tcPr>
            <w:tcW w:type="dxa" w:w="5102"/>
          </w:tcPr>
          <w:p>
            <w:r/>
            <w:r>
              <w:rPr>
                <w:b w:val="0"/>
                <w:sz w:val="18"/>
              </w:rPr>
              <w:t>Requêtes corrigées automatiquement</w:t>
            </w:r>
          </w:p>
        </w:tc>
        <w:tc>
          <w:tcPr>
            <w:tcW w:type="dxa" w:w="3402"/>
          </w:tcPr>
          <w:p>
            <w:r/>
            <w:r>
              <w:rPr>
                <w:b w:val="0"/>
                <w:sz w:val="18"/>
              </w:rPr>
              <w:t>0</w:t>
            </w:r>
          </w:p>
        </w:tc>
      </w:tr>
      <w:tr>
        <w:tc>
          <w:tcPr>
            <w:tcW w:type="dxa" w:w="5102"/>
          </w:tcPr>
          <w:p>
            <w:r/>
            <w:r>
              <w:rPr>
                <w:b w:val="0"/>
                <w:sz w:val="18"/>
              </w:rPr>
              <w:t>Durée médiane par question</w:t>
            </w:r>
          </w:p>
        </w:tc>
        <w:tc>
          <w:tcPr>
            <w:tcW w:type="dxa" w:w="3402"/>
          </w:tcPr>
          <w:p>
            <w:r/>
            <w:r>
              <w:rPr>
                <w:b w:val="0"/>
                <w:sz w:val="18"/>
              </w:rPr>
              <w:t>3,6 s</w:t>
            </w:r>
          </w:p>
        </w:tc>
      </w:tr>
    </w:tbl>
    <w:p/>
    <w:tbl>
      <w:tblPr>
        <w:tblStyle w:val="LightGrid-Accent1"/>
        <w:tblW w:type="auto" w:w="0"/>
        <w:jc w:val="center"/>
        <w:tblLayout w:type="fixed"/>
        <w:tblLook w:firstColumn="1" w:firstRow="1" w:lastColumn="0" w:lastRow="0" w:noHBand="0" w:noVBand="1" w:val="04A0"/>
      </w:tblPr>
      <w:tblGrid>
        <w:gridCol w:w="3535"/>
        <w:gridCol w:w="3535"/>
        <w:gridCol w:w="3535"/>
        <w:gridCol w:w="3535"/>
      </w:tblGrid>
      <w:tr>
        <w:trPr>
          <w:tblHeader w:val="true"/>
        </w:trPr>
        <w:tc>
          <w:tcPr>
            <w:tcW w:type="dxa" w:w="3685"/>
            <w:shd w:val="clear" w:color="auto" w:fill="1E3A8A"/>
          </w:tcPr>
          <w:p>
            <w:r/>
            <w:r>
              <w:rPr>
                <w:b/>
                <w:color w:val="FFFFFF"/>
                <w:sz w:val="18"/>
              </w:rPr>
              <w:t>Question</w:t>
            </w:r>
          </w:p>
        </w:tc>
        <w:tc>
          <w:tcPr>
            <w:tcW w:type="dxa" w:w="1247"/>
            <w:shd w:val="clear" w:color="auto" w:fill="1E3A8A"/>
          </w:tcPr>
          <w:p>
            <w:r/>
            <w:r>
              <w:rPr>
                <w:b/>
                <w:color w:val="FFFFFF"/>
                <w:sz w:val="18"/>
              </w:rPr>
              <w:t>Résultat</w:t>
            </w:r>
          </w:p>
        </w:tc>
        <w:tc>
          <w:tcPr>
            <w:tcW w:type="dxa" w:w="1020"/>
            <w:shd w:val="clear" w:color="auto" w:fill="1E3A8A"/>
          </w:tcPr>
          <w:p>
            <w:r/>
            <w:r>
              <w:rPr>
                <w:b/>
                <w:color w:val="FFFFFF"/>
                <w:sz w:val="18"/>
              </w:rPr>
              <w:t>Durée</w:t>
            </w:r>
          </w:p>
        </w:tc>
        <w:tc>
          <w:tcPr>
            <w:tcW w:type="dxa" w:w="8504"/>
            <w:shd w:val="clear" w:color="auto" w:fill="1E3A8A"/>
          </w:tcPr>
          <w:p>
            <w:r/>
            <w:r>
              <w:rPr>
                <w:b/>
                <w:color w:val="FFFFFF"/>
                <w:sz w:val="18"/>
              </w:rPr>
              <w:t>Requête générée</w:t>
            </w:r>
          </w:p>
        </w:tc>
      </w:tr>
      <w:tr>
        <w:tc>
          <w:tcPr>
            <w:tcW w:type="dxa" w:w="3685"/>
          </w:tcPr>
          <w:p>
            <w:r/>
            <w:r>
              <w:rPr>
                <w:b w:val="0"/>
                <w:sz w:val="18"/>
              </w:rPr>
              <w:t>Nombre d'entrées et de sorties en 2025</w:t>
            </w:r>
          </w:p>
        </w:tc>
        <w:tc>
          <w:tcPr>
            <w:tcW w:type="dxa" w:w="1247"/>
          </w:tcPr>
          <w:p>
            <w:r/>
            <w:r>
              <w:rPr>
                <w:b w:val="0"/>
                <w:sz w:val="18"/>
              </w:rPr>
              <w:t>exact</w:t>
            </w:r>
          </w:p>
        </w:tc>
        <w:tc>
          <w:tcPr>
            <w:tcW w:type="dxa" w:w="1020"/>
          </w:tcPr>
          <w:p>
            <w:r/>
            <w:r>
              <w:rPr>
                <w:b w:val="0"/>
                <w:sz w:val="18"/>
              </w:rPr>
              <w:t>3,4 s</w:t>
            </w:r>
          </w:p>
        </w:tc>
        <w:tc>
          <w:tcPr>
            <w:tcW w:type="dxa" w:w="8504"/>
          </w:tcPr>
          <w:p>
            <w:r/>
            <w:r>
              <w:rPr>
                <w:rFonts w:ascii="Consolas" w:hAnsi="Consolas" w:eastAsia="Consolas"/>
                <w:b w:val="0"/>
                <w:sz w:val="16"/>
              </w:rPr>
              <w:t>SELECT SUM(ENTREE) AS ENTREES, SUM(SORTIE) AS SORTIES FROM v_grh_effectif_mensuel WHERE ANNEE = '2025'</w:t>
              <w:br/>
              <w:t>FETCH FIRST 200 ROWS ONLY</w:t>
            </w:r>
          </w:p>
        </w:tc>
      </w:tr>
      <w:tr>
        <w:tc>
          <w:tcPr>
            <w:tcW w:type="dxa" w:w="3685"/>
          </w:tcPr>
          <w:p>
            <w:r/>
            <w:r>
              <w:rPr>
                <w:b w:val="0"/>
                <w:sz w:val="18"/>
              </w:rPr>
              <w:t>Jours d'absence par nature d'absence sur les 12 derniers mois</w:t>
            </w:r>
          </w:p>
        </w:tc>
        <w:tc>
          <w:tcPr>
            <w:tcW w:type="dxa" w:w="1247"/>
          </w:tcPr>
          <w:p>
            <w:r/>
            <w:r>
              <w:rPr>
                <w:b w:val="0"/>
                <w:sz w:val="18"/>
              </w:rPr>
              <w:t>différent</w:t>
            </w:r>
          </w:p>
        </w:tc>
        <w:tc>
          <w:tcPr>
            <w:tcW w:type="dxa" w:w="1020"/>
          </w:tcPr>
          <w:p>
            <w:r/>
            <w:r>
              <w:rPr>
                <w:b w:val="0"/>
                <w:sz w:val="18"/>
              </w:rPr>
              <w:t>4,1 s</w:t>
            </w:r>
          </w:p>
        </w:tc>
        <w:tc>
          <w:tcPr>
            <w:tcW w:type="dxa" w:w="8504"/>
          </w:tcPr>
          <w:p>
            <w:r/>
            <w:r>
              <w:rPr>
                <w:rFonts w:ascii="Consolas" w:hAnsi="Consolas" w:eastAsia="Consolas"/>
                <w:b w:val="0"/>
                <w:sz w:val="16"/>
              </w:rPr>
              <w:t>SELECT NATURE_ABSENCE, SUM(NBR_JOURS) AS JOURS_MALADIE FROM v_grh_absences_maladie WHERE DERNIER_12_MOIS = 1 GROUP BY NATURE_ABSENCE ORDER BY JOURS_MALADIE DESC</w:t>
              <w:br/>
              <w:t>FETCH FIRST 200 ROWS ONLY</w:t>
            </w:r>
          </w:p>
        </w:tc>
      </w:tr>
      <w:tr>
        <w:tc>
          <w:tcPr>
            <w:tcW w:type="dxa" w:w="3685"/>
          </w:tcPr>
          <w:p>
            <w:r/>
            <w:r>
              <w:rPr>
                <w:b w:val="0"/>
                <w:sz w:val="18"/>
              </w:rPr>
              <w:t>Nombre d'agents actifs par sexe</w:t>
            </w:r>
          </w:p>
        </w:tc>
        <w:tc>
          <w:tcPr>
            <w:tcW w:type="dxa" w:w="1247"/>
          </w:tcPr>
          <w:p>
            <w:r/>
            <w:r>
              <w:rPr>
                <w:b w:val="0"/>
                <w:sz w:val="18"/>
              </w:rPr>
              <w:t>exact</w:t>
            </w:r>
          </w:p>
        </w:tc>
        <w:tc>
          <w:tcPr>
            <w:tcW w:type="dxa" w:w="1020"/>
          </w:tcPr>
          <w:p>
            <w:r/>
            <w:r>
              <w:rPr>
                <w:b w:val="0"/>
                <w:sz w:val="18"/>
              </w:rPr>
              <w:t>3,5 s</w:t>
            </w:r>
          </w:p>
        </w:tc>
        <w:tc>
          <w:tcPr>
            <w:tcW w:type="dxa" w:w="8504"/>
          </w:tcPr>
          <w:p>
            <w:r/>
            <w:r>
              <w:rPr>
                <w:rFonts w:ascii="Consolas" w:hAnsi="Consolas" w:eastAsia="Consolas"/>
                <w:b w:val="0"/>
                <w:sz w:val="16"/>
              </w:rPr>
              <w:t>SELECT SEXE, COUNT(DISTINCT MAT_PERS) AS EFFECTIF FROM v_effectif_grh WHERE EST_ACTIF = 1 GROUP BY SEXE ORDER BY EFFECTIF DESC</w:t>
              <w:br/>
              <w:t>FETCH FIRST 200 ROWS ONLY</w:t>
            </w:r>
          </w:p>
        </w:tc>
      </w:tr>
      <w:tr>
        <w:tc>
          <w:tcPr>
            <w:tcW w:type="dxa" w:w="3685"/>
          </w:tcPr>
          <w:p>
            <w:r/>
            <w:r>
              <w:rPr>
                <w:b w:val="0"/>
                <w:sz w:val="18"/>
              </w:rPr>
              <w:t>Âge moyen des agents actifs par catégorie</w:t>
            </w:r>
          </w:p>
        </w:tc>
        <w:tc>
          <w:tcPr>
            <w:tcW w:type="dxa" w:w="1247"/>
          </w:tcPr>
          <w:p>
            <w:r/>
            <w:r>
              <w:rPr>
                <w:b w:val="0"/>
                <w:sz w:val="18"/>
              </w:rPr>
              <w:t>exact</w:t>
            </w:r>
          </w:p>
        </w:tc>
        <w:tc>
          <w:tcPr>
            <w:tcW w:type="dxa" w:w="1020"/>
          </w:tcPr>
          <w:p>
            <w:r/>
            <w:r>
              <w:rPr>
                <w:b w:val="0"/>
                <w:sz w:val="18"/>
              </w:rPr>
              <w:t>4,5 s</w:t>
            </w:r>
          </w:p>
        </w:tc>
        <w:tc>
          <w:tcPr>
            <w:tcW w:type="dxa" w:w="8504"/>
          </w:tcPr>
          <w:p>
            <w:r/>
            <w:r>
              <w:rPr>
                <w:rFonts w:ascii="Consolas" w:hAnsi="Consolas" w:eastAsia="Consolas"/>
                <w:b w:val="0"/>
                <w:sz w:val="16"/>
              </w:rPr>
              <w:t>SELECT CATEGORIE, ROUND(AVG(AGE), 1) AS AGE_MOYEN FROM v_effectif_grh WHERE EST_ACTIF = 1 GROUP BY CATEGORIE ORDER BY AGE_MOYEN DESC</w:t>
              <w:br/>
              <w:t>FETCH FIRST 200 ROWS ONLY</w:t>
            </w:r>
          </w:p>
        </w:tc>
      </w:tr>
      <w:tr>
        <w:tc>
          <w:tcPr>
            <w:tcW w:type="dxa" w:w="3685"/>
          </w:tcPr>
          <w:p>
            <w:r/>
            <w:r>
              <w:rPr>
                <w:b w:val="0"/>
                <w:sz w:val="18"/>
              </w:rPr>
              <w:t>Nombre d'agents actifs par tranche d'âge</w:t>
            </w:r>
          </w:p>
        </w:tc>
        <w:tc>
          <w:tcPr>
            <w:tcW w:type="dxa" w:w="1247"/>
          </w:tcPr>
          <w:p>
            <w:r/>
            <w:r>
              <w:rPr>
                <w:b w:val="0"/>
                <w:sz w:val="18"/>
              </w:rPr>
              <w:t>exact</w:t>
            </w:r>
          </w:p>
        </w:tc>
        <w:tc>
          <w:tcPr>
            <w:tcW w:type="dxa" w:w="1020"/>
          </w:tcPr>
          <w:p>
            <w:r/>
            <w:r>
              <w:rPr>
                <w:b w:val="0"/>
                <w:sz w:val="18"/>
              </w:rPr>
              <w:t>3,9 s</w:t>
            </w:r>
          </w:p>
        </w:tc>
        <w:tc>
          <w:tcPr>
            <w:tcW w:type="dxa" w:w="8504"/>
          </w:tcPr>
          <w:p>
            <w:r/>
            <w:r>
              <w:rPr>
                <w:rFonts w:ascii="Consolas" w:hAnsi="Consolas" w:eastAsia="Consolas"/>
                <w:b w:val="0"/>
                <w:sz w:val="16"/>
              </w:rPr>
              <w:t>SELECT TRANCHE_AGE, COUNT(DISTINCT MAT_PERS) AS EFFECTIF FROM v_effectif_grh WHERE EST_ACTIF = 1 GROUP BY TRANCHE_AGE ORDER BY EFFECTIF DESC</w:t>
              <w:br/>
              <w:t>FETCH FIRST 200 ROWS ONLY</w:t>
            </w:r>
          </w:p>
        </w:tc>
      </w:tr>
      <w:tr>
        <w:tc>
          <w:tcPr>
            <w:tcW w:type="dxa" w:w="3685"/>
          </w:tcPr>
          <w:p>
            <w:r/>
            <w:r>
              <w:rPr>
                <w:b w:val="0"/>
                <w:sz w:val="18"/>
              </w:rPr>
              <w:t>Jours de congé annuel pris en 2025 par direction</w:t>
            </w:r>
          </w:p>
        </w:tc>
        <w:tc>
          <w:tcPr>
            <w:tcW w:type="dxa" w:w="1247"/>
          </w:tcPr>
          <w:p>
            <w:r/>
            <w:r>
              <w:rPr>
                <w:b w:val="0"/>
                <w:sz w:val="18"/>
              </w:rPr>
              <w:t>exact</w:t>
            </w:r>
          </w:p>
        </w:tc>
        <w:tc>
          <w:tcPr>
            <w:tcW w:type="dxa" w:w="1020"/>
          </w:tcPr>
          <w:p>
            <w:r/>
            <w:r>
              <w:rPr>
                <w:b w:val="0"/>
                <w:sz w:val="18"/>
              </w:rPr>
              <w:t>3,5 s</w:t>
            </w:r>
          </w:p>
        </w:tc>
        <w:tc>
          <w:tcPr>
            <w:tcW w:type="dxa" w:w="8504"/>
          </w:tcPr>
          <w:p>
            <w:r/>
            <w:r>
              <w:rPr>
                <w:rFonts w:ascii="Consolas" w:hAnsi="Consolas" w:eastAsia="Consolas"/>
                <w:b w:val="0"/>
                <w:sz w:val="16"/>
              </w:rPr>
              <w:t>SELECT DIRECTION, SUM(NBR_JOURS) AS JOURS FROM v_grh_conges WHERE ANNEE = '2025' AND TYPE_CONGE = 'Congé annuel' GROUP BY DIRECTION ORDER BY JOURS DESC</w:t>
              <w:br/>
              <w:t>FETCH FIRST 200 ROWS ONLY</w:t>
            </w:r>
          </w:p>
        </w:tc>
      </w:tr>
      <w:tr>
        <w:tc>
          <w:tcPr>
            <w:tcW w:type="dxa" w:w="3685"/>
          </w:tcPr>
          <w:p>
            <w:r/>
            <w:r>
              <w:rPr>
                <w:b w:val="0"/>
                <w:sz w:val="18"/>
              </w:rPr>
              <w:t>Combien d'agents sont en congé en ce moment ?</w:t>
            </w:r>
          </w:p>
        </w:tc>
        <w:tc>
          <w:tcPr>
            <w:tcW w:type="dxa" w:w="1247"/>
          </w:tcPr>
          <w:p>
            <w:r/>
            <w:r>
              <w:rPr>
                <w:b w:val="0"/>
                <w:sz w:val="18"/>
              </w:rPr>
              <w:t>exact</w:t>
            </w:r>
          </w:p>
        </w:tc>
        <w:tc>
          <w:tcPr>
            <w:tcW w:type="dxa" w:w="1020"/>
          </w:tcPr>
          <w:p>
            <w:r/>
            <w:r>
              <w:rPr>
                <w:b w:val="0"/>
                <w:sz w:val="18"/>
              </w:rPr>
              <w:t>1,8 s</w:t>
            </w:r>
          </w:p>
        </w:tc>
        <w:tc>
          <w:tcPr>
            <w:tcW w:type="dxa" w:w="8504"/>
          </w:tcPr>
          <w:p>
            <w:r/>
            <w:r>
              <w:rPr>
                <w:rFonts w:ascii="Consolas" w:hAnsi="Consolas" w:eastAsia="Consolas"/>
                <w:b w:val="0"/>
                <w:sz w:val="16"/>
              </w:rPr>
              <w:t>SELECT COUNT(DISTINCT MAT_PERS) AS NOMBRE_AGENT FROM v_grh_conges WHERE EN_COURS = 1</w:t>
              <w:br/>
              <w:t>FETCH FIRST 200 ROWS ONLY</w:t>
            </w:r>
          </w:p>
        </w:tc>
      </w:tr>
      <w:tr>
        <w:tc>
          <w:tcPr>
            <w:tcW w:type="dxa" w:w="3685"/>
          </w:tcPr>
          <w:p>
            <w:r/>
            <w:r>
              <w:rPr>
                <w:b w:val="0"/>
                <w:sz w:val="18"/>
              </w:rPr>
              <w:t>Nombre d'actions de formation par année</w:t>
            </w:r>
          </w:p>
        </w:tc>
        <w:tc>
          <w:tcPr>
            <w:tcW w:type="dxa" w:w="1247"/>
          </w:tcPr>
          <w:p>
            <w:r/>
            <w:r>
              <w:rPr>
                <w:b w:val="0"/>
                <w:sz w:val="18"/>
              </w:rPr>
              <w:t>exact</w:t>
            </w:r>
          </w:p>
        </w:tc>
        <w:tc>
          <w:tcPr>
            <w:tcW w:type="dxa" w:w="1020"/>
          </w:tcPr>
          <w:p>
            <w:r/>
            <w:r>
              <w:rPr>
                <w:b w:val="0"/>
                <w:sz w:val="18"/>
              </w:rPr>
              <w:t>2,7 s</w:t>
            </w:r>
          </w:p>
        </w:tc>
        <w:tc>
          <w:tcPr>
            <w:tcW w:type="dxa" w:w="8504"/>
          </w:tcPr>
          <w:p>
            <w:r/>
            <w:r>
              <w:rPr>
                <w:rFonts w:ascii="Consolas" w:hAnsi="Consolas" w:eastAsia="Consolas"/>
                <w:b w:val="0"/>
                <w:sz w:val="16"/>
              </w:rPr>
              <w:t>SELECT ANNEE_ACTION, COUNT(*) AS NOMBRE_ACTIONS FROM v_grh_formation_actions WHERE ANNEE_ACTION IS NOT NULL GROUP BY ANNEE_ACTION ORDER BY NOMBRE_ACTIONS DESC</w:t>
              <w:br/>
              <w:t>FETCH FIRST 200 ROWS ONLY</w:t>
            </w:r>
          </w:p>
        </w:tc>
      </w:tr>
      <w:tr>
        <w:tc>
          <w:tcPr>
            <w:tcW w:type="dxa" w:w="3685"/>
          </w:tcPr>
          <w:p>
            <w:r/>
            <w:r>
              <w:rPr>
                <w:b w:val="0"/>
                <w:sz w:val="18"/>
              </w:rPr>
              <w:t>Heures de formation par sexe</w:t>
            </w:r>
          </w:p>
        </w:tc>
        <w:tc>
          <w:tcPr>
            <w:tcW w:type="dxa" w:w="1247"/>
          </w:tcPr>
          <w:p>
            <w:r/>
            <w:r>
              <w:rPr>
                <w:b w:val="0"/>
                <w:sz w:val="18"/>
              </w:rPr>
              <w:t>exact</w:t>
            </w:r>
          </w:p>
        </w:tc>
        <w:tc>
          <w:tcPr>
            <w:tcW w:type="dxa" w:w="1020"/>
          </w:tcPr>
          <w:p>
            <w:r/>
            <w:r>
              <w:rPr>
                <w:b w:val="0"/>
                <w:sz w:val="18"/>
              </w:rPr>
              <w:t>2,0 s</w:t>
            </w:r>
          </w:p>
        </w:tc>
        <w:tc>
          <w:tcPr>
            <w:tcW w:type="dxa" w:w="8504"/>
          </w:tcPr>
          <w:p>
            <w:r/>
            <w:r>
              <w:rPr>
                <w:rFonts w:ascii="Consolas" w:hAnsi="Consolas" w:eastAsia="Consolas"/>
                <w:b w:val="0"/>
                <w:sz w:val="16"/>
              </w:rPr>
              <w:t>SELECT SEXE, SUM(HEURES) AS HEURES FROM v_grh_formation_participants GROUP BY SEXE ORDER BY HEURES DESC</w:t>
              <w:br/>
              <w:t>FETCH FIRST 200 ROWS ONLY</w:t>
            </w:r>
          </w:p>
        </w:tc>
      </w:tr>
      <w:tr>
        <w:tc>
          <w:tcPr>
            <w:tcW w:type="dxa" w:w="3685"/>
          </w:tcPr>
          <w:p>
            <w:r/>
            <w:r>
              <w:rPr>
                <w:b w:val="0"/>
                <w:sz w:val="18"/>
              </w:rPr>
              <w:t>Âge moyen au départ par type de départ</w:t>
            </w:r>
          </w:p>
        </w:tc>
        <w:tc>
          <w:tcPr>
            <w:tcW w:type="dxa" w:w="1247"/>
          </w:tcPr>
          <w:p>
            <w:r/>
            <w:r>
              <w:rPr>
                <w:b w:val="0"/>
                <w:sz w:val="18"/>
              </w:rPr>
              <w:t>exact</w:t>
            </w:r>
          </w:p>
        </w:tc>
        <w:tc>
          <w:tcPr>
            <w:tcW w:type="dxa" w:w="1020"/>
          </w:tcPr>
          <w:p>
            <w:r/>
            <w:r>
              <w:rPr>
                <w:b w:val="0"/>
                <w:sz w:val="18"/>
              </w:rPr>
              <w:t>3,4 s</w:t>
            </w:r>
          </w:p>
        </w:tc>
        <w:tc>
          <w:tcPr>
            <w:tcW w:type="dxa" w:w="8504"/>
          </w:tcPr>
          <w:p>
            <w:r/>
            <w:r>
              <w:rPr>
                <w:rFonts w:ascii="Consolas" w:hAnsi="Consolas" w:eastAsia="Consolas"/>
                <w:b w:val="0"/>
                <w:sz w:val="16"/>
              </w:rPr>
              <w:t>SELECT TYPE_DEPART, AVG(AGE_DEPART) AS AGE_MOYEN FROM v_grh_departs GROUP BY TYPE_DEPART ORDER BY AGE_MOYEN DESC</w:t>
              <w:br/>
              <w:t>FETCH FIRST 200 ROWS ONLY</w:t>
            </w:r>
          </w:p>
        </w:tc>
      </w:tr>
      <w:tr>
        <w:tc>
          <w:tcPr>
            <w:tcW w:type="dxa" w:w="3685"/>
          </w:tcPr>
          <w:p>
            <w:r/>
            <w:r>
              <w:rPr>
                <w:b w:val="0"/>
                <w:sz w:val="18"/>
              </w:rPr>
              <w:t>Combien d'agents partent à la retraite en 2026 ?</w:t>
            </w:r>
          </w:p>
        </w:tc>
        <w:tc>
          <w:tcPr>
            <w:tcW w:type="dxa" w:w="1247"/>
          </w:tcPr>
          <w:p>
            <w:r/>
            <w:r>
              <w:rPr>
                <w:b w:val="0"/>
                <w:sz w:val="18"/>
              </w:rPr>
              <w:t>exact</w:t>
            </w:r>
          </w:p>
        </w:tc>
        <w:tc>
          <w:tcPr>
            <w:tcW w:type="dxa" w:w="1020"/>
          </w:tcPr>
          <w:p>
            <w:r/>
            <w:r>
              <w:rPr>
                <w:b w:val="0"/>
                <w:sz w:val="18"/>
              </w:rPr>
              <w:t>2,3 s</w:t>
            </w:r>
          </w:p>
        </w:tc>
        <w:tc>
          <w:tcPr>
            <w:tcW w:type="dxa" w:w="8504"/>
          </w:tcPr>
          <w:p>
            <w:r/>
            <w:r>
              <w:rPr>
                <w:rFonts w:ascii="Consolas" w:hAnsi="Consolas" w:eastAsia="Consolas"/>
                <w:b w:val="0"/>
                <w:sz w:val="16"/>
              </w:rPr>
              <w:t>SELECT COUNT(DISTINCT MAT_PERS) FROM v_grh_retraites WHERE ANNEE_RETRAITE = '2026'</w:t>
              <w:br/>
              <w:t>FETCH FIRST 200 ROWS ONLY</w:t>
            </w:r>
          </w:p>
        </w:tc>
      </w:tr>
      <w:tr>
        <w:tc>
          <w:tcPr>
            <w:tcW w:type="dxa" w:w="3685"/>
          </w:tcPr>
          <w:p>
            <w:r/>
            <w:r>
              <w:rPr>
                <w:b w:val="0"/>
                <w:sz w:val="18"/>
              </w:rPr>
              <w:t>Nombre de prêts par groupe de prêt</w:t>
            </w:r>
          </w:p>
        </w:tc>
        <w:tc>
          <w:tcPr>
            <w:tcW w:type="dxa" w:w="1247"/>
          </w:tcPr>
          <w:p>
            <w:r/>
            <w:r>
              <w:rPr>
                <w:b w:val="0"/>
                <w:sz w:val="18"/>
              </w:rPr>
              <w:t>exact</w:t>
            </w:r>
          </w:p>
        </w:tc>
        <w:tc>
          <w:tcPr>
            <w:tcW w:type="dxa" w:w="1020"/>
          </w:tcPr>
          <w:p>
            <w:r/>
            <w:r>
              <w:rPr>
                <w:b w:val="0"/>
                <w:sz w:val="18"/>
              </w:rPr>
              <w:t>3,7 s</w:t>
            </w:r>
          </w:p>
        </w:tc>
        <w:tc>
          <w:tcPr>
            <w:tcW w:type="dxa" w:w="8504"/>
          </w:tcPr>
          <w:p>
            <w:r/>
            <w:r>
              <w:rPr>
                <w:rFonts w:ascii="Consolas" w:hAnsi="Consolas" w:eastAsia="Consolas"/>
                <w:b w:val="0"/>
                <w:sz w:val="16"/>
              </w:rPr>
              <w:t>SELECT GROUPE_PRET, COUNT(*) AS NOMBRE_PRETS FROM v_grh_prets GROUP BY GROUPE_PRET ORDER BY NOMBRE_PRETS DESC</w:t>
              <w:br/>
              <w:t>FETCH FIRST 200 ROWS ONLY</w:t>
            </w:r>
          </w:p>
        </w:tc>
      </w:tr>
      <w:tr>
        <w:tc>
          <w:tcPr>
            <w:tcW w:type="dxa" w:w="3685"/>
          </w:tcPr>
          <w:p>
            <w:r/>
            <w:r>
              <w:rPr>
                <w:b w:val="0"/>
                <w:sz w:val="18"/>
              </w:rPr>
              <w:t>Montant accordé des prêts en cours par direction</w:t>
            </w:r>
          </w:p>
        </w:tc>
        <w:tc>
          <w:tcPr>
            <w:tcW w:type="dxa" w:w="1247"/>
          </w:tcPr>
          <w:p>
            <w:r/>
            <w:r>
              <w:rPr>
                <w:b w:val="0"/>
                <w:sz w:val="18"/>
              </w:rPr>
              <w:t>exact</w:t>
            </w:r>
          </w:p>
        </w:tc>
        <w:tc>
          <w:tcPr>
            <w:tcW w:type="dxa" w:w="1020"/>
          </w:tcPr>
          <w:p>
            <w:r/>
            <w:r>
              <w:rPr>
                <w:b w:val="0"/>
                <w:sz w:val="18"/>
              </w:rPr>
              <w:t>3,5 s</w:t>
            </w:r>
          </w:p>
        </w:tc>
        <w:tc>
          <w:tcPr>
            <w:tcW w:type="dxa" w:w="8504"/>
          </w:tcPr>
          <w:p>
            <w:r/>
            <w:r>
              <w:rPr>
                <w:rFonts w:ascii="Consolas" w:hAnsi="Consolas" w:eastAsia="Consolas"/>
                <w:b w:val="0"/>
                <w:sz w:val="16"/>
              </w:rPr>
              <w:t>SELECT DIRECTION, SUM(MNT_ACCORDE) AS MONTANT_ACCORDE FROM v_grh_prets WHERE EN_COURS = 1 GROUP BY DIRECTION ORDER BY MONTANT_ACCORDE DESC</w:t>
              <w:br/>
              <w:t>FETCH FIRST 200 ROWS ONLY</w:t>
            </w:r>
          </w:p>
        </w:tc>
      </w:tr>
      <w:tr>
        <w:tc>
          <w:tcPr>
            <w:tcW w:type="dxa" w:w="3685"/>
          </w:tcPr>
          <w:p>
            <w:r/>
            <w:r>
              <w:rPr>
                <w:b w:val="0"/>
                <w:sz w:val="18"/>
              </w:rPr>
              <w:t>Nombre de mutations par raison</w:t>
            </w:r>
          </w:p>
        </w:tc>
        <w:tc>
          <w:tcPr>
            <w:tcW w:type="dxa" w:w="1247"/>
          </w:tcPr>
          <w:p>
            <w:r/>
            <w:r>
              <w:rPr>
                <w:b w:val="0"/>
                <w:sz w:val="18"/>
              </w:rPr>
              <w:t>exact</w:t>
            </w:r>
          </w:p>
        </w:tc>
        <w:tc>
          <w:tcPr>
            <w:tcW w:type="dxa" w:w="1020"/>
          </w:tcPr>
          <w:p>
            <w:r/>
            <w:r>
              <w:rPr>
                <w:b w:val="0"/>
                <w:sz w:val="18"/>
              </w:rPr>
              <w:t>2,5 s</w:t>
            </w:r>
          </w:p>
        </w:tc>
        <w:tc>
          <w:tcPr>
            <w:tcW w:type="dxa" w:w="8504"/>
          </w:tcPr>
          <w:p>
            <w:r/>
            <w:r>
              <w:rPr>
                <w:rFonts w:ascii="Consolas" w:hAnsi="Consolas" w:eastAsia="Consolas"/>
                <w:b w:val="0"/>
                <w:sz w:val="16"/>
              </w:rPr>
              <w:t>SELECT RAISON, COUNT(*) AS MUTATIONS FROM v_grh_mutations GROUP BY RAISON ORDER BY MUTATIONS DESC</w:t>
              <w:br/>
              <w:t>FETCH FIRST 200 ROWS ONLY</w:t>
            </w:r>
          </w:p>
        </w:tc>
      </w:tr>
      <w:tr>
        <w:tc>
          <w:tcPr>
            <w:tcW w:type="dxa" w:w="3685"/>
          </w:tcPr>
          <w:p>
            <w:r/>
            <w:r>
              <w:rPr>
                <w:b w:val="0"/>
                <w:sz w:val="18"/>
              </w:rPr>
              <w:t>Nombre de promotions par année</w:t>
            </w:r>
          </w:p>
        </w:tc>
        <w:tc>
          <w:tcPr>
            <w:tcW w:type="dxa" w:w="1247"/>
          </w:tcPr>
          <w:p>
            <w:r/>
            <w:r>
              <w:rPr>
                <w:b w:val="0"/>
                <w:sz w:val="18"/>
              </w:rPr>
              <w:t>exact</w:t>
            </w:r>
          </w:p>
        </w:tc>
        <w:tc>
          <w:tcPr>
            <w:tcW w:type="dxa" w:w="1020"/>
          </w:tcPr>
          <w:p>
            <w:r/>
            <w:r>
              <w:rPr>
                <w:b w:val="0"/>
                <w:sz w:val="18"/>
              </w:rPr>
              <w:t>6,4 s</w:t>
            </w:r>
          </w:p>
        </w:tc>
        <w:tc>
          <w:tcPr>
            <w:tcW w:type="dxa" w:w="8504"/>
          </w:tcPr>
          <w:p>
            <w:r/>
            <w:r>
              <w:rPr>
                <w:rFonts w:ascii="Consolas" w:hAnsi="Consolas" w:eastAsia="Consolas"/>
                <w:b w:val="0"/>
                <w:sz w:val="16"/>
              </w:rPr>
              <w:t>SELECT EXTRACT(YEAR FROM DAT_GRAD) AS ANNEE, COUNT(*) AS NOMBRE_DE_PROMO FROM v_grh_promotions GROUP BY EXTRACT(YEAR FROM DAT_GRAD) ORDER BY ANNEE FETCH FIRST 200 ROWS ONLY</w:t>
            </w:r>
          </w:p>
        </w:tc>
      </w:tr>
      <w:tr>
        <w:tc>
          <w:tcPr>
            <w:tcW w:type="dxa" w:w="3685"/>
          </w:tcPr>
          <w:p>
            <w:r/>
            <w:r>
              <w:rPr>
                <w:b w:val="0"/>
                <w:sz w:val="18"/>
              </w:rPr>
              <w:t>Nombre de candidats par sexe</w:t>
            </w:r>
          </w:p>
        </w:tc>
        <w:tc>
          <w:tcPr>
            <w:tcW w:type="dxa" w:w="1247"/>
          </w:tcPr>
          <w:p>
            <w:r/>
            <w:r>
              <w:rPr>
                <w:b w:val="0"/>
                <w:sz w:val="18"/>
              </w:rPr>
              <w:t>différent</w:t>
            </w:r>
          </w:p>
        </w:tc>
        <w:tc>
          <w:tcPr>
            <w:tcW w:type="dxa" w:w="1020"/>
          </w:tcPr>
          <w:p>
            <w:r/>
            <w:r>
              <w:rPr>
                <w:b w:val="0"/>
                <w:sz w:val="18"/>
              </w:rPr>
              <w:t>5,3 s</w:t>
            </w:r>
          </w:p>
        </w:tc>
        <w:tc>
          <w:tcPr>
            <w:tcW w:type="dxa" w:w="8504"/>
          </w:tcPr>
          <w:p>
            <w:r/>
            <w:r>
              <w:rPr>
                <w:rFonts w:ascii="Consolas" w:hAnsi="Consolas" w:eastAsia="Consolas"/>
                <w:b w:val="0"/>
                <w:sz w:val="16"/>
              </w:rPr>
              <w:t>SELECT SUM(CASE WHEN SEXE = 'Femme' THEN 1 ELSE 0 END) AS NOMBRE_FEMMES, SUM(CASE WHEN SEXE = 'Homme' THEN 1 ELSE 0 END) AS NOMBRE_HOMMES FROM v_grh_candidats</w:t>
              <w:br/>
              <w:t>FETCH FIRST 200 ROWS ONLY</w:t>
            </w:r>
          </w:p>
        </w:tc>
      </w:tr>
      <w:tr>
        <w:tc>
          <w:tcPr>
            <w:tcW w:type="dxa" w:w="3685"/>
          </w:tcPr>
          <w:p>
            <w:r/>
            <w:r>
              <w:rPr>
                <w:b w:val="0"/>
                <w:sz w:val="18"/>
              </w:rPr>
              <w:t>Recrutements par nature de recrutement</w:t>
            </w:r>
          </w:p>
        </w:tc>
        <w:tc>
          <w:tcPr>
            <w:tcW w:type="dxa" w:w="1247"/>
          </w:tcPr>
          <w:p>
            <w:r/>
            <w:r>
              <w:rPr>
                <w:b w:val="0"/>
                <w:sz w:val="18"/>
              </w:rPr>
              <w:t>exact</w:t>
            </w:r>
          </w:p>
        </w:tc>
        <w:tc>
          <w:tcPr>
            <w:tcW w:type="dxa" w:w="1020"/>
          </w:tcPr>
          <w:p>
            <w:r/>
            <w:r>
              <w:rPr>
                <w:b w:val="0"/>
                <w:sz w:val="18"/>
              </w:rPr>
              <w:t>3,9 s</w:t>
            </w:r>
          </w:p>
        </w:tc>
        <w:tc>
          <w:tcPr>
            <w:tcW w:type="dxa" w:w="8504"/>
          </w:tcPr>
          <w:p>
            <w:r/>
            <w:r>
              <w:rPr>
                <w:rFonts w:ascii="Consolas" w:hAnsi="Consolas" w:eastAsia="Consolas"/>
                <w:b w:val="0"/>
                <w:sz w:val="16"/>
              </w:rPr>
              <w:t>SELECT NATURE_RECRUTEMENT, COUNT(DISTINCT MAT_PERS) AS RECRUTEMENTS FROM v_grh_recrutements GROUP BY NATURE_RECRUTEMENT ORDER BY NATURE_RECRUTEMENT</w:t>
              <w:br/>
              <w:t>FETCH FIRST 200 ROWS ONLY</w:t>
            </w:r>
          </w:p>
        </w:tc>
      </w:tr>
      <w:tr>
        <w:tc>
          <w:tcPr>
            <w:tcW w:type="dxa" w:w="3685"/>
          </w:tcPr>
          <w:p>
            <w:r/>
            <w:r>
              <w:rPr>
                <w:b w:val="0"/>
                <w:sz w:val="18"/>
              </w:rPr>
              <w:t>Jours de maladie par nature d'absence en 2025</w:t>
            </w:r>
          </w:p>
        </w:tc>
        <w:tc>
          <w:tcPr>
            <w:tcW w:type="dxa" w:w="1247"/>
          </w:tcPr>
          <w:p>
            <w:r/>
            <w:r>
              <w:rPr>
                <w:b w:val="0"/>
                <w:sz w:val="18"/>
              </w:rPr>
              <w:t>exact</w:t>
            </w:r>
          </w:p>
        </w:tc>
        <w:tc>
          <w:tcPr>
            <w:tcW w:type="dxa" w:w="1020"/>
          </w:tcPr>
          <w:p>
            <w:r/>
            <w:r>
              <w:rPr>
                <w:b w:val="0"/>
                <w:sz w:val="18"/>
              </w:rPr>
              <w:t>5,1 s</w:t>
            </w:r>
          </w:p>
        </w:tc>
        <w:tc>
          <w:tcPr>
            <w:tcW w:type="dxa" w:w="8504"/>
          </w:tcPr>
          <w:p>
            <w:r/>
            <w:r>
              <w:rPr>
                <w:rFonts w:ascii="Consolas" w:hAnsi="Consolas" w:eastAsia="Consolas"/>
                <w:b w:val="0"/>
                <w:sz w:val="16"/>
              </w:rPr>
              <w:t>SELECT NATURE_ABSENCE, SUM(NBR_JOURS) AS JOURS_MALADIE FROM v_grh_absences_maladie WHERE ANNEE = '2025' GROUP BY NATURE_ABSENCE ORDER BY JOURS_MALADIE DESC</w:t>
              <w:br/>
              <w:t>FETCH FIRST 200 ROWS ONLY</w:t>
            </w:r>
          </w:p>
        </w:tc>
      </w:tr>
      <w:tr>
        <w:tc>
          <w:tcPr>
            <w:tcW w:type="dxa" w:w="3685"/>
          </w:tcPr>
          <w:p>
            <w:r/>
            <w:r>
              <w:rPr>
                <w:b w:val="0"/>
                <w:sz w:val="18"/>
              </w:rPr>
              <w:t>Nombre de demandes d'indemnités maladie par situation</w:t>
            </w:r>
          </w:p>
        </w:tc>
        <w:tc>
          <w:tcPr>
            <w:tcW w:type="dxa" w:w="1247"/>
          </w:tcPr>
          <w:p>
            <w:r/>
            <w:r>
              <w:rPr>
                <w:b w:val="0"/>
                <w:sz w:val="18"/>
              </w:rPr>
              <w:t>différent</w:t>
            </w:r>
          </w:p>
        </w:tc>
        <w:tc>
          <w:tcPr>
            <w:tcW w:type="dxa" w:w="1020"/>
          </w:tcPr>
          <w:p>
            <w:r/>
            <w:r>
              <w:rPr>
                <w:b w:val="0"/>
                <w:sz w:val="18"/>
              </w:rPr>
              <w:t>8,4 s</w:t>
            </w:r>
          </w:p>
        </w:tc>
        <w:tc>
          <w:tcPr>
            <w:tcW w:type="dxa" w:w="8504"/>
          </w:tcPr>
          <w:p>
            <w:r/>
            <w:r>
              <w:rPr>
                <w:rFonts w:ascii="Consolas" w:hAnsi="Consolas" w:eastAsia="Consolas"/>
                <w:b w:val="0"/>
                <w:sz w:val="16"/>
              </w:rPr>
              <w:t>SELECT SUM(CASE WHEN SITUATION = 'Annulée' THEN 1 ELSE 0 END) AS Annulées, SUM(CASE WHEN SITUATION = 'En cours' THEN 1 ELSE 0 END) AS En_cours, SUM(CASE WHEN SITUATION = 'Traitée' THEN 1 ELSE 0 END) AS Traitées FROM v_grh_indemnites_maladie FETCH FIRST 200 ROWS ONLY</w:t>
            </w:r>
          </w:p>
        </w:tc>
      </w:tr>
      <w:tr>
        <w:tc>
          <w:tcPr>
            <w:tcW w:type="dxa" w:w="3685"/>
          </w:tcPr>
          <w:p>
            <w:r/>
            <w:r>
              <w:rPr>
                <w:b w:val="0"/>
                <w:sz w:val="18"/>
              </w:rPr>
              <w:t>Coût employeur total en 2025</w:t>
            </w:r>
          </w:p>
        </w:tc>
        <w:tc>
          <w:tcPr>
            <w:tcW w:type="dxa" w:w="1247"/>
          </w:tcPr>
          <w:p>
            <w:r/>
            <w:r>
              <w:rPr>
                <w:b w:val="0"/>
                <w:sz w:val="18"/>
              </w:rPr>
              <w:t>exact</w:t>
            </w:r>
          </w:p>
        </w:tc>
        <w:tc>
          <w:tcPr>
            <w:tcW w:type="dxa" w:w="1020"/>
          </w:tcPr>
          <w:p>
            <w:r/>
            <w:r>
              <w:rPr>
                <w:b w:val="0"/>
                <w:sz w:val="18"/>
              </w:rPr>
              <w:t>12,9 s</w:t>
            </w:r>
          </w:p>
        </w:tc>
        <w:tc>
          <w:tcPr>
            <w:tcW w:type="dxa" w:w="8504"/>
          </w:tcPr>
          <w:p>
            <w:r/>
            <w:r>
              <w:rPr>
                <w:rFonts w:ascii="Consolas" w:hAnsi="Consolas" w:eastAsia="Consolas"/>
                <w:b w:val="0"/>
                <w:sz w:val="16"/>
              </w:rPr>
              <w:t>SELECT SUM(COUT_EMPLOYEUR) AS COUST_EMPLOYEUR_TOTAL FROM v_grh_paie WHERE ANNEE = '2025' AND COD_TYP_BUL = 'BN'</w:t>
              <w:br/>
              <w:t>FETCH FIRST 200 ROWS ONLY</w:t>
            </w:r>
          </w:p>
        </w:tc>
      </w:tr>
      <w:tr>
        <w:tc>
          <w:tcPr>
            <w:tcW w:type="dxa" w:w="3685"/>
          </w:tcPr>
          <w:p>
            <w:r/>
            <w:r>
              <w:rPr>
                <w:b w:val="0"/>
                <w:sz w:val="18"/>
              </w:rPr>
              <w:t>Net à payer moyen par sexe le dernier mois</w:t>
            </w:r>
          </w:p>
        </w:tc>
        <w:tc>
          <w:tcPr>
            <w:tcW w:type="dxa" w:w="1247"/>
          </w:tcPr>
          <w:p>
            <w:r/>
            <w:r>
              <w:rPr>
                <w:b w:val="0"/>
                <w:sz w:val="18"/>
              </w:rPr>
              <w:t>exact</w:t>
            </w:r>
          </w:p>
        </w:tc>
        <w:tc>
          <w:tcPr>
            <w:tcW w:type="dxa" w:w="1020"/>
          </w:tcPr>
          <w:p>
            <w:r/>
            <w:r>
              <w:rPr>
                <w:b w:val="0"/>
                <w:sz w:val="18"/>
              </w:rPr>
              <w:t>5,4 s</w:t>
            </w:r>
          </w:p>
        </w:tc>
        <w:tc>
          <w:tcPr>
            <w:tcW w:type="dxa" w:w="8504"/>
          </w:tcPr>
          <w:p>
            <w:r/>
            <w:r>
              <w:rPr>
                <w:rFonts w:ascii="Consolas" w:hAnsi="Consolas" w:eastAsia="Consolas"/>
                <w:b w:val="0"/>
                <w:sz w:val="16"/>
              </w:rPr>
              <w:t>SELECT SEXE, ROUND(AVG(NET_A_PAYER)) AS NET_MOYEN FROM v_grh_paie WHERE DERNIER_MOIS = 1 AND COD_TYP_BUL = 'BN' GROUP BY SEXE ORDER BY NET_MOYEN DESC</w:t>
              <w:br/>
              <w:t>FETCH FIRST 200 ROWS ONLY</w:t>
            </w:r>
          </w:p>
        </w:tc>
      </w:tr>
      <w:tr>
        <w:tc>
          <w:tcPr>
            <w:tcW w:type="dxa" w:w="3685"/>
          </w:tcPr>
          <w:p>
            <w:r/>
            <w:r>
              <w:rPr>
                <w:b w:val="0"/>
                <w:sz w:val="18"/>
              </w:rPr>
              <w:t>Nombre de retards par jour de la semaine en 2026</w:t>
            </w:r>
          </w:p>
        </w:tc>
        <w:tc>
          <w:tcPr>
            <w:tcW w:type="dxa" w:w="1247"/>
          </w:tcPr>
          <w:p>
            <w:r/>
            <w:r>
              <w:rPr>
                <w:b w:val="0"/>
                <w:sz w:val="18"/>
              </w:rPr>
              <w:t>exact</w:t>
            </w:r>
          </w:p>
        </w:tc>
        <w:tc>
          <w:tcPr>
            <w:tcW w:type="dxa" w:w="1020"/>
          </w:tcPr>
          <w:p>
            <w:r/>
            <w:r>
              <w:rPr>
                <w:b w:val="0"/>
                <w:sz w:val="18"/>
              </w:rPr>
              <w:t>3,3 s</w:t>
            </w:r>
          </w:p>
        </w:tc>
        <w:tc>
          <w:tcPr>
            <w:tcW w:type="dxa" w:w="8504"/>
          </w:tcPr>
          <w:p>
            <w:r/>
            <w:r>
              <w:rPr>
                <w:rFonts w:ascii="Consolas" w:hAnsi="Consolas" w:eastAsia="Consolas"/>
                <w:b w:val="0"/>
                <w:sz w:val="16"/>
              </w:rPr>
              <w:t>SELECT JOUR_SEMAINE, COUNT(*) AS RETARDS FROM v_grh_retards WHERE ANNEE = '2026' GROUP BY JOUR_SEMAINE ORDER BY RETARDS DESC</w:t>
              <w:br/>
              <w:t>FETCH FIRST 200 ROWS ONLY</w:t>
            </w:r>
          </w:p>
        </w:tc>
      </w:tr>
      <w:tr>
        <w:tc>
          <w:tcPr>
            <w:tcW w:type="dxa" w:w="3685"/>
          </w:tcPr>
          <w:p>
            <w:r/>
            <w:r>
              <w:rPr>
                <w:b w:val="0"/>
                <w:sz w:val="18"/>
              </w:rPr>
              <w:t>Minutes de sortie autorisée par direction en 2025</w:t>
            </w:r>
          </w:p>
        </w:tc>
        <w:tc>
          <w:tcPr>
            <w:tcW w:type="dxa" w:w="1247"/>
          </w:tcPr>
          <w:p>
            <w:r/>
            <w:r>
              <w:rPr>
                <w:b w:val="0"/>
                <w:sz w:val="18"/>
              </w:rPr>
              <w:t>exact</w:t>
            </w:r>
          </w:p>
        </w:tc>
        <w:tc>
          <w:tcPr>
            <w:tcW w:type="dxa" w:w="1020"/>
          </w:tcPr>
          <w:p>
            <w:r/>
            <w:r>
              <w:rPr>
                <w:b w:val="0"/>
                <w:sz w:val="18"/>
              </w:rPr>
              <w:t>3,9 s</w:t>
            </w:r>
          </w:p>
        </w:tc>
        <w:tc>
          <w:tcPr>
            <w:tcW w:type="dxa" w:w="8504"/>
          </w:tcPr>
          <w:p>
            <w:r/>
            <w:r>
              <w:rPr>
                <w:rFonts w:ascii="Consolas" w:hAnsi="Consolas" w:eastAsia="Consolas"/>
                <w:b w:val="0"/>
                <w:sz w:val="16"/>
              </w:rPr>
              <w:t>SELECT DIRECTION, SUM(MINUTES_SORTIE) AS MINUTES_SORTIE FROM v_grh_autorisations_sortie WHERE ANNEE = '2025' GROUP BY DIRECTION ORDER BY MINUTES_SORTIE DESC</w:t>
              <w:br/>
              <w:t>FETCH FIRST 200 ROWS ONLY</w:t>
            </w:r>
          </w:p>
        </w:tc>
      </w:tr>
      <w:tr>
        <w:tc>
          <w:tcPr>
            <w:tcW w:type="dxa" w:w="3685"/>
          </w:tcPr>
          <w:p>
            <w:r/>
            <w:r>
              <w:rPr>
                <w:b w:val="0"/>
                <w:sz w:val="18"/>
              </w:rPr>
              <w:t>Budget total et réalisé en 2025</w:t>
            </w:r>
          </w:p>
        </w:tc>
        <w:tc>
          <w:tcPr>
            <w:tcW w:type="dxa" w:w="1247"/>
          </w:tcPr>
          <w:p>
            <w:r/>
            <w:r>
              <w:rPr>
                <w:b w:val="0"/>
                <w:sz w:val="18"/>
              </w:rPr>
              <w:t>exact</w:t>
            </w:r>
          </w:p>
        </w:tc>
        <w:tc>
          <w:tcPr>
            <w:tcW w:type="dxa" w:w="1020"/>
          </w:tcPr>
          <w:p>
            <w:r/>
            <w:r>
              <w:rPr>
                <w:b w:val="0"/>
                <w:sz w:val="18"/>
              </w:rPr>
              <w:t>2,9 s</w:t>
            </w:r>
          </w:p>
        </w:tc>
        <w:tc>
          <w:tcPr>
            <w:tcW w:type="dxa" w:w="8504"/>
          </w:tcPr>
          <w:p>
            <w:r/>
            <w:r>
              <w:rPr>
                <w:rFonts w:ascii="Consolas" w:hAnsi="Consolas" w:eastAsia="Consolas"/>
                <w:b w:val="0"/>
                <w:sz w:val="16"/>
              </w:rPr>
              <w:t>SELECT SUM(BUDGET) AS BUDGET_TOTAL, SUM(REALISE) AS REALISE_TOTAL FROM v_grh_budget WHERE ANNEE = 2025</w:t>
              <w:br/>
              <w:t>FETCH FIRST 200 ROWS ONLY</w:t>
            </w:r>
          </w:p>
        </w:tc>
      </w:tr>
      <w:tr>
        <w:tc>
          <w:tcPr>
            <w:tcW w:type="dxa" w:w="3685"/>
          </w:tcPr>
          <w:p>
            <w:r/>
            <w:r>
              <w:rPr>
                <w:b w:val="0"/>
                <w:sz w:val="18"/>
              </w:rPr>
              <w:t>Nombre d'agents par tranche de note la dernière année</w:t>
            </w:r>
          </w:p>
        </w:tc>
        <w:tc>
          <w:tcPr>
            <w:tcW w:type="dxa" w:w="1247"/>
          </w:tcPr>
          <w:p>
            <w:r/>
            <w:r>
              <w:rPr>
                <w:b w:val="0"/>
                <w:sz w:val="18"/>
              </w:rPr>
              <w:t>exact</w:t>
            </w:r>
          </w:p>
        </w:tc>
        <w:tc>
          <w:tcPr>
            <w:tcW w:type="dxa" w:w="1020"/>
          </w:tcPr>
          <w:p>
            <w:r/>
            <w:r>
              <w:rPr>
                <w:b w:val="0"/>
                <w:sz w:val="18"/>
              </w:rPr>
              <w:t>2,8 s</w:t>
            </w:r>
          </w:p>
        </w:tc>
        <w:tc>
          <w:tcPr>
            <w:tcW w:type="dxa" w:w="8504"/>
          </w:tcPr>
          <w:p>
            <w:r/>
            <w:r>
              <w:rPr>
                <w:rFonts w:ascii="Consolas" w:hAnsi="Consolas" w:eastAsia="Consolas"/>
                <w:b w:val="0"/>
                <w:sz w:val="16"/>
              </w:rPr>
              <w:t>SELECT TRANCHE_NOTE, COUNT(*) AS NB_AGENT FROM v_grh_notes_rendement WHERE DERNIERE_ANNEE = 1 GROUP BY TRANCHE_NOTE ORDER BY NB_AGENT DESC</w:t>
              <w:br/>
              <w:t>FETCH FIRST 200 ROWS ONLY</w:t>
            </w:r>
          </w:p>
        </w:tc>
      </w:tr>
      <w:tr>
        <w:tc>
          <w:tcPr>
            <w:tcW w:type="dxa" w:w="3685"/>
          </w:tcPr>
          <w:p>
            <w:r/>
            <w:r>
              <w:rPr>
                <w:b w:val="0"/>
                <w:sz w:val="18"/>
              </w:rPr>
              <w:t>Frais engagés et montant remboursé par bénéficiaire</w:t>
            </w:r>
          </w:p>
        </w:tc>
        <w:tc>
          <w:tcPr>
            <w:tcW w:type="dxa" w:w="1247"/>
          </w:tcPr>
          <w:p>
            <w:r/>
            <w:r>
              <w:rPr>
                <w:b w:val="0"/>
                <w:sz w:val="18"/>
              </w:rPr>
              <w:t>exact</w:t>
            </w:r>
          </w:p>
        </w:tc>
        <w:tc>
          <w:tcPr>
            <w:tcW w:type="dxa" w:w="1020"/>
          </w:tcPr>
          <w:p>
            <w:r/>
            <w:r>
              <w:rPr>
                <w:b w:val="0"/>
                <w:sz w:val="18"/>
              </w:rPr>
              <w:t>4,3 s</w:t>
            </w:r>
          </w:p>
        </w:tc>
        <w:tc>
          <w:tcPr>
            <w:tcW w:type="dxa" w:w="8504"/>
          </w:tcPr>
          <w:p>
            <w:r/>
            <w:r>
              <w:rPr>
                <w:rFonts w:ascii="Consolas" w:hAnsi="Consolas" w:eastAsia="Consolas"/>
                <w:b w:val="0"/>
                <w:sz w:val="16"/>
              </w:rPr>
              <w:t>SELECT BENEFICIAIRE, SUM(FRAIS_ENGAGES) AS FRAIS_ENGAGES, SUM(MONTANT_REMBOURSE) AS MONTANT_REMBOURSE FROM v_grh_soins GROUP BY BENEFICIAIRE ORDER BY BENEFICIAIRE</w:t>
              <w:br/>
              <w:t>FETCH FIRST 200 ROWS ONLY</w:t>
            </w:r>
          </w:p>
        </w:tc>
      </w:tr>
      <w:tr>
        <w:tc>
          <w:tcPr>
            <w:tcW w:type="dxa" w:w="3685"/>
          </w:tcPr>
          <w:p>
            <w:r/>
            <w:r>
              <w:rPr>
                <w:b w:val="0"/>
                <w:sz w:val="18"/>
              </w:rPr>
              <w:t>Montant des primes de scolarité par année</w:t>
            </w:r>
          </w:p>
        </w:tc>
        <w:tc>
          <w:tcPr>
            <w:tcW w:type="dxa" w:w="1247"/>
          </w:tcPr>
          <w:p>
            <w:r/>
            <w:r>
              <w:rPr>
                <w:b w:val="0"/>
                <w:sz w:val="18"/>
              </w:rPr>
              <w:t>exact</w:t>
            </w:r>
          </w:p>
        </w:tc>
        <w:tc>
          <w:tcPr>
            <w:tcW w:type="dxa" w:w="1020"/>
          </w:tcPr>
          <w:p>
            <w:r/>
            <w:r>
              <w:rPr>
                <w:b w:val="0"/>
                <w:sz w:val="18"/>
              </w:rPr>
              <w:t>4,1 s</w:t>
            </w:r>
          </w:p>
        </w:tc>
        <w:tc>
          <w:tcPr>
            <w:tcW w:type="dxa" w:w="8504"/>
          </w:tcPr>
          <w:p>
            <w:r/>
            <w:r>
              <w:rPr>
                <w:rFonts w:ascii="Consolas" w:hAnsi="Consolas" w:eastAsia="Consolas"/>
                <w:b w:val="0"/>
                <w:sz w:val="16"/>
              </w:rPr>
              <w:t>SELECT ANNEE, SUM(MONTANT_PRIME) AS TOTAL_MONTANT_PRIME FROM v_grh_scolarite GROUP BY ANNEE ORDER BY ANNEE FETCH FIRST 200 ROWS ONLY</w:t>
            </w:r>
          </w:p>
        </w:tc>
      </w:tr>
      <w:tr>
        <w:tc>
          <w:tcPr>
            <w:tcW w:type="dxa" w:w="3685"/>
          </w:tcPr>
          <w:p>
            <w:r/>
            <w:r>
              <w:rPr>
                <w:b w:val="0"/>
                <w:sz w:val="18"/>
              </w:rPr>
              <w:t>Nombre d'agents par tranche d'endettement à la dernière simulation</w:t>
            </w:r>
          </w:p>
        </w:tc>
        <w:tc>
          <w:tcPr>
            <w:tcW w:type="dxa" w:w="1247"/>
          </w:tcPr>
          <w:p>
            <w:r/>
            <w:r>
              <w:rPr>
                <w:b w:val="0"/>
                <w:sz w:val="18"/>
              </w:rPr>
              <w:t>exact</w:t>
            </w:r>
          </w:p>
        </w:tc>
        <w:tc>
          <w:tcPr>
            <w:tcW w:type="dxa" w:w="1020"/>
          </w:tcPr>
          <w:p>
            <w:r/>
            <w:r>
              <w:rPr>
                <w:b w:val="0"/>
                <w:sz w:val="18"/>
              </w:rPr>
              <w:t>3,3 s</w:t>
            </w:r>
          </w:p>
        </w:tc>
        <w:tc>
          <w:tcPr>
            <w:tcW w:type="dxa" w:w="8504"/>
          </w:tcPr>
          <w:p>
            <w:r/>
            <w:r>
              <w:rPr>
                <w:rFonts w:ascii="Consolas" w:hAnsi="Consolas" w:eastAsia="Consolas"/>
                <w:b w:val="0"/>
                <w:sz w:val="16"/>
              </w:rPr>
              <w:t>SELECT TRANCHE_ENDETTEMENT, COUNT(DISTINCT MAT_PERS) FROM v_grh_capacite WHERE DERNIERE_SIMULATION = 1 GROUP BY TRANCHE_ENDETTEMENT ORDER BY TRANCHE_ENDETTEMENT</w:t>
              <w:br/>
              <w:t>FETCH FIRST 200 ROWS ONLY</w:t>
            </w:r>
          </w:p>
        </w:tc>
      </w:tr>
      <w:tr>
        <w:tc>
          <w:tcPr>
            <w:tcW w:type="dxa" w:w="3685"/>
          </w:tcPr>
          <w:p>
            <w:r/>
            <w:r>
              <w:rPr>
                <w:b w:val="0"/>
                <w:sz w:val="18"/>
              </w:rPr>
              <w:t>Nombre d'attestations éditées par modèle</w:t>
            </w:r>
          </w:p>
        </w:tc>
        <w:tc>
          <w:tcPr>
            <w:tcW w:type="dxa" w:w="1247"/>
          </w:tcPr>
          <w:p>
            <w:r/>
            <w:r>
              <w:rPr>
                <w:b w:val="0"/>
                <w:sz w:val="18"/>
              </w:rPr>
              <w:t>refusé</w:t>
            </w:r>
          </w:p>
        </w:tc>
        <w:tc>
          <w:tcPr>
            <w:tcW w:type="dxa" w:w="1020"/>
          </w:tcPr>
          <w:p>
            <w:r/>
            <w:r>
              <w:rPr>
                <w:b w:val="0"/>
                <w:sz w:val="18"/>
              </w:rPr>
              <w:t>6,6 s</w:t>
            </w:r>
          </w:p>
        </w:tc>
        <w:tc>
          <w:tcPr>
            <w:tcW w:type="dxa" w:w="8504"/>
          </w:tcPr>
          <w:p>
            <w:r/>
            <w:r>
              <w:rPr>
                <w:rFonts w:ascii="Consolas" w:hAnsi="Consolas" w:eastAsia="Consolas"/>
                <w:b w:val="0"/>
                <w:sz w:val="16"/>
              </w:rPr>
              <w:t>La requête est correcte.</w:t>
            </w:r>
          </w:p>
        </w:tc>
      </w:tr>
      <w:tr>
        <w:tc>
          <w:tcPr>
            <w:tcW w:type="dxa" w:w="3685"/>
          </w:tcPr>
          <w:p>
            <w:r/>
            <w:r>
              <w:rPr>
                <w:b w:val="0"/>
                <w:sz w:val="18"/>
              </w:rPr>
              <w:t>Délai moyen de réponse aux demandes par type</w:t>
            </w:r>
          </w:p>
        </w:tc>
        <w:tc>
          <w:tcPr>
            <w:tcW w:type="dxa" w:w="1247"/>
          </w:tcPr>
          <w:p>
            <w:r/>
            <w:r>
              <w:rPr>
                <w:b w:val="0"/>
                <w:sz w:val="18"/>
              </w:rPr>
              <w:t>différent</w:t>
            </w:r>
          </w:p>
        </w:tc>
        <w:tc>
          <w:tcPr>
            <w:tcW w:type="dxa" w:w="1020"/>
          </w:tcPr>
          <w:p>
            <w:r/>
            <w:r>
              <w:rPr>
                <w:b w:val="0"/>
                <w:sz w:val="18"/>
              </w:rPr>
              <w:t>3,1 s</w:t>
            </w:r>
          </w:p>
        </w:tc>
        <w:tc>
          <w:tcPr>
            <w:tcW w:type="dxa" w:w="8504"/>
          </w:tcPr>
          <w:p>
            <w:r/>
            <w:r>
              <w:rPr>
                <w:rFonts w:ascii="Consolas" w:hAnsi="Consolas" w:eastAsia="Consolas"/>
                <w:b w:val="0"/>
                <w:sz w:val="16"/>
              </w:rPr>
              <w:t>SELECT TYPE_DEMANDE, AVG(DELAI_REPONSE) AS DELAI_MENANT FROM v_grh_demandes_service WHERE ETAT = 'En attente' GROUP BY TYPE_DEMANDE ORDER BY DELAI_MENANT ASC</w:t>
              <w:br/>
              <w:t>FETCH FIRST 200 ROWS ONLY</w:t>
            </w:r>
          </w:p>
        </w:tc>
      </w:tr>
    </w:tbl>
    <w:p/>
    <w:p>
      <w:pPr>
        <w:pStyle w:val="Heading1"/>
      </w:pPr>
      <w:r>
        <w:t>7. Limites</w:t>
      </w:r>
    </w:p>
    <w:p>
      <w:pPr>
        <w:pStyle w:val="ListBullet"/>
      </w:pPr>
      <w:r>
        <w:t>Le modèle (1,5 milliard de paramètres) peut se tromper d'indicateur ou de filtre : vérifier la requête SQL affichée pour les chiffres sensibles, et préférer les dashboards pour les indicateurs officiels.</w:t>
      </w:r>
    </w:p>
    <w:p>
      <w:pPr>
        <w:pStyle w:val="ListBullet"/>
      </w:pPr>
      <w:r>
        <w:t>Une question à la fois (verrou) : les autres utilisateurs attendent jusqu'à 20 s, puis reçoivent un message.</w:t>
      </w:r>
    </w:p>
    <w:p>
      <w:pPr>
        <w:pStyle w:val="ListBullet"/>
      </w:pPr>
      <w:r>
        <w:t>Les questions qui demandent de croiser beaucoup de vues ou des calculs complexes (taux sur plusieurs périodes, cumuls) réussissent moins souvent : les découper en questions simples.</w:t>
      </w:r>
    </w:p>
    <w:p>
      <w:pPr>
        <w:pStyle w:val="ListBullet"/>
      </w:pPr>
      <w:r>
        <w:t>Pas de mémoire de conversation : chaque question doit être complète (indicateur, période, filtre).</w:t>
      </w:r>
    </w:p>
    <w:p>
      <w:pPr>
        <w:pStyle w:val="ListBullet"/>
      </w:pPr>
      <w:r>
        <w:t>Les valeurs proposées au modèle sont limitées aux 15 premières par colonne ; une valeur rare doit être écrite exactement comme dans les données.</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