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ТЕХНИЧЕСКОЕ ЗАДАНИЕ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  <w:bCs/>
        </w:rPr>
        <w:t>на проведение работ по созданию системы защиты</w:t>
      </w:r>
      <w:bookmarkStart w:id="0" w:name="_GoBack"/>
      <w:bookmarkEnd w:id="0"/>
      <w:r>
        <w:rPr>
          <w:b/>
          <w:bCs/>
        </w:rPr>
        <w:t xml:space="preserve"> персональных данных МФЦ</w:t>
      </w:r>
      <w:r>
        <w:rPr>
          <w:b/>
        </w:rPr>
        <w:t xml:space="preserve"> на трёх автоматизированных рабочих местах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ind w:left="0" w:firstLine="709"/>
        <w:jc w:val="both"/>
        <w:rPr/>
      </w:pPr>
      <w:r>
        <w:rPr>
          <w:b/>
        </w:rPr>
        <w:t>Цели проекта: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709" w:leader="none"/>
          <w:tab w:val="left" w:pos="993" w:leader="none"/>
        </w:tabs>
        <w:ind w:left="0" w:firstLine="709"/>
        <w:jc w:val="both"/>
        <w:rPr>
          <w:b/>
          <w:b/>
          <w:bCs/>
        </w:rPr>
      </w:pPr>
      <w:r>
        <w:rPr>
          <w:spacing w:val="-1"/>
        </w:rPr>
        <w:t xml:space="preserve">обеспечение защиты от несанкционированного доступа (далее НСД) к информации и базам данных, находящимся на </w:t>
      </w:r>
      <w:r>
        <w:rPr>
          <w:bCs/>
        </w:rPr>
        <w:t>автоматизированных</w:t>
      </w:r>
      <w:r>
        <w:rPr>
          <w:spacing w:val="-1"/>
        </w:rPr>
        <w:t xml:space="preserve"> рабочих местах (далее АРМ) в </w:t>
      </w:r>
      <w:r>
        <w:rPr>
          <w:bCs/>
        </w:rPr>
        <w:t>МАУ ЩМР «МФЦ Щёлковского муниципального района»</w:t>
      </w:r>
    </w:p>
    <w:p>
      <w:pPr>
        <w:pStyle w:val="ListParagraph"/>
        <w:tabs>
          <w:tab w:val="clear" w:pos="708"/>
          <w:tab w:val="left" w:pos="709" w:leader="none"/>
          <w:tab w:val="left" w:pos="993" w:leader="none"/>
        </w:tabs>
        <w:ind w:left="0" w:firstLine="709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ind w:left="0" w:firstLine="709"/>
        <w:jc w:val="both"/>
        <w:rPr>
          <w:b/>
          <w:b/>
        </w:rPr>
      </w:pPr>
      <w:r>
        <w:rPr>
          <w:b/>
        </w:rPr>
        <w:t xml:space="preserve">Наименование и содержание работ: </w:t>
      </w:r>
    </w:p>
    <w:p>
      <w:pPr>
        <w:pStyle w:val="ListParagraph"/>
        <w:ind w:left="0" w:firstLine="709"/>
        <w:jc w:val="both"/>
        <w:rPr/>
      </w:pPr>
      <w:r>
        <w:rPr/>
        <w:t>Выполнение комплекса работ по построению системы защиты информации.</w:t>
      </w:r>
    </w:p>
    <w:p>
      <w:pPr>
        <w:pStyle w:val="ListParagraph"/>
        <w:tabs>
          <w:tab w:val="clear" w:pos="708"/>
          <w:tab w:val="left" w:pos="709" w:leader="none"/>
          <w:tab w:val="left" w:pos="993" w:leader="none"/>
        </w:tabs>
        <w:ind w:left="0" w:firstLine="709"/>
        <w:jc w:val="both"/>
        <w:rPr>
          <w:spacing w:val="-1"/>
        </w:rPr>
      </w:pPr>
      <w:r>
        <w:rPr>
          <w:spacing w:val="-1"/>
        </w:rPr>
        <w:t>Содержание работ: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709" w:leader="none"/>
          <w:tab w:val="left" w:pos="993" w:leader="none"/>
        </w:tabs>
        <w:ind w:left="0" w:firstLine="709"/>
        <w:jc w:val="both"/>
        <w:rPr>
          <w:spacing w:val="-1"/>
        </w:rPr>
      </w:pPr>
      <w:r>
        <w:rPr>
          <w:spacing w:val="-1"/>
        </w:rPr>
        <w:t>установка и настройка сертифицированных средств защиты информации.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709" w:leader="none"/>
          <w:tab w:val="left" w:pos="993" w:leader="none"/>
        </w:tabs>
        <w:ind w:left="0" w:firstLine="709"/>
        <w:jc w:val="both"/>
        <w:rPr>
          <w:spacing w:val="-1"/>
        </w:rPr>
      </w:pPr>
      <w:r>
        <w:rPr>
          <w:spacing w:val="-1"/>
        </w:rPr>
        <w:t>приобретение сертифицированных средств защиты информации.</w:t>
      </w:r>
    </w:p>
    <w:p>
      <w:pPr>
        <w:pStyle w:val="Normal"/>
        <w:tabs>
          <w:tab w:val="clear" w:pos="708"/>
          <w:tab w:val="left" w:pos="993" w:leader="none"/>
        </w:tabs>
        <w:ind w:firstLine="709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ind w:left="0" w:firstLine="709"/>
        <w:jc w:val="both"/>
        <w:rPr>
          <w:b/>
          <w:b/>
        </w:rPr>
      </w:pPr>
      <w:r>
        <w:rPr>
          <w:b/>
        </w:rPr>
        <w:t>Основание для выполнения работ:</w:t>
      </w:r>
    </w:p>
    <w:p>
      <w:pPr>
        <w:pStyle w:val="ListParagraph"/>
        <w:tabs>
          <w:tab w:val="clear" w:pos="708"/>
          <w:tab w:val="left" w:pos="993" w:leader="none"/>
        </w:tabs>
        <w:ind w:left="0" w:firstLine="709"/>
        <w:jc w:val="both"/>
        <w:rPr/>
      </w:pPr>
      <w:r>
        <w:rPr/>
        <w:t>Работы должны проводиться в  соответствии со следующими нормативными правовыми актами: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709" w:leader="none"/>
        </w:tabs>
        <w:ind w:left="0" w:firstLine="709"/>
        <w:jc w:val="both"/>
        <w:rPr>
          <w:bCs/>
        </w:rPr>
      </w:pPr>
      <w:r>
        <w:rPr>
          <w:b/>
        </w:rPr>
        <w:t xml:space="preserve">Перечень и количество поставляемых программных средств защиты информации, а также </w:t>
      </w:r>
      <w:r>
        <w:rPr>
          <w:b/>
          <w:bCs/>
        </w:rPr>
        <w:t>перечень и объем выполняемых работ:</w:t>
      </w:r>
    </w:p>
    <w:p>
      <w:pPr>
        <w:pStyle w:val="Normal"/>
        <w:tabs>
          <w:tab w:val="clear" w:pos="708"/>
          <w:tab w:val="left" w:pos="142" w:leader="none"/>
          <w:tab w:val="left" w:pos="709" w:leader="none"/>
        </w:tabs>
        <w:jc w:val="both"/>
        <w:rPr>
          <w:vanish/>
        </w:rPr>
      </w:pPr>
      <w:r>
        <w:rPr>
          <w:vanish/>
        </w:rPr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142" w:leader="none"/>
          <w:tab w:val="left" w:pos="709" w:leader="none"/>
        </w:tabs>
        <w:ind w:left="0" w:firstLine="709"/>
        <w:jc w:val="both"/>
        <w:rPr>
          <w:bCs/>
        </w:rPr>
      </w:pPr>
      <w:r>
        <w:rPr/>
        <w:t xml:space="preserve"> </w:t>
      </w:r>
      <w:r>
        <w:rPr/>
        <w:t xml:space="preserve">Перечень и количество поставляемых программных и программно-аппаратных средств защиты информации </w:t>
      </w:r>
      <w:r>
        <w:rPr>
          <w:bCs/>
        </w:rPr>
        <w:t>приведен в таблице 1.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bCs/>
        </w:rPr>
      </w:pPr>
      <w:r>
        <w:rPr>
          <w:bCs/>
        </w:rPr>
      </w:r>
    </w:p>
    <w:p>
      <w:pPr>
        <w:pStyle w:val="Normal"/>
        <w:spacing w:lineRule="auto" w:line="276" w:before="0" w:after="200"/>
        <w:ind w:firstLine="709"/>
        <w:rPr/>
      </w:pPr>
      <w:r>
        <w:rPr/>
        <w:t>Таблица 1 – Перечень и количество поставляемых программных средств защиты информации:</w:t>
      </w:r>
    </w:p>
    <w:tbl>
      <w:tblPr>
        <w:tblW w:w="5000" w:type="pct"/>
        <w:jc w:val="center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0a0" w:noHBand="0" w:noVBand="0" w:firstColumn="1" w:lastRow="0" w:lastColumn="0" w:firstRow="1"/>
      </w:tblPr>
      <w:tblGrid>
        <w:gridCol w:w="636"/>
        <w:gridCol w:w="4445"/>
        <w:gridCol w:w="765"/>
        <w:gridCol w:w="4619"/>
      </w:tblGrid>
      <w:tr>
        <w:trPr>
          <w:trHeight w:val="153" w:hRule="atLeast"/>
          <w:cantSplit w:val="true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-32" w:hanging="0"/>
              <w:jc w:val="center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Перечень 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/>
              <w:t>программных и программно-аппаратных средств защиты информации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Кол-во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Материалы (техническая документация, носители и иное), представляемые Подрядчиком в ходе выполнения работ</w:t>
            </w:r>
          </w:p>
        </w:tc>
      </w:tr>
      <w:tr>
        <w:trPr>
          <w:trHeight w:val="153" w:hRule="atLeast"/>
          <w:cantSplit w:val="true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360" w:right="-32" w:hanging="360"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44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Cs w:val="20"/>
              </w:rPr>
              <w:t>Право на использование Средства защиты информации Secret Net 7. Клиент (автономный режим работы) или эквивалент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rmal"/>
              <w:rPr/>
            </w:pPr>
            <w:r>
              <w:rPr/>
              <w:t>Лицензия на неисключительное право на использование программных средств на бумажном носителе – 1 шт.</w:t>
            </w:r>
          </w:p>
        </w:tc>
      </w:tr>
      <w:tr>
        <w:trPr>
          <w:trHeight w:val="1102" w:hRule="atLeast"/>
          <w:cantSplit w:val="true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360" w:right="-32" w:hanging="360"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4445" w:type="dxa"/>
            <w:tcBorders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Cs w:val="20"/>
              </w:rPr>
              <w:t>Установочный комплект. Средство защиты информации Secret Net 7 (автономный)</w:t>
            </w:r>
            <w:r>
              <w:rPr>
                <w:sz w:val="32"/>
                <w:szCs w:val="20"/>
              </w:rPr>
              <w:t xml:space="preserve"> </w:t>
            </w:r>
            <w:r>
              <w:rPr>
                <w:szCs w:val="20"/>
              </w:rPr>
              <w:t>или эквивалент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Установочный дистрибутив (автономный вариант) - 3 комплектов.</w:t>
            </w:r>
          </w:p>
          <w:p>
            <w:pPr>
              <w:pStyle w:val="Normal"/>
              <w:rPr/>
            </w:pPr>
            <w:r>
              <w:rPr>
                <w:szCs w:val="20"/>
              </w:rPr>
              <w:t>Формуляр в печатном виде - 3 шт. Сертификат в бумажном виде - 3 шт.</w:t>
            </w:r>
          </w:p>
        </w:tc>
      </w:tr>
      <w:tr>
        <w:trPr>
          <w:trHeight w:val="153" w:hRule="atLeast"/>
          <w:cantSplit w:val="true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360" w:right="-32" w:hanging="360"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Лицензия на право использования средства криптографической защиты информации КриптоПро </w:t>
            </w:r>
            <w:r>
              <w:rPr>
                <w:lang w:val="en-US"/>
              </w:rPr>
              <w:t>CSP</w:t>
            </w:r>
            <w:r>
              <w:rPr/>
              <w:t xml:space="preserve"> 3.9 (бессрочная) или эквивалент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rmal"/>
              <w:rPr/>
            </w:pPr>
            <w:r>
              <w:rPr/>
              <w:t>Лицензия на неисключительное право на использование программного средства на бумажном носителе – 3 шт.</w:t>
            </w:r>
          </w:p>
        </w:tc>
      </w:tr>
      <w:tr>
        <w:trPr>
          <w:trHeight w:val="153" w:hRule="atLeast"/>
          <w:cantSplit w:val="true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360" w:right="-32" w:hanging="360"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 xml:space="preserve">Программно-аппаратный комплекс "Соболь". Версия 3.0, Mini PCI-E Half </w:t>
            </w:r>
            <w:r>
              <w:rPr>
                <w:szCs w:val="20"/>
                <w:lang w:val="en-US"/>
              </w:rPr>
              <w:t>Size</w:t>
            </w:r>
            <w:r>
              <w:rPr>
                <w:szCs w:val="20"/>
              </w:rPr>
              <w:t xml:space="preserve"> - комплект с eToken PRO (Java), сертификат ФСТЭК России или эквивалент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/>
              <w:t>Плата</w:t>
            </w:r>
            <w:r>
              <w:rPr>
                <w:lang w:val="en-US"/>
              </w:rPr>
              <w:t xml:space="preserve"> </w:t>
            </w:r>
            <w:r>
              <w:rPr>
                <w:szCs w:val="20"/>
                <w:lang w:val="en-US"/>
              </w:rPr>
              <w:t>Mini PCI-E Half Size</w:t>
            </w:r>
            <w:r>
              <w:rPr>
                <w:lang w:val="en-US"/>
              </w:rPr>
              <w:t xml:space="preserve"> – 3 </w:t>
            </w:r>
            <w:r>
              <w:rPr/>
              <w:t>шт</w:t>
            </w:r>
            <w:r>
              <w:rPr>
                <w:lang w:val="en-US"/>
              </w:rPr>
              <w:t>.</w:t>
            </w:r>
          </w:p>
          <w:p>
            <w:pPr>
              <w:pStyle w:val="Normal"/>
              <w:rPr/>
            </w:pPr>
            <w:r>
              <w:rPr/>
              <w:t>Диск с ПО и документацией – 3 шт.</w:t>
            </w:r>
          </w:p>
          <w:p>
            <w:pPr>
              <w:pStyle w:val="Normal"/>
              <w:rPr/>
            </w:pPr>
            <w:r>
              <w:rPr/>
              <w:t>Паспорт в печатном виде – 3 шт.</w:t>
            </w:r>
          </w:p>
          <w:p>
            <w:pPr>
              <w:pStyle w:val="Normal"/>
              <w:rPr/>
            </w:pPr>
            <w:r>
              <w:rPr/>
              <w:t>Копия сертификата (ФСТЭК России) – 3 шт.</w:t>
            </w:r>
          </w:p>
          <w:p>
            <w:pPr>
              <w:pStyle w:val="Normal"/>
              <w:rPr/>
            </w:pPr>
            <w:r>
              <w:rPr/>
              <w:t>Специальный защитный знак – 3 шт.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lang w:val="en-US"/>
              </w:rPr>
              <w:t>USB</w:t>
            </w:r>
            <w:r>
              <w:rPr/>
              <w:t>-ключ- 6 шт.</w:t>
            </w:r>
          </w:p>
        </w:tc>
      </w:tr>
    </w:tbl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ListParagraph"/>
        <w:numPr>
          <w:ilvl w:val="1"/>
          <w:numId w:val="2"/>
        </w:numPr>
        <w:ind w:left="0" w:firstLine="708"/>
        <w:jc w:val="both"/>
        <w:rPr>
          <w:bCs/>
        </w:rPr>
      </w:pPr>
      <w:r>
        <w:rPr>
          <w:bCs/>
        </w:rPr>
        <w:t xml:space="preserve">Перечень и объем выполняемых работ по установке и настройке </w:t>
      </w:r>
      <w:r>
        <w:rPr/>
        <w:t xml:space="preserve">программных </w:t>
      </w:r>
      <w:r>
        <w:rPr>
          <w:bCs/>
        </w:rPr>
        <w:t>средств защиты информации приведен в таблице 2.</w:t>
      </w:r>
    </w:p>
    <w:p>
      <w:pPr>
        <w:pStyle w:val="ListParagraph"/>
        <w:ind w:left="0" w:firstLine="709"/>
        <w:jc w:val="both"/>
        <w:rPr>
          <w:bCs/>
        </w:rPr>
      </w:pPr>
      <w:r>
        <w:rPr>
          <w:bCs/>
        </w:rPr>
      </w:r>
    </w:p>
    <w:p>
      <w:pPr>
        <w:pStyle w:val="ListParagraph"/>
        <w:ind w:left="0" w:firstLine="709"/>
        <w:jc w:val="both"/>
        <w:rPr>
          <w:bCs/>
        </w:rPr>
      </w:pPr>
      <w:r>
        <w:rPr>
          <w:bCs/>
        </w:rPr>
        <w:t xml:space="preserve">Таблица 2 – Перечень и объем выполняемых работ по установке и настройке </w:t>
      </w:r>
      <w:r>
        <w:rPr/>
        <w:t xml:space="preserve">программных </w:t>
      </w:r>
      <w:r>
        <w:rPr>
          <w:bCs/>
        </w:rPr>
        <w:t>средств защиты информации:</w:t>
      </w:r>
    </w:p>
    <w:tbl>
      <w:tblPr>
        <w:tblStyle w:val="a5"/>
        <w:tblW w:w="10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5"/>
        <w:gridCol w:w="6237"/>
        <w:gridCol w:w="1417"/>
        <w:gridCol w:w="2410"/>
      </w:tblGrid>
      <w:tr>
        <w:trPr/>
        <w:tc>
          <w:tcPr>
            <w:tcW w:w="675" w:type="dxa"/>
            <w:tcBorders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rFonts w:eastAsia="Calibri" w:cs="Times New Roman" w:ascii="Calibri" w:hAnsi="Calibri"/>
                <w:bCs/>
                <w:szCs w:val="20"/>
                <w:lang w:eastAsia="ru-RU"/>
              </w:rPr>
              <w:t xml:space="preserve">№ </w:t>
            </w:r>
            <w:r>
              <w:rPr>
                <w:rFonts w:eastAsia="Calibri" w:cs="Times New Roman" w:ascii="Calibri" w:hAnsi="Calibri"/>
                <w:bCs/>
                <w:szCs w:val="20"/>
                <w:lang w:eastAsia="ru-RU"/>
              </w:rPr>
              <w:t>п/п</w:t>
            </w:r>
          </w:p>
        </w:tc>
        <w:tc>
          <w:tcPr>
            <w:tcW w:w="6237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Times New Roman"/>
                <w:szCs w:val="20"/>
                <w:lang w:eastAsia="ru-RU"/>
              </w:rPr>
            </w:pPr>
            <w:r>
              <w:rPr>
                <w:rFonts w:eastAsia="Calibri" w:cs="Times New Roman" w:ascii="Calibri" w:hAnsi="Calibri"/>
                <w:szCs w:val="20"/>
                <w:lang w:eastAsia="ru-RU"/>
              </w:rPr>
              <w:t>Наименование работы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Times New Roman"/>
                <w:szCs w:val="20"/>
                <w:lang w:eastAsia="ru-RU"/>
              </w:rPr>
            </w:pPr>
            <w:r>
              <w:rPr>
                <w:rFonts w:eastAsia="Calibri" w:cs="Times New Roman" w:ascii="Calibri" w:hAnsi="Calibri"/>
                <w:szCs w:val="20"/>
                <w:lang w:eastAsia="ru-RU"/>
              </w:rPr>
              <w:t>Кол-во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Times New Roman"/>
                <w:szCs w:val="20"/>
                <w:lang w:eastAsia="ru-RU"/>
              </w:rPr>
            </w:pPr>
            <w:r>
              <w:rPr>
                <w:rFonts w:eastAsia="Calibri" w:cs="Times New Roman" w:ascii="Calibri" w:hAnsi="Calibri"/>
                <w:szCs w:val="20"/>
                <w:lang w:eastAsia="ru-RU"/>
              </w:rPr>
              <w:t>Обеспечение</w:t>
            </w:r>
          </w:p>
        </w:tc>
      </w:tr>
      <w:tr>
        <w:trPr/>
        <w:tc>
          <w:tcPr>
            <w:tcW w:w="675" w:type="dxa"/>
            <w:tcBorders/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ind w:left="0" w:hanging="0"/>
              <w:jc w:val="center"/>
              <w:rPr>
                <w:bCs/>
              </w:rPr>
            </w:pPr>
            <w:r>
              <w:rPr>
                <w:bCs/>
                <w:szCs w:val="20"/>
                <w:lang w:eastAsia="ru-RU"/>
              </w:rPr>
            </w:r>
          </w:p>
        </w:tc>
        <w:tc>
          <w:tcPr>
            <w:tcW w:w="6237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rFonts w:eastAsia="Calibri" w:cs="Times New Roman" w:ascii="Calibri" w:hAnsi="Calibri"/>
                <w:szCs w:val="20"/>
                <w:lang w:eastAsia="ru-RU"/>
              </w:rPr>
              <w:t>Установка и настройка Средства защиты информации Secret Net 7. Клиент (автономный режим работы) или эквивалента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Times New Roman"/>
                <w:szCs w:val="20"/>
                <w:lang w:eastAsia="ru-RU"/>
              </w:rPr>
            </w:pPr>
            <w:r>
              <w:rPr>
                <w:rFonts w:eastAsia="Calibri" w:cs="Times New Roman" w:ascii="Calibri" w:hAnsi="Calibri"/>
                <w:szCs w:val="20"/>
                <w:lang w:eastAsia="ru-RU"/>
              </w:rPr>
              <w:t>3 усл.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Times New Roman"/>
                <w:szCs w:val="20"/>
                <w:lang w:eastAsia="ru-RU"/>
              </w:rPr>
            </w:pPr>
            <w:r>
              <w:rPr>
                <w:rFonts w:eastAsia="Calibri" w:cs="Times New Roman" w:ascii="Calibri" w:hAnsi="Calibri"/>
                <w:szCs w:val="20"/>
                <w:lang w:eastAsia="ru-RU"/>
              </w:rPr>
              <w:t>Акт установки и настройки СЗИ</w:t>
            </w:r>
          </w:p>
        </w:tc>
      </w:tr>
      <w:tr>
        <w:trPr/>
        <w:tc>
          <w:tcPr>
            <w:tcW w:w="675" w:type="dxa"/>
            <w:tcBorders/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ind w:left="0" w:hanging="0"/>
              <w:jc w:val="center"/>
              <w:rPr>
                <w:bCs/>
              </w:rPr>
            </w:pPr>
            <w:r>
              <w:rPr>
                <w:bCs/>
                <w:szCs w:val="20"/>
                <w:lang w:eastAsia="ru-RU"/>
              </w:rPr>
            </w:r>
          </w:p>
        </w:tc>
        <w:tc>
          <w:tcPr>
            <w:tcW w:w="6237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rFonts w:eastAsia="Calibri" w:cs="Times New Roman" w:ascii="Calibri" w:hAnsi="Calibri"/>
                <w:szCs w:val="20"/>
                <w:lang w:eastAsia="ru-RU"/>
              </w:rPr>
              <w:t>Установка и настройка ПО СКЗИ КриптоПро CSP 3.9 или эквивалента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Times New Roman"/>
                <w:szCs w:val="20"/>
                <w:lang w:eastAsia="ru-RU"/>
              </w:rPr>
            </w:pPr>
            <w:r>
              <w:rPr>
                <w:rFonts w:eastAsia="Calibri" w:cs="Times New Roman" w:ascii="Calibri" w:hAnsi="Calibri"/>
                <w:szCs w:val="20"/>
                <w:lang w:eastAsia="ru-RU"/>
              </w:rPr>
              <w:t>3 усл.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Times New Roman"/>
                <w:szCs w:val="20"/>
                <w:lang w:eastAsia="ru-RU"/>
              </w:rPr>
            </w:pPr>
            <w:r>
              <w:rPr>
                <w:rFonts w:eastAsia="Calibri" w:cs="Times New Roman" w:ascii="Calibri" w:hAnsi="Calibri"/>
                <w:szCs w:val="20"/>
                <w:lang w:eastAsia="ru-RU"/>
              </w:rPr>
              <w:t>Акт установки и настройки СЗИ</w:t>
            </w:r>
          </w:p>
        </w:tc>
      </w:tr>
      <w:tr>
        <w:trPr/>
        <w:tc>
          <w:tcPr>
            <w:tcW w:w="675" w:type="dxa"/>
            <w:tcBorders/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ind w:left="0" w:hanging="0"/>
              <w:jc w:val="center"/>
              <w:rPr>
                <w:bCs/>
              </w:rPr>
            </w:pPr>
            <w:r>
              <w:rPr>
                <w:bCs/>
                <w:szCs w:val="20"/>
                <w:lang w:eastAsia="ru-RU"/>
              </w:rPr>
            </w:r>
          </w:p>
        </w:tc>
        <w:tc>
          <w:tcPr>
            <w:tcW w:w="6237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rFonts w:eastAsia="Calibri" w:cs="Times New Roman" w:ascii="Calibri" w:hAnsi="Calibri"/>
                <w:szCs w:val="20"/>
                <w:lang w:eastAsia="ru-RU"/>
              </w:rPr>
              <w:t>Изготовление сертификата ключа проверки электронной подписи - срок действия сертификата 1 год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Times New Roman"/>
                <w:szCs w:val="20"/>
                <w:lang w:eastAsia="ru-RU"/>
              </w:rPr>
            </w:pPr>
            <w:r>
              <w:rPr>
                <w:rFonts w:eastAsia="Calibri" w:cs="Times New Roman" w:ascii="Calibri" w:hAnsi="Calibri"/>
                <w:szCs w:val="20"/>
                <w:lang w:eastAsia="ru-RU"/>
              </w:rPr>
              <w:t>3 усл.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Times New Roman"/>
                <w:szCs w:val="20"/>
                <w:lang w:eastAsia="ru-RU"/>
              </w:rPr>
            </w:pPr>
            <w:r>
              <w:rPr>
                <w:rFonts w:eastAsia="Calibri" w:cs="Times New Roman" w:ascii="Calibri" w:hAnsi="Calibri"/>
                <w:szCs w:val="20"/>
                <w:lang w:eastAsia="ru-RU"/>
              </w:rPr>
              <w:t>Сертификат электронно-цифровой подписи в электронном виде</w:t>
            </w:r>
          </w:p>
        </w:tc>
      </w:tr>
      <w:tr>
        <w:trPr/>
        <w:tc>
          <w:tcPr>
            <w:tcW w:w="675" w:type="dxa"/>
            <w:tcBorders/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ind w:left="0" w:hanging="0"/>
              <w:jc w:val="center"/>
              <w:rPr>
                <w:bCs/>
              </w:rPr>
            </w:pPr>
            <w:r>
              <w:rPr>
                <w:bCs/>
                <w:szCs w:val="20"/>
                <w:lang w:eastAsia="ru-RU"/>
              </w:rPr>
            </w:r>
          </w:p>
        </w:tc>
        <w:tc>
          <w:tcPr>
            <w:tcW w:w="623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szCs w:val="20"/>
              </w:rPr>
            </w:pPr>
            <w:r>
              <w:rPr>
                <w:rFonts w:eastAsia="Calibri" w:cs="Times New Roman" w:ascii="Calibri" w:hAnsi="Calibri"/>
                <w:szCs w:val="20"/>
                <w:lang w:eastAsia="ru-RU"/>
              </w:rPr>
              <w:t xml:space="preserve">Установка и настройка </w:t>
            </w:r>
            <w:r>
              <w:rPr>
                <w:rFonts w:eastAsia="Calibri" w:cs="Times New Roman" w:ascii="Calibri" w:hAnsi="Calibri"/>
                <w:szCs w:val="16"/>
                <w:lang w:eastAsia="ru-RU"/>
              </w:rPr>
              <w:t xml:space="preserve">ПАК "Соболь". Версия 3.0, Mini PCI-E Half Size - комплект с eToken PRO (Java) </w:t>
            </w:r>
            <w:r>
              <w:rPr>
                <w:rFonts w:eastAsia="Calibri" w:cs="Times New Roman" w:ascii="Calibri" w:hAnsi="Calibri"/>
                <w:szCs w:val="20"/>
                <w:lang w:eastAsia="ru-RU"/>
              </w:rPr>
              <w:t>или эквивалента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Times New Roman"/>
                <w:szCs w:val="20"/>
                <w:lang w:eastAsia="ru-RU"/>
              </w:rPr>
            </w:pPr>
            <w:r>
              <w:rPr>
                <w:rFonts w:eastAsia="Calibri" w:cs="Times New Roman" w:ascii="Calibri" w:hAnsi="Calibri"/>
                <w:szCs w:val="20"/>
                <w:lang w:eastAsia="ru-RU"/>
              </w:rPr>
              <w:t>3 усл.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Times New Roman"/>
                <w:szCs w:val="20"/>
                <w:lang w:eastAsia="ru-RU"/>
              </w:rPr>
            </w:pPr>
            <w:r>
              <w:rPr>
                <w:rFonts w:eastAsia="Calibri" w:cs="Times New Roman" w:ascii="Calibri" w:hAnsi="Calibri"/>
                <w:szCs w:val="20"/>
                <w:lang w:eastAsia="ru-RU"/>
              </w:rPr>
              <w:t>Акт установки и настройки СЗИ</w:t>
            </w:r>
          </w:p>
        </w:tc>
      </w:tr>
      <w:tr>
        <w:trPr/>
        <w:tc>
          <w:tcPr>
            <w:tcW w:w="675" w:type="dxa"/>
            <w:tcBorders/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ind w:left="0" w:hanging="0"/>
              <w:jc w:val="center"/>
              <w:rPr>
                <w:bCs/>
              </w:rPr>
            </w:pPr>
            <w:r>
              <w:rPr>
                <w:bCs/>
                <w:szCs w:val="20"/>
                <w:lang w:eastAsia="ru-RU"/>
              </w:rPr>
            </w:r>
          </w:p>
        </w:tc>
        <w:tc>
          <w:tcPr>
            <w:tcW w:w="6237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rPr>
                <w:szCs w:val="20"/>
              </w:rPr>
            </w:pPr>
            <w:r>
              <w:rPr>
                <w:rFonts w:eastAsia="Calibri" w:cs="Times New Roman" w:ascii="Calibri" w:hAnsi="Calibri"/>
                <w:szCs w:val="20"/>
                <w:lang w:eastAsia="ru-RU"/>
              </w:rPr>
              <w:t>Акты установки и настройки СЗИ (для каждой СЗИ)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Times New Roman"/>
                <w:szCs w:val="20"/>
                <w:lang w:eastAsia="ru-RU"/>
              </w:rPr>
            </w:pPr>
            <w:r>
              <w:rPr>
                <w:rFonts w:eastAsia="Calibri" w:cs="Times New Roman" w:ascii="Calibri" w:hAnsi="Calibri"/>
                <w:szCs w:val="20"/>
                <w:lang w:eastAsia="ru-RU"/>
              </w:rPr>
              <w:t>3 усл.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Times New Roman"/>
                <w:szCs w:val="20"/>
                <w:lang w:eastAsia="ru-RU"/>
              </w:rPr>
            </w:pPr>
            <w:r>
              <w:rPr>
                <w:rFonts w:eastAsia="Calibri" w:cs="Times New Roman" w:ascii="Calibri" w:hAnsi="Calibri"/>
                <w:szCs w:val="20"/>
                <w:lang w:eastAsia="ru-RU"/>
              </w:rPr>
              <w:t>3 документа на бумажном носителе</w:t>
            </w:r>
          </w:p>
        </w:tc>
      </w:tr>
    </w:tbl>
    <w:p>
      <w:pPr>
        <w:pStyle w:val="ListParagraph"/>
        <w:ind w:left="709" w:hanging="0"/>
        <w:jc w:val="both"/>
        <w:rPr>
          <w:bCs/>
        </w:rPr>
      </w:pPr>
      <w:r>
        <w:rPr>
          <w:bCs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ind w:left="0" w:firstLine="709"/>
        <w:jc w:val="both"/>
        <w:rPr>
          <w:b/>
          <w:b/>
        </w:rPr>
      </w:pPr>
      <w:r>
        <w:rPr>
          <w:b/>
        </w:rPr>
        <w:t xml:space="preserve">Место </w:t>
      </w:r>
      <w:r>
        <w:rPr>
          <w:b/>
          <w:bCs/>
        </w:rPr>
        <w:t>выполняемых работ</w:t>
      </w:r>
    </w:p>
    <w:p>
      <w:pPr>
        <w:pStyle w:val="Normal"/>
        <w:tabs>
          <w:tab w:val="clear" w:pos="708"/>
          <w:tab w:val="left" w:pos="900" w:leader="none"/>
          <w:tab w:val="left" w:pos="993" w:leader="none"/>
        </w:tabs>
        <w:ind w:firstLine="709"/>
        <w:jc w:val="both"/>
        <w:rPr/>
      </w:pPr>
      <w:r>
        <w:rPr/>
        <w:t xml:space="preserve">Работы должны быть выполнены по следующему адресу: 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900" w:leader="none"/>
          <w:tab w:val="left" w:pos="993" w:leader="none"/>
        </w:tabs>
        <w:ind w:left="0" w:firstLine="709"/>
        <w:jc w:val="both"/>
        <w:rPr/>
      </w:pPr>
      <w:r>
        <w:rPr/>
        <w:t>141100, Московская обл.,  г. Щёлково,  ул. Свирская, д. 2а.</w:t>
      </w:r>
    </w:p>
    <w:p>
      <w:pPr>
        <w:pStyle w:val="Normal"/>
        <w:tabs>
          <w:tab w:val="clear" w:pos="708"/>
          <w:tab w:val="left" w:pos="993" w:leader="none"/>
        </w:tabs>
        <w:ind w:firstLine="709"/>
        <w:rPr/>
      </w:pPr>
      <w:r>
        <w:rPr/>
        <w:t xml:space="preserve"> 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ind w:left="0" w:firstLine="709"/>
        <w:jc w:val="both"/>
        <w:rPr>
          <w:b/>
          <w:b/>
        </w:rPr>
      </w:pPr>
      <w:r>
        <w:rPr>
          <w:b/>
        </w:rPr>
        <w:t>Место поставки средств защиты информации</w:t>
      </w:r>
    </w:p>
    <w:p>
      <w:pPr>
        <w:pStyle w:val="Normal"/>
        <w:tabs>
          <w:tab w:val="clear" w:pos="708"/>
          <w:tab w:val="left" w:pos="993" w:leader="none"/>
        </w:tabs>
        <w:ind w:firstLine="709"/>
        <w:rPr/>
      </w:pPr>
      <w:r>
        <w:rPr/>
        <w:t xml:space="preserve">Поставку средств защиты информации необходимо осуществить по адресу: 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900" w:leader="none"/>
          <w:tab w:val="left" w:pos="993" w:leader="none"/>
        </w:tabs>
        <w:ind w:left="0" w:firstLine="709"/>
        <w:jc w:val="both"/>
        <w:rPr/>
      </w:pPr>
      <w:r>
        <w:rPr/>
        <w:t>141100, Московская обл.,  г. Щёлково,  ул. Свирская, д. 2а.</w:t>
      </w:r>
    </w:p>
    <w:p>
      <w:pPr>
        <w:pStyle w:val="Normal"/>
        <w:tabs>
          <w:tab w:val="clear" w:pos="708"/>
          <w:tab w:val="left" w:pos="993" w:leader="none"/>
        </w:tabs>
        <w:ind w:firstLine="709"/>
        <w:rPr/>
      </w:pPr>
      <w:r>
        <w:rPr/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720" w:leader="none"/>
          <w:tab w:val="left" w:pos="993" w:leader="none"/>
        </w:tabs>
        <w:ind w:left="0" w:firstLine="709"/>
        <w:jc w:val="both"/>
        <w:rPr>
          <w:b/>
          <w:b/>
        </w:rPr>
      </w:pPr>
      <w:r>
        <w:rPr>
          <w:b/>
        </w:rPr>
        <w:t>Требования к используемым технологиям.</w:t>
      </w:r>
    </w:p>
    <w:p>
      <w:pPr>
        <w:pStyle w:val="Normal"/>
        <w:tabs>
          <w:tab w:val="clear" w:pos="708"/>
          <w:tab w:val="left" w:pos="851" w:leader="none"/>
          <w:tab w:val="left" w:pos="993" w:leader="none"/>
        </w:tabs>
        <w:ind w:firstLine="709"/>
        <w:jc w:val="both"/>
        <w:rPr/>
      </w:pPr>
      <w:r>
        <w:rPr/>
        <w:t>Построение системы защиты информации должно осуществляться на базе применения современных информационных технологий и обеспечивать: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1134" w:leader="none"/>
          <w:tab w:val="left" w:pos="1418" w:leader="none"/>
        </w:tabs>
        <w:ind w:left="0" w:firstLine="709"/>
        <w:jc w:val="both"/>
        <w:rPr/>
      </w:pPr>
      <w:r>
        <w:rPr/>
        <w:t>расширяемость и гибкость управления конфигурацией системы;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1134" w:leader="none"/>
          <w:tab w:val="left" w:pos="1418" w:leader="none"/>
        </w:tabs>
        <w:ind w:left="0" w:firstLine="709"/>
        <w:jc w:val="both"/>
        <w:rPr/>
      </w:pPr>
      <w:r>
        <w:rPr/>
        <w:t>надежность и отказоустойчивость аппаратных и программных средств системы.</w:t>
      </w:r>
    </w:p>
    <w:p>
      <w:pPr>
        <w:pStyle w:val="Normal"/>
        <w:tabs>
          <w:tab w:val="clear" w:pos="708"/>
          <w:tab w:val="left" w:pos="851" w:leader="none"/>
          <w:tab w:val="left" w:pos="993" w:leader="none"/>
        </w:tabs>
        <w:ind w:firstLine="709"/>
        <w:jc w:val="both"/>
        <w:rPr/>
      </w:pPr>
      <w:r>
        <w:rPr/>
        <w:t>Средства защиты должны быть совместимы с программными и аппаратными средствами автоматизированной обработки и защиты ПДн, используемыми заказчиком.</w:t>
      </w:r>
    </w:p>
    <w:p>
      <w:pPr>
        <w:pStyle w:val="Normal"/>
        <w:tabs>
          <w:tab w:val="clear" w:pos="708"/>
          <w:tab w:val="left" w:pos="851" w:leader="none"/>
          <w:tab w:val="left" w:pos="993" w:leader="none"/>
        </w:tabs>
        <w:ind w:firstLine="709"/>
        <w:jc w:val="both"/>
        <w:rPr/>
      </w:pPr>
      <w:r>
        <w:rPr/>
        <w:t>Архитектура СЗПДн должна быть открытой, масштабируемой и строиться по модульному принципу, каждый модуль должен обеспечивать свою часть функциональности решения задач в целом.</w:t>
      </w:r>
    </w:p>
    <w:p>
      <w:pPr>
        <w:pStyle w:val="Normal"/>
        <w:tabs>
          <w:tab w:val="clear" w:pos="708"/>
          <w:tab w:val="left" w:pos="851" w:leader="none"/>
          <w:tab w:val="left" w:pos="993" w:leader="none"/>
        </w:tabs>
        <w:ind w:firstLine="709"/>
        <w:jc w:val="both"/>
        <w:rPr/>
      </w:pPr>
      <w:r>
        <w:rPr/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134" w:leader="none"/>
        </w:tabs>
        <w:ind w:left="0" w:firstLine="709"/>
        <w:jc w:val="both"/>
        <w:rPr>
          <w:b/>
          <w:b/>
        </w:rPr>
      </w:pPr>
      <w:r>
        <w:rPr>
          <w:b/>
        </w:rPr>
        <w:t>Требования к обеспечению безопасности в ходе разработки и внедрения СЗПДн.</w:t>
      </w:r>
    </w:p>
    <w:p>
      <w:pPr>
        <w:pStyle w:val="Normal"/>
        <w:ind w:firstLine="709"/>
        <w:jc w:val="both"/>
        <w:rPr/>
      </w:pPr>
      <w:r>
        <w:rPr/>
        <w:t>Все сведения о составе и характеристиках СЗПДн являются конфиденциальной информацией.</w:t>
      </w:r>
    </w:p>
    <w:p>
      <w:pPr>
        <w:pStyle w:val="Normal"/>
        <w:ind w:firstLine="709"/>
        <w:jc w:val="both"/>
        <w:rPr/>
      </w:pPr>
      <w:r>
        <w:rPr/>
        <w:t>Исполнитель СЗПДн обязуется: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34" w:leader="none"/>
        </w:tabs>
        <w:ind w:left="0" w:firstLine="709"/>
        <w:jc w:val="both"/>
        <w:rPr/>
      </w:pPr>
      <w:r>
        <w:rPr/>
        <w:t>не проводить противозаконные действия по сбору, использованию и передаче третьей стороне информации циркулирующей и хранящейся в ИС;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34" w:leader="none"/>
        </w:tabs>
        <w:ind w:left="0" w:firstLine="709"/>
        <w:jc w:val="both"/>
        <w:rPr/>
      </w:pPr>
      <w:r>
        <w:rPr/>
        <w:t>не осуществлять несанкционированный доступ к информационным ресурсам ИС;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34" w:leader="none"/>
        </w:tabs>
        <w:ind w:left="0" w:firstLine="709"/>
        <w:jc w:val="both"/>
        <w:rPr/>
      </w:pPr>
      <w:r>
        <w:rPr/>
        <w:t>не проводить незаконное копирование информации, циркулирующей или хранящейся в ИС;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34" w:leader="none"/>
        </w:tabs>
        <w:ind w:left="0" w:firstLine="709"/>
        <w:jc w:val="both"/>
        <w:rPr/>
      </w:pPr>
      <w:r>
        <w:rPr/>
        <w:t>не предпринимать манипулирование информацией, циркулирующей или хранящейся в ИС (фальсифицировать, модифицировать, подделывать, блокировать, уничтожать или искажать информацию);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34" w:leader="none"/>
        </w:tabs>
        <w:ind w:left="0" w:firstLine="709"/>
        <w:jc w:val="both"/>
        <w:rPr/>
      </w:pPr>
      <w:r>
        <w:rPr/>
        <w:t>не нарушать технологию сбора, накопления, хранения, обработки, преобразования, отображения и передачи информации, в результате чего может быть осуществлено искажение, потеря или незаконное использование информации;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34" w:leader="none"/>
        </w:tabs>
        <w:ind w:left="0" w:firstLine="709"/>
        <w:jc w:val="both"/>
        <w:rPr/>
      </w:pPr>
      <w:r>
        <w:rPr/>
        <w:t>не внедрять в ИС программы-вирусы (загрузочные, файловые и др.);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34" w:leader="none"/>
        </w:tabs>
        <w:ind w:left="0" w:firstLine="709"/>
        <w:jc w:val="both"/>
        <w:rPr/>
      </w:pPr>
      <w:r>
        <w:rPr/>
        <w:t>не устанавливать программные и аппаратные закладные устройства в технические средства ИС;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34" w:leader="none"/>
        </w:tabs>
        <w:ind w:left="0" w:firstLine="709"/>
        <w:jc w:val="both"/>
        <w:rPr/>
      </w:pPr>
      <w:r>
        <w:rPr/>
        <w:t xml:space="preserve">не устанавливать в технические средства ИС программное обеспечение, зараженное вирусами. </w:t>
      </w:r>
    </w:p>
    <w:p>
      <w:pPr>
        <w:pStyle w:val="Normal"/>
        <w:tabs>
          <w:tab w:val="clear" w:pos="708"/>
          <w:tab w:val="left" w:pos="851" w:leader="none"/>
          <w:tab w:val="left" w:pos="993" w:leader="none"/>
        </w:tabs>
        <w:ind w:firstLine="709"/>
        <w:jc w:val="both"/>
        <w:rPr/>
      </w:pPr>
      <w:r>
        <w:rPr/>
        <w:t>Нарушение настоящих требований влечет за собою гражданско-правовую и иную ответственность, предусмотренную действующим законодательством.</w:t>
      </w:r>
    </w:p>
    <w:p>
      <w:pPr>
        <w:pStyle w:val="Normal"/>
        <w:tabs>
          <w:tab w:val="clear" w:pos="708"/>
          <w:tab w:val="left" w:pos="1134" w:leader="none"/>
        </w:tabs>
        <w:ind w:firstLine="709"/>
        <w:jc w:val="both"/>
        <w:rPr>
          <w:b/>
          <w:b/>
        </w:rPr>
      </w:pPr>
      <w:bookmarkStart w:id="1" w:name="_Toc202002500"/>
      <w:r>
        <w:rPr>
          <w:b/>
        </w:rPr>
        <w:t>13. Требования к стандартизации, унификации</w:t>
      </w:r>
      <w:bookmarkEnd w:id="1"/>
      <w:r>
        <w:rPr>
          <w:b/>
        </w:rPr>
        <w:t xml:space="preserve"> и к гарантийному сроку</w:t>
      </w:r>
    </w:p>
    <w:p>
      <w:pPr>
        <w:pStyle w:val="Normal"/>
        <w:tabs>
          <w:tab w:val="clear" w:pos="708"/>
          <w:tab w:val="left" w:pos="1276" w:leader="none"/>
        </w:tabs>
        <w:ind w:firstLine="709"/>
        <w:jc w:val="both"/>
        <w:rPr/>
      </w:pPr>
      <w:r>
        <w:rPr/>
        <w:t>13.1. Средства защиты информации должны соответствовать соглашениям и стандартам, в части работы с клавиатурой, отображения информации на экране, вызова справочной информации, организации пользовательского интерфейса и т.п.</w:t>
      </w:r>
    </w:p>
    <w:p>
      <w:pPr>
        <w:pStyle w:val="Normal"/>
        <w:tabs>
          <w:tab w:val="clear" w:pos="708"/>
          <w:tab w:val="left" w:pos="1276" w:leader="none"/>
        </w:tabs>
        <w:ind w:firstLine="709"/>
        <w:jc w:val="both"/>
        <w:rPr/>
      </w:pPr>
      <w:r>
        <w:rPr/>
        <w:t>13.2. Требования к гарантийному сроку и (или) объему предоставления гарантий качества средств защиты информации.</w:t>
      </w:r>
    </w:p>
    <w:p>
      <w:pPr>
        <w:pStyle w:val="Normal"/>
        <w:ind w:firstLine="709"/>
        <w:jc w:val="both"/>
        <w:rPr/>
      </w:pPr>
      <w:r>
        <w:rPr/>
        <w:t xml:space="preserve"> </w:t>
      </w:r>
      <w:r>
        <w:rPr/>
        <w:t>Объем предоставления гарантий качества средств защиты информации – 100%.</w:t>
      </w:r>
    </w:p>
    <w:p>
      <w:pPr>
        <w:pStyle w:val="Normal"/>
        <w:ind w:firstLine="709"/>
        <w:jc w:val="both"/>
        <w:rPr/>
      </w:pPr>
      <w:r>
        <w:rPr/>
        <w:t>Подрядчик гарантирует качество поставляемых средств защиты информации в полном соответствии с требованиями действующего законодательства Российской Федерации.</w:t>
      </w:r>
    </w:p>
    <w:p>
      <w:pPr>
        <w:pStyle w:val="Normal"/>
        <w:ind w:firstLine="709"/>
        <w:jc w:val="both"/>
        <w:rPr/>
      </w:pPr>
      <w:r>
        <w:rPr/>
        <w:t>Гарантийный срок на компакт диски не менее 12 месяцев.</w:t>
      </w:r>
    </w:p>
    <w:p>
      <w:pPr>
        <w:pStyle w:val="Normal"/>
        <w:ind w:firstLine="709"/>
        <w:jc w:val="both"/>
        <w:rPr/>
      </w:pPr>
      <w:r>
        <w:rPr/>
        <w:t>Гарантийный срок на средства защиты информации не менее 12 месяцев.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Директор                                                                                                  И.Ю. Кривошеева.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WOL_Reg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36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4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12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62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68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39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64" w:hanging="180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b/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18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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>
    <w:lvl w:ilvl="0">
      <w:start w:val="7"/>
      <w:numFmt w:val="decimal"/>
      <w:lvlText w:val="%1."/>
      <w:lvlJc w:val="left"/>
      <w:pPr>
        <w:tabs>
          <w:tab w:val="num" w:pos="0"/>
        </w:tabs>
        <w:ind w:left="1080" w:hanging="360"/>
      </w:pPr>
      <w:rPr>
        <w:b/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180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d1fe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5d1fe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3e5ee9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3e5ee9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f207e9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5d1fe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character" w:styleId="Style10" w:customStyle="1">
    <w:name w:val="Верхний колонтитул Знак"/>
    <w:basedOn w:val="DefaultParagraphFont"/>
    <w:link w:val="a6"/>
    <w:uiPriority w:val="99"/>
    <w:qFormat/>
    <w:rsid w:val="005d1fe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Normal1" w:customStyle="1">
    <w:name w:val="Normal Знак"/>
    <w:link w:val="11"/>
    <w:qFormat/>
    <w:rsid w:val="005d1fee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1" w:customStyle="1">
    <w:name w:val="Текст Знак"/>
    <w:basedOn w:val="DefaultParagraphFont"/>
    <w:link w:val="a9"/>
    <w:uiPriority w:val="99"/>
    <w:semiHidden/>
    <w:qFormat/>
    <w:rsid w:val="005d1fee"/>
    <w:rPr>
      <w:rFonts w:ascii="Arial" w:hAnsi="Arial" w:cs="Arial"/>
      <w:sz w:val="20"/>
      <w:szCs w:val="20"/>
    </w:rPr>
  </w:style>
  <w:style w:type="character" w:styleId="Style12" w:customStyle="1">
    <w:name w:val="Текст концевой сноски Знак"/>
    <w:basedOn w:val="DefaultParagraphFont"/>
    <w:link w:val="ab"/>
    <w:uiPriority w:val="99"/>
    <w:semiHidden/>
    <w:qFormat/>
    <w:rsid w:val="005d1fe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3" w:customStyle="1">
    <w:name w:val="Текст сноски Знак"/>
    <w:basedOn w:val="DefaultParagraphFont"/>
    <w:link w:val="ac"/>
    <w:uiPriority w:val="99"/>
    <w:semiHidden/>
    <w:qFormat/>
    <w:rsid w:val="005d1fe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d1fe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4" w:customStyle="1">
    <w:name w:val="ГС_Основной_текст Знак"/>
    <w:link w:val="af0"/>
    <w:qFormat/>
    <w:rsid w:val="005d1fe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InternetLink">
    <w:name w:val="Hyperlink"/>
    <w:basedOn w:val="DefaultParagraphFont"/>
    <w:uiPriority w:val="99"/>
    <w:semiHidden/>
    <w:unhideWhenUsed/>
    <w:rsid w:val="004d7d67"/>
    <w:rPr>
      <w:color w:val="0563C1"/>
      <w:u w:val="single"/>
    </w:rPr>
  </w:style>
  <w:style w:type="character" w:styleId="Style15" w:customStyle="1">
    <w:name w:val="Абзац списка Знак"/>
    <w:link w:val="a3"/>
    <w:uiPriority w:val="34"/>
    <w:qFormat/>
    <w:locked/>
    <w:rsid w:val="00216201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ppleconvertedspace" w:customStyle="1">
    <w:name w:val="apple-converted-space"/>
    <w:basedOn w:val="DefaultParagraphFont"/>
    <w:qFormat/>
    <w:rsid w:val="00f207e9"/>
    <w:rPr/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f207e9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  <w:lang w:eastAsia="ru-RU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3e5ee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3e5ee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590b0f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link w:val="a4"/>
    <w:uiPriority w:val="34"/>
    <w:qFormat/>
    <w:rsid w:val="005d1fee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5d1fee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7"/>
    <w:uiPriority w:val="99"/>
    <w:unhideWhenUsed/>
    <w:rsid w:val="005d1fee"/>
    <w:pPr>
      <w:tabs>
        <w:tab w:val="clear" w:pos="708"/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11" w:customStyle="1">
    <w:name w:val="Обычный1"/>
    <w:link w:val="Normal"/>
    <w:qFormat/>
    <w:rsid w:val="005d1fee"/>
    <w:pPr>
      <w:widowControl w:val="false"/>
      <w:suppressAutoHyphens w:val="true"/>
      <w:bidi w:val="0"/>
      <w:spacing w:lineRule="auto" w:line="240" w:before="100" w:after="1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PlainText">
    <w:name w:val="Plain Text"/>
    <w:basedOn w:val="Normal"/>
    <w:link w:val="a8"/>
    <w:uiPriority w:val="99"/>
    <w:semiHidden/>
    <w:unhideWhenUsed/>
    <w:qFormat/>
    <w:rsid w:val="005d1fee"/>
    <w:pPr/>
    <w:rPr>
      <w:rFonts w:ascii="Arial" w:hAnsi="Arial" w:eastAsia="Calibri" w:cs="Arial" w:eastAsiaTheme="minorHAnsi"/>
      <w:sz w:val="20"/>
      <w:szCs w:val="20"/>
      <w:lang w:eastAsia="en-US"/>
    </w:rPr>
  </w:style>
  <w:style w:type="paragraph" w:styleId="Endnote">
    <w:name w:val="Endnote Text"/>
    <w:basedOn w:val="Normal"/>
    <w:link w:val="aa"/>
    <w:uiPriority w:val="99"/>
    <w:semiHidden/>
    <w:unhideWhenUsed/>
    <w:rsid w:val="005d1fee"/>
    <w:pPr/>
    <w:rPr>
      <w:sz w:val="20"/>
      <w:szCs w:val="20"/>
    </w:rPr>
  </w:style>
  <w:style w:type="paragraph" w:styleId="Footnote">
    <w:name w:val="Footnote Text"/>
    <w:basedOn w:val="Normal"/>
    <w:link w:val="ad"/>
    <w:uiPriority w:val="99"/>
    <w:semiHidden/>
    <w:unhideWhenUsed/>
    <w:rsid w:val="005d1fee"/>
    <w:pPr/>
    <w:rPr>
      <w:sz w:val="20"/>
      <w:szCs w:val="20"/>
    </w:rPr>
  </w:style>
  <w:style w:type="paragraph" w:styleId="12" w:customStyle="1">
    <w:name w:val="1"/>
    <w:basedOn w:val="Normal"/>
    <w:qFormat/>
    <w:rsid w:val="005d1fee"/>
    <w:pPr>
      <w:widowControl w:val="false"/>
      <w:suppressLineNumbers/>
      <w:suppressAutoHyphens w:val="true"/>
      <w:spacing w:lineRule="exact" w:line="240" w:before="0" w:after="160"/>
      <w:ind w:firstLine="709"/>
      <w:jc w:val="both"/>
    </w:pPr>
    <w:rPr>
      <w:rFonts w:ascii="Verdana" w:hAnsi="Verdana"/>
      <w:lang w:val="en-US" w:eastAsia="en-US"/>
    </w:rPr>
  </w:style>
  <w:style w:type="paragraph" w:styleId="Style16" w:customStyle="1">
    <w:name w:val="Знак Знак"/>
    <w:basedOn w:val="Normal"/>
    <w:qFormat/>
    <w:rsid w:val="005d1fee"/>
    <w:pPr>
      <w:spacing w:lineRule="exact" w:line="240" w:before="0" w:after="160"/>
      <w:ind w:firstLine="709"/>
    </w:pPr>
    <w:rPr>
      <w:rFonts w:ascii="Verdana" w:hAnsi="Verdana"/>
      <w:sz w:val="16"/>
      <w:szCs w:val="20"/>
    </w:rPr>
  </w:style>
  <w:style w:type="paragraph" w:styleId="Style17" w:customStyle="1">
    <w:name w:val="ГС_Основной_текст"/>
    <w:link w:val="af1"/>
    <w:qFormat/>
    <w:rsid w:val="005d1fee"/>
    <w:pPr>
      <w:widowControl/>
      <w:tabs>
        <w:tab w:val="clear" w:pos="708"/>
        <w:tab w:val="left" w:pos="851" w:leader="none"/>
      </w:tabs>
      <w:suppressAutoHyphens w:val="true"/>
      <w:bidi w:val="0"/>
      <w:spacing w:lineRule="auto" w:line="360" w:before="60" w:after="60"/>
      <w:ind w:firstLine="851"/>
      <w:contextualSpacing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21" w:customStyle="1">
    <w:name w:val="Основной текст 21"/>
    <w:basedOn w:val="Normal"/>
    <w:qFormat/>
    <w:rsid w:val="003c3caf"/>
    <w:pPr>
      <w:widowControl w:val="false"/>
      <w:suppressAutoHyphens w:val="true"/>
      <w:spacing w:lineRule="atLeast" w:line="240"/>
      <w:jc w:val="both"/>
    </w:pPr>
    <w:rPr>
      <w:bCs/>
      <w:sz w:val="28"/>
      <w:lang w:eastAsia="ar-SA"/>
    </w:rPr>
  </w:style>
  <w:style w:type="paragraph" w:styleId="Para47" w:customStyle="1">
    <w:name w:val="para47"/>
    <w:basedOn w:val="Normal"/>
    <w:qFormat/>
    <w:rsid w:val="004d7d67"/>
    <w:pPr>
      <w:spacing w:lineRule="atLeast" w:line="300"/>
    </w:pPr>
    <w:rPr>
      <w:rFonts w:ascii="WOL_Reg" w:hAnsi="WOL_Reg" w:eastAsia="Calibri" w:eastAsiaTheme="minorHAnsi"/>
      <w:color w:val="454545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4a0cbf"/>
    <w:pPr>
      <w:spacing w:beforeAutospacing="1" w:afterAutospacing="1"/>
    </w:pPr>
    <w:rPr/>
  </w:style>
  <w:style w:type="paragraph" w:styleId="13" w:customStyle="1">
    <w:name w:val="Абзац списка1"/>
    <w:basedOn w:val="Normal"/>
    <w:qFormat/>
    <w:rsid w:val="00ff1623"/>
    <w:pPr>
      <w:ind w:left="720" w:hanging="0"/>
    </w:pPr>
    <w:rPr>
      <w:rFonts w:ascii="Calibri" w:hAnsi="Calibri"/>
      <w:sz w:val="22"/>
      <w:szCs w:val="22"/>
      <w:lang w:eastAsia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99"/>
    <w:rsid w:val="005d1fee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Сетка таблицы1"/>
    <w:basedOn w:val="a1"/>
    <w:uiPriority w:val="99"/>
    <w:rsid w:val="00301398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E3375-9D56-4766-9B1B-94B917153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LibreOffice/6.4.6.2$Linux_X86_64 LibreOffice_project/40$Build-2</Application>
  <Pages>3</Pages>
  <Words>812</Words>
  <Characters>5393</Characters>
  <CharactersWithSpaces>6201</CharactersWithSpaces>
  <Paragraphs>100</Paragraphs>
  <Company>ООО "Интелком"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2016-11-16T07:05:00Z</dcterms:created>
  <dc:creator>Владимир Дюжий</dc:creator>
  <dc:description/>
  <dc:language>en-US</dc:language>
  <cp:lastModifiedBy/>
  <dcterms:modified xsi:type="dcterms:W3CDTF">2021-01-19T16:18:54Z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ООО "Интелком"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