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ТЕХНИЧЕСКОЕ ЗАДАНИЕ </w:t>
      </w:r>
    </w:p>
    <w:p>
      <w:pPr>
        <w:pStyle w:val="Normal"/>
        <w:tabs>
          <w:tab w:val="clear" w:pos="708"/>
          <w:tab w:val="left" w:pos="1276" w:leader="none"/>
        </w:tabs>
        <w:jc w:val="center"/>
        <w:rPr>
          <w:sz w:val="26"/>
          <w:szCs w:val="26"/>
        </w:rPr>
      </w:pPr>
      <w:r>
        <w:rPr>
          <w:sz w:val="26"/>
          <w:szCs w:val="26"/>
        </w:rPr>
        <w:t>на выполнение работ по изготовлению для ОАО «Аэропорт Внуково»</w:t>
      </w:r>
    </w:p>
    <w:p>
      <w:pPr>
        <w:pStyle w:val="Normal"/>
        <w:tabs>
          <w:tab w:val="clear" w:pos="708"/>
          <w:tab w:val="left" w:pos="1276" w:leader="none"/>
        </w:tabs>
        <w:jc w:val="center"/>
        <w:rPr/>
      </w:pPr>
      <w:r>
        <w:rPr>
          <w:sz w:val="26"/>
          <w:szCs w:val="26"/>
        </w:rPr>
        <w:t>аэродромного пожарного автомобиля быстрого реагирования (АБР).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tabs>
          <w:tab w:val="clear" w:pos="708"/>
          <w:tab w:val="left" w:pos="-3261" w:leader="none"/>
        </w:tabs>
        <w:ind w:firstLine="72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1. Назначение автомобиля.</w:t>
      </w:r>
    </w:p>
    <w:p>
      <w:pPr>
        <w:pStyle w:val="Normal"/>
        <w:tabs>
          <w:tab w:val="clear" w:pos="708"/>
          <w:tab w:val="left" w:pos="-3261" w:leader="none"/>
        </w:tabs>
        <w:ind w:firstLine="72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Автомобиль предназначен для оперативной доставки к месту пожара или ЧС пожарно-спасательного расчёта, необходимого количества огнетушащих веществ, пожарно-технического вооружения и аварийно-спасательного имущества. АБР должен обеспечивать прибытие пожарно-спасательного расчета не позднее 3 минут с момента вызова в любую точку ИВПП для подачи ствола первой помощи и организации аварийно-спасательных работ, а также освещение места происшествия.</w:t>
      </w:r>
    </w:p>
    <w:p>
      <w:pPr>
        <w:pStyle w:val="Normal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firstLine="72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2. Технические требования.</w:t>
      </w:r>
    </w:p>
    <w:p>
      <w:pPr>
        <w:pStyle w:val="Normal"/>
        <w:ind w:firstLine="72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ind w:firstLine="720"/>
        <w:jc w:val="both"/>
        <w:rPr/>
      </w:pPr>
      <w:r>
        <w:rPr>
          <w:sz w:val="26"/>
          <w:szCs w:val="26"/>
        </w:rPr>
        <w:t>2.1 АБР должен иметь: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шасси с дизельным двигателем стандартом не ниже ЕВРО 4;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кабину, обеспечивающую беспрепятственную высадку и посадку пожарно-спасательного расчета, с лобовым стеклом, изготовленным из жаропрочного стекла и имеющим систему защиты от воздействия высоких температур;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не менее 4 посадочных мест, расположенных лицом по ходу движения автомобиля, в том числе не менее 3 мест для размещения пожарных с обеспечением возможности надевания ими индивидуальных дыхательных аппаратов ПТС «Авиа»-240М (в двухбаллонном исполнении, размер 650х290х200 мм), встроенных в спинки сидений;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место под один резервный дыхательный аппарат, размещённый в кабине, либо в обогреваемом отсеке, а также же место (в обрезиненном исполнении) под размещение 100% запаса воздушных баллонов (8 шт. </w:t>
      </w:r>
      <w:r>
        <w:rPr>
          <w:sz w:val="26"/>
          <w:szCs w:val="26"/>
          <w:lang w:val="en-US"/>
        </w:rPr>
        <w:t>RMBK-4-100-300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размером 111х650 мм);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максимальную скорость не менее 110 км/час и время разгона до скорости 80 км/час не более 25 сек;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полный привод, односкатную конфигурацию колес и автоматическую трансмиссию;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повышенную проходимость (иметь возможность движения по бездорожью, песку, снегу глубиной до 30 см, размокшему грунту, мелкому кустарнику), независимая подвеска всех колес - желательна;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лебедку в передней части автомобиля с эксплуатационной нагрузкой, соответствующей массе автомобиля;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иметь систему центрального управления давлением в шинах и колеса с приспособлениями, препятствующими разбортированию колеса при движении с пониженным или нулевым давлением в колесах (бэдлоки);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систему водопенного пожаротушения с автоматической системой дозирования концентрации рабочего раствора с 3 и 6  % пенообразователя, обеспечивающую подачу воды и пены (компактными и распылёнными струями) лафетными и ручными стволами с номинальной производительностью не позднее чем через 15 сек. после прибытия автомобиля к месту пожара;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пожарный насос производительностью не менее 100 л/сек и давлением не менее 1,5 МПа;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вместимость резервуаров для воды – от 4000 до 6000 литров, для пенообразователя – от 500 до 800 литров;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систему газового пожаротушения емкостью не менее 60 литров, обеспечивающую подачу газа с помощью раструба и ствола-пробойника на расстояние не менее 30 м, а также возможность тушения пожаров в мотогондолах двигателей на воздушных судах, в том числе и имеющих верхнее расположение;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систему порошкового тушения емкостью не менее 100 литров;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энергетическую установку (генератор) номинальной мощностью не менее 2,5 кВт;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заземляющее устройство, приспособление (спереди и сзади) для его буксировки  при потере возможности самостоятельного движения.</w:t>
      </w:r>
    </w:p>
    <w:p>
      <w:pPr>
        <w:pStyle w:val="Normal"/>
        <w:ind w:firstLine="720"/>
        <w:jc w:val="both"/>
        <w:rPr/>
      </w:pPr>
      <w:r>
        <w:rPr>
          <w:sz w:val="26"/>
          <w:szCs w:val="26"/>
        </w:rPr>
        <w:t>2.2 Автомобиль должен быть пригоден к эксплуатации при воздействии следующих внешних факторов: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пониженной (от -50ºС) и повышенной (до +50ºС) температуры наружного воздуха;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повышенной относительной влажности воздуха до 98% при +25ºС;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воздушного потока скоростью до 20 м/с;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выпадаемых (дождь, снег) и конденсированных (роса, иней) атмосферных осадков;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статической и динамической пыли (песка).</w:t>
      </w:r>
    </w:p>
    <w:p>
      <w:pPr>
        <w:pStyle w:val="Normal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Автомобиль должен сохранять свою работоспособность и обеспечивать безопасные условия работы в кабине при воздействии теплового излучения мощностью до 10,0 кВт/м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, по крайней мере, в течении 120 сек.</w:t>
      </w:r>
    </w:p>
    <w:p>
      <w:pPr>
        <w:pStyle w:val="Normal"/>
        <w:ind w:firstLine="720"/>
        <w:jc w:val="both"/>
        <w:rPr/>
      </w:pPr>
      <w:r>
        <w:rPr>
          <w:sz w:val="26"/>
          <w:szCs w:val="26"/>
        </w:rPr>
        <w:t>2.3 Автомобиль быстрого реагирования должен иметь АБС, быть максимально устойчив против опрокидывания или оборудован системой АRP, иметь сигнализатор опасного крена.</w:t>
      </w:r>
    </w:p>
    <w:p>
      <w:pPr>
        <w:pStyle w:val="Normal"/>
        <w:ind w:firstLine="720"/>
        <w:jc w:val="both"/>
        <w:rPr>
          <w:strike/>
          <w:sz w:val="26"/>
          <w:szCs w:val="26"/>
        </w:rPr>
      </w:pPr>
      <w:r>
        <w:rPr>
          <w:sz w:val="26"/>
          <w:szCs w:val="26"/>
        </w:rPr>
        <w:t>2.4 Углы подъёма и спуска АБР (при положении агрегатов и систем автомобиля, соответствующем движению ПА на маршруте) должны быть не менее 30˚. Минимальный угол наклона АБР в неподвижном состоянии (статический) должен быть не менее 30˚.</w:t>
      </w:r>
    </w:p>
    <w:p>
      <w:pPr>
        <w:pStyle w:val="Normal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2.5. Время движения АБР от нулевой скорости до остановки по прямолинейному маршруту длиной 2000÷50 м с асфальтовым или бетонным покрытием не должно превышать 90 сек.</w:t>
      </w:r>
    </w:p>
    <w:p>
      <w:pPr>
        <w:pStyle w:val="Normal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2.6 АБР должен быть укомплектован воздушными баллонами RMBK-4-100-300 (с вентилями ПТС-К44) в количестве 16 шт. (без дыхательных аппаратов ПТС «Авиа»-240М), гидравлическим аварийно-спасательным инструментом, бензорезом (бензопилой) для резки металла, осветительной установкой, комплектами боевой одежды, пожарно-техническим вооружением и снаряжением по согласованию с заказчиком. Примерный перечень аварийно–спасательного оборудования и снаряжения приведён в приложении №1 к данному техническому заданию.</w:t>
      </w:r>
    </w:p>
    <w:p>
      <w:pPr>
        <w:pStyle w:val="Normal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2.5 Система водопенного пожаротушения АБР должна обеспечивать: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запуск насосной установки, контроль и управление ее работой из кабины автомобиля и из насосного отсека;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дистанционную подачу огнетушащих веществ к лафетному стволу (из кабины автомобиля);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дистанционное управление лафетным стволом с возможностью управления с водительского места и  с места старшего пожарного расчёта (справа от водителя), имеющем встроенный прожектор;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подачи огнетушащих веществ при стоянке и в движении пожарного автомобиля;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дальность подачи огнетушащего вещества лафетным стволом не менее 60 метров;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поворота лафетного ствола в вертикальной (минимально в пределах от -10º до +45º) и горизонтальной (минимально в пределах от -75º до +75º) плоскостях;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одновременное использование не менее двух рукавных линий с радиусом действия каждой не менее 60 метров;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заправки пожарного автомобиля водой из водоёмов, наливных кранов и пожарных гидрантов.</w:t>
      </w:r>
    </w:p>
    <w:p>
      <w:pPr>
        <w:pStyle w:val="Normal"/>
        <w:ind w:firstLine="720"/>
        <w:jc w:val="both"/>
        <w:rPr/>
      </w:pPr>
      <w:r>
        <w:rPr>
          <w:sz w:val="26"/>
          <w:szCs w:val="26"/>
        </w:rPr>
        <w:t>2.6 Производительность подачи ОТС лафетным стволом должна быть не менее 40 л/сек.</w:t>
      </w:r>
    </w:p>
    <w:p>
      <w:pPr>
        <w:pStyle w:val="Normal"/>
        <w:ind w:firstLine="720"/>
        <w:jc w:val="both"/>
        <w:rPr/>
      </w:pPr>
      <w:r>
        <w:rPr>
          <w:sz w:val="26"/>
          <w:szCs w:val="26"/>
        </w:rPr>
        <w:t xml:space="preserve">2.7 Для экстренной подачи огнетушащих составов на автомобиле должно быть размещено не менее одного стационарного рукавного барабана с напорным рукавом длиной не менее 45 метров. </w:t>
      </w:r>
    </w:p>
    <w:p>
      <w:pPr>
        <w:pStyle w:val="Normal"/>
        <w:ind w:firstLine="720"/>
        <w:jc w:val="both"/>
        <w:rPr/>
      </w:pPr>
      <w:r>
        <w:rPr>
          <w:sz w:val="26"/>
          <w:szCs w:val="26"/>
        </w:rPr>
        <w:t>2.8 Соединительные головки для пожарного насоса, пожарных рукавов и другого оборудования должны соответствовать российским стандартам.</w:t>
      </w:r>
    </w:p>
    <w:p>
      <w:pPr>
        <w:pStyle w:val="Normal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2.9 Система газового пожаротушения должна иметь съемный баллон (баллоны) для огнетушащего газа с возможностью извлечения его обслуживающим персоналом для заправки в условиях специализированных организаций. Штуцер для заправки баллона должен соответствовать российским стандартам.</w:t>
      </w:r>
    </w:p>
    <w:p>
      <w:pPr>
        <w:pStyle w:val="Normal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2.9 Система порошкового пожаротушения должна иметь съемный баллон для пропеллента с возможностью извлечения его обслуживающим персоналом для заправки в условиях специализированных организаций. Штуцер для заправки баллона должен соответствовать российским стандартам.</w:t>
      </w:r>
    </w:p>
    <w:p>
      <w:pPr>
        <w:pStyle w:val="Normal"/>
        <w:ind w:firstLine="720"/>
        <w:jc w:val="both"/>
        <w:rPr/>
      </w:pPr>
      <w:r>
        <w:rPr>
          <w:sz w:val="26"/>
          <w:szCs w:val="26"/>
        </w:rPr>
        <w:t>2.10.В автомобиле должна быть предусмотрена возможность установки средств радиосвязи. Места установки и размер радиостанций согласовываются отдельно.</w:t>
      </w:r>
    </w:p>
    <w:p>
      <w:pPr>
        <w:pStyle w:val="Normal"/>
        <w:ind w:firstLine="720"/>
        <w:jc w:val="both"/>
        <w:rPr/>
      </w:pPr>
      <w:r>
        <w:rPr>
          <w:sz w:val="26"/>
          <w:szCs w:val="26"/>
        </w:rPr>
        <w:t>2.11 В автомобиле должны быть средства, обеспечивающие освещение отсеков с оборудованием при их открытии.</w:t>
      </w:r>
    </w:p>
    <w:p>
      <w:pPr>
        <w:pStyle w:val="Normal"/>
        <w:ind w:firstLine="720"/>
        <w:jc w:val="both"/>
        <w:rPr/>
      </w:pPr>
      <w:r>
        <w:rPr>
          <w:sz w:val="26"/>
          <w:szCs w:val="26"/>
        </w:rPr>
        <w:t xml:space="preserve">2.12 АБР должен иметь оборудование (работающее как от внешних стационарных источников электропитания, так и от подогревателей, установленных в автомобиле) для обогрева основных агрегатов водопенных коммуникаций и ёмкостей с водой и пенообразователем во время его эксплуатации при отрицательных температурах наружного воздуха. </w:t>
      </w:r>
    </w:p>
    <w:p>
      <w:pPr>
        <w:pStyle w:val="Normal"/>
        <w:ind w:firstLine="720"/>
        <w:jc w:val="both"/>
        <w:rPr/>
      </w:pPr>
      <w:r>
        <w:rPr>
          <w:sz w:val="26"/>
          <w:szCs w:val="26"/>
        </w:rPr>
        <w:t>2.13 Автомобиль должен быть оборудован габаритными огнями красного цвета, звуковой сиреной и проблесковыми огнями в соответствии с ГОСТ. Для обеспечения безопасности движения по аэродрому в составе проблесковых огней должен быть огонь жёлтого цвета с эффективной силой света в пределах 40...400 кд и частотой вспышек 60...90 в минуту.</w:t>
      </w:r>
    </w:p>
    <w:p>
      <w:pPr>
        <w:pStyle w:val="Normal"/>
        <w:ind w:firstLine="720"/>
        <w:jc w:val="both"/>
        <w:rPr/>
      </w:pPr>
      <w:r>
        <w:rPr>
          <w:sz w:val="26"/>
          <w:szCs w:val="26"/>
        </w:rPr>
        <w:t>2.14 АБР должен иметь внешнюю окраску с преобладанием красного цвета в соответствии с требованиями ГОСТ Р 50574-93.</w:t>
      </w:r>
    </w:p>
    <w:p>
      <w:pPr>
        <w:pStyle w:val="Normal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2.15 Дополнительная оснастка автомобиля: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осветительная мачта с двумя галогеновыми прожекторами (минимальной мощностью по 500 Вт каждый) и приспособлениями для управления;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лестница пожарная выдвижная трехколенная;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громкоговорящая установка типа СГУ-100;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поворотная фара (фара-искатель), управляемая из кабины;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кронштейн для крепления внешней антенны с гнездом (разъемом), электрически соединенным с гнездом (разъемом) на стойке.</w:t>
      </w:r>
    </w:p>
    <w:p>
      <w:pPr>
        <w:pStyle w:val="Normal"/>
        <w:ind w:start="720" w:hanging="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ind w:start="720" w:hanging="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ind w:start="720" w:hanging="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ind w:start="720" w:hanging="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3. Требования к документации.</w:t>
      </w:r>
    </w:p>
    <w:p>
      <w:pPr>
        <w:pStyle w:val="Normal"/>
        <w:ind w:firstLine="72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Наличие эксплуатационно-технической документации, содержащей технические условия и материалы, необходимые для его эксплуатации, ремонта и технического обслуживания, на русском языке в двух экземплярах.</w:t>
      </w:r>
    </w:p>
    <w:p>
      <w:pPr>
        <w:pStyle w:val="Normal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В комплект технической документации АБР должны входить: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документы, необходимые для постановки автомобиля на государственный учет;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руководство (техническое описание) и инструкция по эксплуатации;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руководство по ремонту автомобиля и каталог запасных частей;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паспорта (формуляры) на покупное комплектующее оборудование, устанавливаемое Исполнителем;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российский сертификат соответствия.</w:t>
      </w:r>
    </w:p>
    <w:p>
      <w:pPr>
        <w:pStyle w:val="Normal"/>
        <w:ind w:firstLine="720"/>
        <w:jc w:val="both"/>
        <w:rPr/>
      </w:pPr>
      <w:r>
        <w:rPr>
          <w:sz w:val="26"/>
          <w:szCs w:val="26"/>
        </w:rPr>
        <w:t>В случае, если автомобиль строился на базе серийного грузового автомобиля, в комплект документации АБР должны дополнительно входить: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руководство (техническое описание) и инструкция по эксплуатации базового автомобиля (завода-изготовителя базового автомобиля);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руководство по ремонту и каталог запасных частей базового автомобиля;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технический паспорт на базовый автомобиль с указанием о его переоборудования;</w:t>
      </w:r>
    </w:p>
    <w:p>
      <w:pPr>
        <w:pStyle w:val="Normal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start="720" w:hanging="0"/>
        <w:jc w:val="both"/>
        <w:rPr/>
      </w:pPr>
      <w:r>
        <w:rPr>
          <w:b/>
          <w:sz w:val="26"/>
          <w:szCs w:val="26"/>
        </w:rPr>
        <w:t>4. Дополнительные требования.</w:t>
      </w:r>
    </w:p>
    <w:p>
      <w:pPr>
        <w:pStyle w:val="Normal"/>
        <w:ind w:start="720" w:hanging="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системы газового и порошкового пожаротушения на момент передачи автомобиля от Исполнителя к Заказчику должны быть заправлены огнетушащими веществами (в т.ч. пропеллентом) за счет Исполнителя и опломбированы;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вместе с автомобилем Исполнителем поставляются дополнительный баллон (баллоны) для системы газового пожаротушения в количестве, установленном на автомобиле, а также дополнительный баллон для пропеллента системы порошкового пожаротушения, баллоны поставляются в заправленном и опломбированном состоянии;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в общую стоимость АБР должно войти обучение сотрудников СПАСОП ОАО «Аэропорт Внуково» (10 человек) правилам эксплуатации, работе с узлами и агрегатами автомобиля силами представителей завода-изготовителя;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габаритные размеры автомобиля по высоте не должны превышать 4 метра;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материал изготовления пенобака не должен влиять на физико–химические свойства пенообразователя.</w:t>
      </w:r>
    </w:p>
    <w:p>
      <w:pPr>
        <w:pStyle w:val="Normal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start="720" w:hanging="0"/>
        <w:jc w:val="both"/>
        <w:rPr/>
      </w:pPr>
      <w:r>
        <w:rPr>
          <w:b/>
          <w:sz w:val="26"/>
          <w:szCs w:val="26"/>
        </w:rPr>
        <w:t>5. Гарантийные требования.</w:t>
      </w:r>
    </w:p>
    <w:p>
      <w:pPr>
        <w:pStyle w:val="Normal"/>
        <w:ind w:start="720" w:hanging="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ind w:firstLine="720"/>
        <w:jc w:val="both"/>
        <w:rPr/>
      </w:pPr>
      <w:r>
        <w:rPr>
          <w:sz w:val="26"/>
          <w:szCs w:val="26"/>
        </w:rPr>
        <w:t>Гарантийный срок службы АБР указывается в Руководстве по эксплуатации автомобиля и должен составлять соответствовать гарантийному сроку службы базового автомобиля (но не менее трех лет со дня передачи автомобиля от Исполнителя к Заказчику и оформления соответствующих документов).</w:t>
      </w:r>
    </w:p>
    <w:p>
      <w:pPr>
        <w:pStyle w:val="Normal"/>
        <w:ind w:firstLine="720"/>
        <w:jc w:val="both"/>
        <w:rPr/>
      </w:pPr>
      <w:r>
        <w:rPr>
          <w:sz w:val="26"/>
          <w:szCs w:val="26"/>
        </w:rPr>
        <w:t>Назначенный срок службы (срок эксплуатации) АБР указывается в Руководстве по эксплуатации автомобиля и должен составлять не менее 10 лет.</w:t>
      </w:r>
    </w:p>
    <w:p>
      <w:pPr>
        <w:pStyle w:val="Normal"/>
        <w:ind w:firstLine="720"/>
        <w:jc w:val="both"/>
        <w:rPr/>
      </w:pPr>
      <w:r>
        <w:rPr>
          <w:sz w:val="26"/>
          <w:szCs w:val="26"/>
        </w:rPr>
        <w:t>Исполнитель гарантирует выполнение технического обслуживания и ремонта автомобиля силами квалифицированного персонала официальных представителей (дилеров) завода-изготовителя на территории Москвы или Московской области по заявке Заказчика.</w:t>
      </w:r>
    </w:p>
    <w:p>
      <w:pPr>
        <w:pStyle w:val="Normal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Исполнитель также гарантирует наличие и поставку Заказчику (по его заявке) запчастей на поставляемый автомобиль в течение назначенного срока службы АБР.</w:t>
      </w:r>
    </w:p>
    <w:p>
      <w:pPr>
        <w:pStyle w:val="Normal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start="720" w:hanging="0"/>
        <w:jc w:val="both"/>
        <w:rPr/>
      </w:pPr>
      <w:r>
        <w:rPr>
          <w:b/>
          <w:sz w:val="26"/>
          <w:szCs w:val="26"/>
        </w:rPr>
        <w:t>6. Условия приемки автомобиля.</w:t>
      </w:r>
    </w:p>
    <w:p>
      <w:pPr>
        <w:pStyle w:val="Normal"/>
        <w:ind w:firstLine="72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При приемке автомобиля Исполнитель представляет Заказчику: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автомобиль с оборудованием, устанавливаемым Исполнителем, в том числе инструментом для текущего ремонта автомобиля;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комплект документации в соответствии с п. 4 настоящего технического задания;</w:t>
      </w:r>
    </w:p>
    <w:p>
      <w:pPr>
        <w:pStyle w:val="Normal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При приемке пожарного автомобиля проверяется:</w:t>
      </w:r>
    </w:p>
    <w:p>
      <w:pPr>
        <w:pStyle w:val="Normal"/>
        <w:numPr>
          <w:ilvl w:val="0"/>
          <w:numId w:val="3"/>
        </w:numPr>
        <w:ind w:star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работоспособность автомобиля (шасси и смонтированного оборудования, в том числе системы водопенного пожаротушения);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скоростные характеристики;</w:t>
      </w:r>
    </w:p>
    <w:p>
      <w:pPr>
        <w:pStyle w:val="Normal"/>
        <w:numPr>
          <w:ilvl w:val="0"/>
          <w:numId w:val="3"/>
        </w:numPr>
        <w:ind w:start="284" w:hanging="284"/>
        <w:jc w:val="both"/>
        <w:rPr/>
      </w:pPr>
      <w:r>
        <w:rPr>
          <w:sz w:val="26"/>
          <w:szCs w:val="26"/>
        </w:rPr>
        <w:t>комплект документации в соответствии с п. 4 настоящего технического задания.</w:t>
      </w:r>
    </w:p>
    <w:sectPr>
      <w:headerReference w:type="default" r:id="rId2"/>
      <w:type w:val="nextPage"/>
      <w:pgSz w:w="11906" w:h="16838"/>
      <w:pgMar w:left="1134" w:right="56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Tahoma">
    <w:charset w:val="cc" w:characterSet="windows-125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3.8pt;mso-wrap-distance-left:0pt;mso-wrap-distance-right:0pt;mso-wrap-distance-top:0pt;mso-wrap-distance-bottom:0pt;margin-top:0.05pt;mso-position-vertical-relative:text;margin-left:509.1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420"/>
        </w:tabs>
        <w:ind w:start="420" w:hanging="420"/>
      </w:pPr>
      <w:rPr/>
    </w:lvl>
    <w:lvl w:ilvl="1">
      <w:start w:val="1"/>
      <w:numFmt w:val="decimal"/>
      <w:lvlText w:val="%1.%2"/>
      <w:lvlJc w:val="start"/>
      <w:pPr>
        <w:tabs>
          <w:tab w:val="num" w:pos="420"/>
        </w:tabs>
        <w:ind w:start="420" w:hanging="420"/>
      </w:pPr>
      <w:rPr/>
    </w:lvl>
    <w:lvl w:ilvl="2">
      <w:start w:val="1"/>
      <w:numFmt w:val="decimal"/>
      <w:lvlText w:val="%1.%2.%3"/>
      <w:lvlJc w:val="start"/>
      <w:pPr>
        <w:tabs>
          <w:tab w:val="num" w:pos="720"/>
        </w:tabs>
        <w:ind w:start="72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720"/>
        </w:tabs>
        <w:ind w:start="720" w:hanging="720"/>
      </w:pPr>
      <w:rPr/>
    </w:lvl>
    <w:lvl w:ilvl="4">
      <w:start w:val="1"/>
      <w:numFmt w:val="decimal"/>
      <w:lvlText w:val="%1.%2.%3.%4.%5"/>
      <w:lvlJc w:val="start"/>
      <w:pPr>
        <w:tabs>
          <w:tab w:val="num" w:pos="1080"/>
        </w:tabs>
        <w:ind w:start="108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/>
    </w:lvl>
    <w:lvl w:ilvl="6">
      <w:start w:val="1"/>
      <w:numFmt w:val="decimal"/>
      <w:lvlText w:val="%1.%2.%3.%4.%5.%6.%7"/>
      <w:lvlJc w:val="start"/>
      <w:pPr>
        <w:tabs>
          <w:tab w:val="num" w:pos="1440"/>
        </w:tabs>
        <w:ind w:start="144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800"/>
        </w:tabs>
        <w:ind w:start="1800" w:hanging="1800"/>
      </w:pPr>
      <w:rPr/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0"/>
        </w:tabs>
        <w:ind w:start="144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4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2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 w:val="true"/>
      <w:spacing w:before="2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tabs>
        <w:tab w:val="clear" w:pos="708"/>
        <w:tab w:val="left" w:pos="420" w:leader="none"/>
        <w:tab w:val="center" w:pos="4354" w:leader="none"/>
      </w:tabs>
      <w:spacing w:before="40" w:after="0"/>
      <w:jc w:val="center"/>
      <w:outlineLvl w:val="3"/>
    </w:pPr>
    <w:rPr>
      <w:b/>
      <w:bCs/>
    </w:rPr>
  </w:style>
  <w:style w:type="character" w:styleId="WW8Num1z0">
    <w:name w:val="WW8Num1z0"/>
    <w:qFormat/>
    <w:rPr>
      <w:color w:val="00000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cs="Times New Roman"/>
      <w:color w:val="000000"/>
      <w:sz w:val="26"/>
      <w:szCs w:val="2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Style10">
    <w:name w:val="Основной шрифт абзаца"/>
    <w:qFormat/>
    <w:rPr/>
  </w:style>
  <w:style w:type="character" w:styleId="PageNumber">
    <w:name w:val="Page Number"/>
    <w:basedOn w:val="Style10"/>
    <w:rPr/>
  </w:style>
  <w:style w:type="character" w:styleId="Style11">
    <w:name w:val=" Знак Знак"/>
    <w:qFormat/>
    <w:rPr>
      <w:rFonts w:ascii="Tahoma" w:hAnsi="Tahoma" w:cs="Tahoma"/>
      <w:sz w:val="16"/>
      <w:szCs w:val="16"/>
    </w:rPr>
  </w:style>
  <w:style w:type="character" w:styleId="1">
    <w:name w:val=" Знак Знак1"/>
    <w:qFormat/>
    <w:rPr>
      <w:sz w:val="28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bCs/>
      <w:sz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extBodyIndent">
    <w:name w:val="Body Text Indent"/>
    <w:basedOn w:val="Normal"/>
    <w:pPr>
      <w:ind w:firstLine="720"/>
      <w:jc w:val="both"/>
    </w:pPr>
    <w:rPr>
      <w:sz w:val="28"/>
      <w:lang w:val="en-US"/>
    </w:rPr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2">
    <w:name w:val="Текст выноски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</TotalTime>
  <Application>LibreOffice/7.0.3.1$MacOSX_X86_64 LibreOffice_project/d7547858d014d4cf69878db179d326fc3483e082</Application>
  <Pages>5</Pages>
  <Words>1485</Words>
  <Characters>10146</Characters>
  <CharactersWithSpaces>11496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2013-01-24T15:40:00Z</dcterms:created>
  <dc:creator>спасоп</dc:creator>
  <dc:description/>
  <cp:keywords> </cp:keywords>
  <dc:language>en-US</dc:language>
  <cp:lastModifiedBy/>
  <cp:lastPrinted>2011-07-29T09:21:00Z</cp:lastPrinted>
  <dcterms:modified xsi:type="dcterms:W3CDTF">2021-03-25T13:15:27Z</dcterms:modified>
  <cp:revision>3</cp:revision>
  <dc:subject/>
  <dc:title>ТЕХНИЧЕСКОЕ ЗАДАНИЕ </dc:title>
</cp:coreProperties>
</file>