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1"/>
        <w:ind w:start="0" w:firstLine="360"/>
        <w:rPr/>
      </w:pPr>
      <w:r>
        <w:rPr/>
        <w:t>ТЕХНИЧЕСКОЕ ЗАДАНИЕ</w:t>
      </w:r>
    </w:p>
    <w:p>
      <w:pPr>
        <w:pStyle w:val="Normal"/>
        <w:pBdr>
          <w:bottom w:val="single" w:sz="12" w:space="1" w:color="000000"/>
        </w:pBdr>
        <w:ind w:firstLine="360"/>
        <w:jc w:val="center"/>
        <w:rPr>
          <w:b/>
          <w:b/>
        </w:rPr>
      </w:pPr>
      <w:r>
        <w:rPr>
          <w:b/>
        </w:rPr>
        <w:t>на открытый запрос предложений по выбору организации для предоставления услуг мобильной (сотовой) связи для нужд ЗАО «Газпром межрегионгаз Астрахань»</w:t>
      </w:r>
    </w:p>
    <w:p>
      <w:pPr>
        <w:pStyle w:val="Normal"/>
        <w:ind w:firstLine="360"/>
        <w:jc w:val="center"/>
        <w:rPr>
          <w:b/>
          <w:b/>
          <w:bCs/>
          <w:color w:val="FFFFFF"/>
          <w:u w:val="single"/>
        </w:rPr>
      </w:pPr>
      <w:r>
        <w:rPr>
          <w:b/>
          <w:bCs/>
          <w:color w:val="FFFFFF"/>
          <w:u w:val="single"/>
        </w:rPr>
      </w:r>
    </w:p>
    <w:p>
      <w:pPr>
        <w:pStyle w:val="Normal"/>
        <w:ind w:firstLine="360"/>
        <w:jc w:val="center"/>
        <w:rPr>
          <w:b/>
          <w:b/>
          <w:bCs/>
          <w:u w:val="single"/>
        </w:rPr>
      </w:pPr>
      <w:r>
        <w:rPr>
          <w:b/>
          <w:bCs/>
        </w:rPr>
        <w:t> </w:t>
      </w:r>
      <w:r>
        <w:rPr>
          <w:b/>
          <w:bCs/>
          <w:u w:val="single"/>
        </w:rPr>
        <w:t>Код закупки по ОКДП 6420060</w:t>
      </w:r>
    </w:p>
    <w:p>
      <w:pPr>
        <w:pStyle w:val="Normal"/>
        <w:ind w:firstLine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firstLine="360"/>
        <w:jc w:val="center"/>
        <w:rPr>
          <w:b/>
          <w:b/>
          <w:bCs/>
          <w:u w:val="single"/>
        </w:rPr>
      </w:pPr>
      <w:r>
        <w:rPr>
          <w:b/>
          <w:bCs/>
        </w:rPr>
        <w:t xml:space="preserve">     </w:t>
      </w:r>
      <w:r>
        <w:rPr>
          <w:b/>
          <w:bCs/>
          <w:u w:val="single"/>
        </w:rPr>
        <w:t>Код закупки по ОКВЭД 64.20.1</w:t>
      </w:r>
    </w:p>
    <w:p>
      <w:pPr>
        <w:pStyle w:val="Normal"/>
        <w:ind w:firstLine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/>
      </w:pPr>
      <w:r>
        <w:rPr>
          <w:b/>
          <w:bCs/>
        </w:rPr>
        <w:t>Предмет открытого запроса предложений и его краткое описание:</w:t>
      </w:r>
    </w:p>
    <w:p>
      <w:pPr>
        <w:pStyle w:val="Normal"/>
        <w:ind w:firstLine="360"/>
        <w:jc w:val="both"/>
        <w:rPr/>
      </w:pPr>
      <w:r>
        <w:rPr>
          <w:bCs/>
        </w:rPr>
        <w:t>1.1. Для целей настоящего Технического задания используются следующие термины и определения:</w:t>
      </w:r>
    </w:p>
    <w:p>
      <w:pPr>
        <w:pStyle w:val="Normal"/>
        <w:ind w:firstLine="360"/>
        <w:jc w:val="both"/>
        <w:rPr>
          <w:bCs/>
        </w:rPr>
      </w:pPr>
      <w:r>
        <w:rPr>
          <w:bCs/>
        </w:rPr>
        <w:t xml:space="preserve">Договор – договор на оказание </w:t>
      </w:r>
      <w:r>
        <w:rPr/>
        <w:t>услуг мобильной (сотовой) связи, заключаемый по результатам открытого запроса предложения по выбору организации для предоставления услуг мобильной (сотовой) связи для нужд ЗАО «Газпром межрегионгаз Астрахань».</w:t>
      </w:r>
    </w:p>
    <w:p>
      <w:pPr>
        <w:pStyle w:val="Normal"/>
        <w:ind w:firstLine="360"/>
        <w:jc w:val="both"/>
        <w:rPr>
          <w:bCs/>
        </w:rPr>
      </w:pPr>
      <w:r>
        <w:rPr>
          <w:bCs/>
        </w:rPr>
        <w:t>Заказчик, Абонент – ЗАО «Газпром межрегионгаз Астрахань».</w:t>
      </w:r>
    </w:p>
    <w:p>
      <w:pPr>
        <w:pStyle w:val="Normal"/>
        <w:ind w:firstLine="360"/>
        <w:jc w:val="both"/>
        <w:rPr>
          <w:bCs/>
        </w:rPr>
      </w:pPr>
      <w:r>
        <w:rPr>
          <w:bCs/>
        </w:rPr>
        <w:t xml:space="preserve">Закупка - </w:t>
      </w:r>
      <w:r>
        <w:rPr/>
        <w:t>открытый запрос предложений по выбору организации для предоставления услуг мобильной (сотовой) связи для нужд ЗАО «Газпром межрегионгаз Астрахань».</w:t>
      </w:r>
    </w:p>
    <w:p>
      <w:pPr>
        <w:pStyle w:val="Normal"/>
        <w:ind w:firstLine="360"/>
        <w:jc w:val="both"/>
        <w:rPr>
          <w:color w:val="000000"/>
        </w:rPr>
      </w:pPr>
      <w:r>
        <w:rPr>
          <w:bCs/>
        </w:rPr>
        <w:t xml:space="preserve">Оператор – организация, оказывающая услуги </w:t>
      </w:r>
      <w:r>
        <w:rPr>
          <w:color w:val="000000"/>
        </w:rPr>
        <w:t xml:space="preserve">мобильной (сотовой) связи, выступающая в качестве участника </w:t>
      </w:r>
      <w:r>
        <w:rPr/>
        <w:t>открытого запроса предложения по выбору организации для предоставления услуг мобильной (сотовой) связи для нужд ЗАО «Газпром межрегионгаз Астрахань».</w:t>
      </w:r>
    </w:p>
    <w:p>
      <w:pPr>
        <w:pStyle w:val="Normal"/>
        <w:ind w:firstLine="360"/>
        <w:jc w:val="both"/>
        <w:rPr>
          <w:color w:val="000000"/>
        </w:rPr>
      </w:pPr>
      <w:r>
        <w:rPr>
          <w:color w:val="000000"/>
        </w:rPr>
        <w:t>Услуги - услуги мобильной (сотовой) связи в соответствии с требованиями и условиями настоящего Технического задания.</w:t>
      </w:r>
    </w:p>
    <w:p>
      <w:pPr>
        <w:pStyle w:val="Normal"/>
        <w:ind w:firstLine="360"/>
        <w:jc w:val="both"/>
        <w:rPr>
          <w:bCs/>
        </w:rPr>
      </w:pPr>
      <w:r>
        <w:rPr>
          <w:color w:val="000000"/>
        </w:rPr>
        <w:t xml:space="preserve">Участник – участник закупки – организация, имеющая заинтересованность в участии в </w:t>
      </w:r>
      <w:r>
        <w:rPr/>
        <w:t>открытом запросе предложений по выбору организации для предоставления услуг мобильной (сотовой) связи для нужд ЗАО «Газпром межрегионгаз Астрахань».</w:t>
      </w:r>
    </w:p>
    <w:p>
      <w:pPr>
        <w:pStyle w:val="Normal"/>
        <w:ind w:firstLine="360"/>
        <w:jc w:val="both"/>
        <w:rPr>
          <w:bCs/>
        </w:rPr>
      </w:pPr>
      <w:r>
        <w:rPr>
          <w:bCs/>
        </w:rPr>
        <w:t>1.2. Предметом настоящей закупки является предоставление услуг мобильной (сотовой) связи для нужд ЗАО «Газпром межрегионгаз Астрахань».</w:t>
      </w:r>
    </w:p>
    <w:p>
      <w:pPr>
        <w:pStyle w:val="Normal"/>
        <w:ind w:firstLine="360"/>
        <w:jc w:val="both"/>
        <w:rPr>
          <w:bCs/>
        </w:rPr>
      </w:pPr>
      <w:r>
        <w:rPr>
          <w:color w:val="000000"/>
        </w:rPr>
        <w:t xml:space="preserve">Услуги мобильной (сотовой) связи включают в себя подключение абонентов ЗАО «Газпром межрегионгаз Астрахань» (далее – Заказчик) к сети сотового оператора связи с предоставлением услуг в соответствии с согласованным тарифным планом, учитывающим все обязательные требования и условия настоящего Технического задания. 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/>
      </w:pPr>
      <w:r>
        <w:rPr>
          <w:b/>
          <w:bCs/>
        </w:rPr>
        <w:t>Объемы Услуг и их краткая характеристика:</w:t>
      </w:r>
    </w:p>
    <w:p>
      <w:pPr>
        <w:pStyle w:val="Normal"/>
        <w:ind w:firstLine="360"/>
        <w:jc w:val="both"/>
        <w:rPr/>
      </w:pPr>
      <w:r>
        <w:rPr>
          <w:bCs/>
        </w:rPr>
        <w:t xml:space="preserve">2.1. Примерное общее количество </w:t>
      </w:r>
      <w:r>
        <w:rPr>
          <w:bCs/>
          <w:lang w:val="en-US"/>
        </w:rPr>
        <w:t>SIM</w:t>
      </w:r>
      <w:r>
        <w:rPr>
          <w:bCs/>
        </w:rPr>
        <w:t>-карт – 250.</w:t>
      </w:r>
    </w:p>
    <w:p>
      <w:pPr>
        <w:pStyle w:val="Normal"/>
        <w:ind w:firstLine="360"/>
        <w:jc w:val="both"/>
        <w:rPr/>
      </w:pPr>
      <w:r>
        <w:rPr>
          <w:bCs/>
        </w:rPr>
        <w:t>2.2. Перечень требуемых услуг с указанием примерных объемов (за 1 месяц)</w:t>
      </w:r>
    </w:p>
    <w:p>
      <w:pPr>
        <w:pStyle w:val="Style18"/>
        <w:ind w:start="0" w:firstLine="360"/>
        <w:jc w:val="both"/>
        <w:rPr>
          <w:color w:val="000000"/>
        </w:rPr>
      </w:pPr>
      <w:r>
        <w:rPr>
          <w:bCs/>
        </w:rPr>
        <w:t xml:space="preserve">2.3. Приведенный в п. 2.1. перечень услуг не является исчерпывающим. Заказчик имеет право в пределах суммы договора, заключаемого по результатам закупки, пользоваться иными видами услуг, предоставляемыми Оператором в рамках оказания услуг </w:t>
      </w:r>
      <w:r>
        <w:rPr>
          <w:color w:val="000000"/>
        </w:rPr>
        <w:t>мобильной (сотовой) связи. Стоимость такого рода услуг определяется сторонами.</w:t>
      </w:r>
    </w:p>
    <w:p>
      <w:pPr>
        <w:pStyle w:val="Style18"/>
        <w:ind w:start="0" w:firstLine="360"/>
        <w:jc w:val="both"/>
        <w:rPr>
          <w:bCs/>
        </w:rPr>
      </w:pPr>
      <w:r>
        <w:rPr>
          <w:color w:val="000000"/>
        </w:rPr>
        <w:t>2.4. Объемы Услуг, приведенные в п. 2.1., примерные; услуги, предоставляемые Оператором сверх указанных объемов тарифицируются на тех же основаниях и по той же стоимости, что и оговоренные настоящим Техническим заданием.</w:t>
      </w:r>
    </w:p>
    <w:p>
      <w:pPr>
        <w:pStyle w:val="Style18"/>
        <w:ind w:start="0" w:firstLine="360"/>
        <w:jc w:val="both"/>
        <w:rPr>
          <w:bCs/>
        </w:rPr>
      </w:pPr>
      <w:r>
        <w:rPr>
          <w:bCs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>
          <w:b/>
          <w:b/>
        </w:rPr>
      </w:pPr>
      <w:r>
        <w:rPr>
          <w:b/>
        </w:rPr>
        <w:t>Начальная (максимальная) цена закупки:</w:t>
      </w:r>
    </w:p>
    <w:p>
      <w:pPr>
        <w:pStyle w:val="Normal"/>
        <w:ind w:firstLine="360"/>
        <w:jc w:val="both"/>
        <w:rPr/>
      </w:pPr>
      <w:r>
        <w:rPr/>
        <w:t>3.1. 1 300 760 (один миллион триста тысяч семьсот шестьдесят) рублей 00 копеек.</w:t>
      </w:r>
    </w:p>
    <w:p>
      <w:pPr>
        <w:pStyle w:val="Normal"/>
        <w:ind w:firstLine="360"/>
        <w:jc w:val="both"/>
        <w:rPr/>
      </w:pPr>
      <w:r>
        <w:rPr/>
        <w:t>3.2.Цена закупки, предлагаемая Участником, должна быть сформирована с учетом сроков оказания услуг, примерной месячной потребности в Услугах (согласно п. 2.2.), стоимости Оператора за единицу услуг, перечисленных в п. 2.2. настоящего Технического задания, с соблюдением условия о сохранении абонентских номеров Заказчика (п. 8.3.).</w:t>
      </w:r>
    </w:p>
    <w:p>
      <w:pPr>
        <w:pStyle w:val="Normal"/>
        <w:ind w:firstLine="360"/>
        <w:jc w:val="both"/>
        <w:rPr/>
      </w:pPr>
      <w:r>
        <w:rPr/>
        <w:t xml:space="preserve">3.3. Стоимость за единицу услуг, оговоренных п.2.2. Настоящего Технического задания, предложенная Участником, признанным победителем закупки, не может быть увеличена в течение всего срока оказания Услуг. Допускается снижение стоимости за единицу Услуг за счет системы скидок, существующей у Оператора. </w:t>
      </w:r>
    </w:p>
    <w:p>
      <w:pPr>
        <w:pStyle w:val="Normal"/>
        <w:ind w:firstLine="360"/>
        <w:jc w:val="both"/>
        <w:rPr/>
      </w:pPr>
      <w:r>
        <w:rPr/>
        <w:t>3.4. Конкретные условия и порядок оказания услуг оговариваются сторонами в Тарифном плане, предлагаемом  Оператором и учитывающем все требования настоящего Технического задания.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>
          <w:b/>
          <w:b/>
        </w:rPr>
      </w:pPr>
      <w:r>
        <w:rPr>
          <w:b/>
        </w:rPr>
        <w:t>Требования к участнику:</w:t>
      </w:r>
    </w:p>
    <w:p>
      <w:pPr>
        <w:pStyle w:val="Normal"/>
        <w:ind w:firstLine="360"/>
        <w:jc w:val="both"/>
        <w:rPr/>
      </w:pPr>
      <w:r>
        <w:rPr/>
        <w:t xml:space="preserve">4.1. Наличие у Участника всех необходимых для оказания Услуг разрешительных документов, в том числе лицензий: </w:t>
      </w:r>
    </w:p>
    <w:p>
      <w:pPr>
        <w:pStyle w:val="Normal"/>
        <w:ind w:firstLine="360"/>
        <w:jc w:val="both"/>
        <w:rPr/>
      </w:pPr>
      <w:r>
        <w:rPr/>
        <w:t>- на оказание услуг подвижной радиотелефонной связи;</w:t>
      </w:r>
    </w:p>
    <w:p>
      <w:pPr>
        <w:pStyle w:val="Normal"/>
        <w:ind w:firstLine="360"/>
        <w:jc w:val="both"/>
        <w:rPr/>
      </w:pPr>
      <w:r>
        <w:rPr/>
        <w:t>- на оказание услуг связи по передаче данных, за исключением услуг связи по передаче данных для целей передачи голосовой информации;</w:t>
      </w:r>
    </w:p>
    <w:p>
      <w:pPr>
        <w:pStyle w:val="Attache2"/>
        <w:shd w:fill="FFFFFF" w:val="clear"/>
        <w:ind w:firstLine="360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- </w:t>
      </w:r>
      <w:hyperlink r:id="rId2">
        <w:r>
          <w:rPr>
            <w:rStyle w:val="InternetLink"/>
            <w:rFonts w:cs="Times New Roman" w:ascii="Times New Roman" w:hAnsi="Times New Roman"/>
            <w:color w:val="000000"/>
          </w:rPr>
          <w:t>на оказание услуг по передаче данных для целей передачи голосовой информации</w:t>
        </w:r>
      </w:hyperlink>
      <w:r>
        <w:rPr>
          <w:rFonts w:cs="Times New Roman" w:ascii="Times New Roman" w:hAnsi="Times New Roman"/>
          <w:color w:val="000000"/>
          <w:u w:val="single"/>
        </w:rPr>
        <w:t>;</w:t>
      </w:r>
    </w:p>
    <w:p>
      <w:pPr>
        <w:pStyle w:val="Attache2"/>
        <w:shd w:fill="FFFFFF" w:val="clear"/>
        <w:ind w:firstLine="360"/>
        <w:jc w:val="both"/>
        <w:rPr/>
      </w:pPr>
      <w:r>
        <w:rPr>
          <w:rFonts w:cs="Times New Roman" w:ascii="Times New Roman" w:hAnsi="Times New Roman"/>
          <w:color w:val="000000"/>
        </w:rPr>
        <w:t xml:space="preserve">- </w:t>
      </w:r>
      <w:hyperlink r:id="rId3">
        <w:r>
          <w:rPr>
            <w:rStyle w:val="InternetLink"/>
            <w:rFonts w:cs="Times New Roman" w:ascii="Times New Roman" w:hAnsi="Times New Roman"/>
            <w:color w:val="000000"/>
          </w:rPr>
          <w:t>на оказание услуг подвижной радиотелефонной связи</w:t>
        </w:r>
      </w:hyperlink>
      <w:r>
        <w:rPr>
          <w:rFonts w:cs="Times New Roman" w:ascii="Times New Roman" w:hAnsi="Times New Roman"/>
          <w:color w:val="000000"/>
        </w:rPr>
        <w:t>.</w:t>
      </w:r>
    </w:p>
    <w:p>
      <w:pPr>
        <w:pStyle w:val="Normal"/>
        <w:ind w:firstLine="360"/>
        <w:jc w:val="both"/>
        <w:rPr/>
      </w:pPr>
      <w:r>
        <w:rPr/>
        <w:t>4.2. Участник должен обладать компетентностью, опытом, квалификацией, профессиональными знаниями, достаточными для качественного оказания Услуг, и иметь опыт выполнения работ, аналогичных предмету закупки, не менее 3лет.</w:t>
      </w:r>
    </w:p>
    <w:p>
      <w:pPr>
        <w:pStyle w:val="Normal"/>
        <w:ind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>
          <w:b/>
          <w:b/>
        </w:rPr>
      </w:pPr>
      <w:r>
        <w:rPr>
          <w:b/>
        </w:rPr>
        <w:t>Перечень документов, подтверждающих соответствие участника требованиям пункта 5:</w:t>
      </w:r>
    </w:p>
    <w:p>
      <w:pPr>
        <w:pStyle w:val="Normal"/>
        <w:ind w:firstLine="360"/>
        <w:jc w:val="both"/>
        <w:rPr/>
      </w:pPr>
      <w:r>
        <w:rPr/>
        <w:t>- копии разрешительных документов;</w:t>
      </w:r>
    </w:p>
    <w:p>
      <w:pPr>
        <w:pStyle w:val="Normal"/>
        <w:tabs>
          <w:tab w:val="clear" w:pos="708"/>
          <w:tab w:val="left" w:pos="0" w:leader="none"/>
        </w:tabs>
        <w:ind w:firstLine="360"/>
        <w:jc w:val="both"/>
        <w:rPr/>
      </w:pPr>
      <w:r>
        <w:rPr/>
        <w:t>- с</w:t>
      </w:r>
      <w:r>
        <w:rPr>
          <w:lang w:val="en-US"/>
        </w:rPr>
        <w:t xml:space="preserve">правка </w:t>
      </w:r>
      <w:r>
        <w:rPr/>
        <w:t>о выполнении</w:t>
      </w:r>
      <w:r>
        <w:rPr>
          <w:lang w:val="en-US"/>
        </w:rPr>
        <w:t xml:space="preserve"> Участником </w:t>
      </w:r>
      <w:r>
        <w:rPr/>
        <w:t>работ, аналогичных предмету закупки в количественном выражении;</w:t>
      </w:r>
    </w:p>
    <w:p>
      <w:pPr>
        <w:pStyle w:val="Normal"/>
        <w:ind w:firstLine="360"/>
        <w:jc w:val="both"/>
        <w:rPr/>
      </w:pPr>
      <w:r>
        <w:rPr/>
        <w:t>- с</w:t>
      </w:r>
      <w:r>
        <w:rPr>
          <w:lang w:val="en-US"/>
        </w:rPr>
        <w:t xml:space="preserve">правка </w:t>
      </w:r>
      <w:r>
        <w:rPr/>
        <w:t>о выполнении</w:t>
      </w:r>
      <w:r>
        <w:rPr>
          <w:lang w:val="en-US"/>
        </w:rPr>
        <w:t xml:space="preserve"> Участником </w:t>
      </w:r>
      <w:r>
        <w:rPr/>
        <w:t>работ, аналогичных предмету закупки в стоимостном выражении.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/>
      </w:pPr>
      <w:r>
        <w:rPr>
          <w:b/>
          <w:bCs/>
        </w:rPr>
        <w:t>Срок оказания услуг:</w:t>
      </w:r>
    </w:p>
    <w:p>
      <w:pPr>
        <w:pStyle w:val="Style18"/>
        <w:ind w:start="0" w:firstLine="360"/>
        <w:jc w:val="both"/>
        <w:rPr>
          <w:b/>
          <w:b/>
          <w:bCs/>
        </w:rPr>
      </w:pPr>
      <w:r>
        <w:rPr>
          <w:b/>
          <w:bCs/>
        </w:rPr>
        <w:t xml:space="preserve">7.1. Начало: </w:t>
      </w:r>
      <w:r>
        <w:rPr>
          <w:bCs/>
        </w:rPr>
        <w:t>с момента заключения договора.</w:t>
      </w:r>
    </w:p>
    <w:p>
      <w:pPr>
        <w:pStyle w:val="Style18"/>
        <w:ind w:start="0" w:firstLine="360"/>
        <w:jc w:val="both"/>
        <w:rPr>
          <w:bCs/>
        </w:rPr>
      </w:pPr>
      <w:r>
        <w:rPr>
          <w:b/>
          <w:bCs/>
        </w:rPr>
        <w:t xml:space="preserve">7.2. Окончание: </w:t>
      </w:r>
      <w:r>
        <w:rPr>
          <w:bCs/>
        </w:rPr>
        <w:t>31.12.2014г.</w:t>
      </w:r>
    </w:p>
    <w:p>
      <w:pPr>
        <w:pStyle w:val="Style18"/>
        <w:ind w:start="0" w:firstLine="360"/>
        <w:jc w:val="both"/>
        <w:rPr/>
      </w:pPr>
      <w:r>
        <w:rPr>
          <w:bCs/>
        </w:rPr>
        <w:t>7.3.</w:t>
      </w:r>
      <w:r>
        <w:rPr/>
        <w:t xml:space="preserve"> Дополнительно:</w:t>
      </w:r>
    </w:p>
    <w:p>
      <w:pPr>
        <w:pStyle w:val="Style18"/>
        <w:ind w:start="0" w:firstLine="360"/>
        <w:jc w:val="both"/>
        <w:rPr/>
      </w:pPr>
      <w:r>
        <w:rPr/>
        <w:t>- оператор имеет право приостановить оказание услуг связи Абоненту в случае нарушения Абонентом требований, связанных с оказанием услуг связи и установленных Федеральным законом «О связи» и другими подзаконными актами, до устранения нарушения. При этом сохраняется доступ к сети подвижной связи и возможность вызова Абонентом экстренных (оперативных) служб.</w:t>
      </w:r>
    </w:p>
    <w:p>
      <w:pPr>
        <w:pStyle w:val="Style18"/>
        <w:ind w:start="0" w:first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>
          <w:b/>
          <w:b/>
        </w:rPr>
      </w:pPr>
      <w:r>
        <w:rPr>
          <w:b/>
        </w:rPr>
        <w:t xml:space="preserve">Общие требования к порядку оказания Услуг: </w:t>
      </w:r>
    </w:p>
    <w:p>
      <w:pPr>
        <w:pStyle w:val="Normal"/>
        <w:ind w:firstLine="360"/>
        <w:jc w:val="both"/>
        <w:rPr>
          <w:color w:val="000000"/>
        </w:rPr>
      </w:pPr>
      <w:r>
        <w:rPr/>
        <w:t>8.1. У</w:t>
      </w:r>
      <w:r>
        <w:rPr>
          <w:color w:val="000000"/>
        </w:rPr>
        <w:t>слуги мобильной (сотовой) связи должны предоставляться на всей территории Российской Федерации. За пределами Российской Федерации должна предоставляться услуга международного роуминга.</w:t>
      </w:r>
    </w:p>
    <w:p>
      <w:pPr>
        <w:pStyle w:val="Normal"/>
        <w:ind w:firstLine="360"/>
        <w:jc w:val="both"/>
        <w:rPr>
          <w:color w:val="000000"/>
        </w:rPr>
      </w:pPr>
      <w:r>
        <w:rPr>
          <w:color w:val="000000"/>
        </w:rPr>
        <w:t>8.2. Зона покрытия связи сотовой компании обязательно должна включать всю территорию Российской федерации; наличие развитого международного покрытия.</w:t>
      </w:r>
    </w:p>
    <w:p>
      <w:pPr>
        <w:pStyle w:val="Normal"/>
        <w:ind w:firstLine="360"/>
        <w:jc w:val="both"/>
        <w:rPr/>
      </w:pPr>
      <w:r>
        <w:rPr>
          <w:color w:val="000000"/>
        </w:rPr>
        <w:t>8.3. Оказание Услуг с использованием имеющихся абонентских номеров Заказчика</w:t>
      </w:r>
      <w:r>
        <w:rPr/>
        <w:t>. В случае, если Оператор для выполнения условий договора, заключаемого по результатам закупки, не может обеспечить обслуживание имеющихся абонентских номеров Заказчика, то Оператор обязуется за свой счет в течение всего срока действия договора обеспечить переадресацию вызовов в целях оказания Услуг.</w:t>
      </w:r>
    </w:p>
    <w:p>
      <w:pPr>
        <w:pStyle w:val="Normal"/>
        <w:ind w:first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/>
      </w:pPr>
      <w:r>
        <w:rPr>
          <w:b/>
        </w:rPr>
        <w:t>Требования к перечню Услуг:</w:t>
      </w:r>
    </w:p>
    <w:p>
      <w:pPr>
        <w:pStyle w:val="Normal"/>
        <w:ind w:firstLine="360"/>
        <w:jc w:val="both"/>
        <w:rPr/>
      </w:pPr>
      <w:r>
        <w:rPr/>
        <w:t>9.1. Основные (Оператор должен иметь возможность предоставить):</w:t>
      </w:r>
    </w:p>
    <w:p>
      <w:pPr>
        <w:pStyle w:val="Normal"/>
        <w:ind w:firstLine="360"/>
        <w:jc w:val="both"/>
        <w:rPr/>
      </w:pPr>
      <w:r>
        <w:rPr/>
        <w:t>- местные вызовы;</w:t>
      </w:r>
    </w:p>
    <w:p>
      <w:pPr>
        <w:pStyle w:val="Normal"/>
        <w:ind w:firstLine="360"/>
        <w:jc w:val="both"/>
        <w:rPr/>
      </w:pPr>
      <w:r>
        <w:rPr/>
        <w:t>- междугородные и международные вызовы;</w:t>
      </w:r>
    </w:p>
    <w:p>
      <w:pPr>
        <w:pStyle w:val="Normal"/>
        <w:ind w:firstLine="360"/>
        <w:jc w:val="both"/>
        <w:rPr/>
      </w:pPr>
      <w:r>
        <w:rPr/>
        <w:t>- видеозвонки;</w:t>
      </w:r>
    </w:p>
    <w:p>
      <w:pPr>
        <w:pStyle w:val="Normal"/>
        <w:ind w:firstLine="360"/>
        <w:jc w:val="both"/>
        <w:rPr/>
      </w:pPr>
      <w:r>
        <w:rPr/>
        <w:t>- национальный и международный роуминг;</w:t>
      </w:r>
    </w:p>
    <w:p>
      <w:pPr>
        <w:pStyle w:val="Normal"/>
        <w:ind w:firstLine="360"/>
        <w:jc w:val="both"/>
        <w:rPr/>
      </w:pPr>
      <w:r>
        <w:rPr/>
        <w:t>- доступ к спутниковым сетям связи;</w:t>
      </w:r>
    </w:p>
    <w:p>
      <w:pPr>
        <w:pStyle w:val="Normal"/>
        <w:ind w:firstLine="360"/>
        <w:jc w:val="both"/>
        <w:rPr/>
      </w:pPr>
      <w:r>
        <w:rPr/>
        <w:t>- определение номера;</w:t>
      </w:r>
    </w:p>
    <w:p>
      <w:pPr>
        <w:pStyle w:val="Normal"/>
        <w:ind w:firstLine="360"/>
        <w:jc w:val="both"/>
        <w:rPr/>
      </w:pPr>
      <w:r>
        <w:rPr/>
        <w:t>- запрет определения номера;</w:t>
      </w:r>
    </w:p>
    <w:p>
      <w:pPr>
        <w:pStyle w:val="Normal"/>
        <w:ind w:firstLine="360"/>
        <w:jc w:val="both"/>
        <w:rPr/>
      </w:pPr>
      <w:r>
        <w:rPr/>
        <w:t>- переадресация вызова;</w:t>
      </w:r>
    </w:p>
    <w:p>
      <w:pPr>
        <w:pStyle w:val="Normal"/>
        <w:ind w:firstLine="360"/>
        <w:jc w:val="both"/>
        <w:rPr/>
      </w:pPr>
      <w:r>
        <w:rPr/>
        <w:t>- ожидание вызова;</w:t>
      </w:r>
    </w:p>
    <w:p>
      <w:pPr>
        <w:pStyle w:val="Normal"/>
        <w:ind w:firstLine="360"/>
        <w:jc w:val="both"/>
        <w:rPr/>
      </w:pPr>
      <w:r>
        <w:rPr/>
        <w:t>- удержание вызова;</w:t>
      </w:r>
    </w:p>
    <w:p>
      <w:pPr>
        <w:pStyle w:val="Normal"/>
        <w:ind w:firstLine="360"/>
        <w:jc w:val="both"/>
        <w:rPr/>
      </w:pPr>
      <w:r>
        <w:rPr/>
        <w:t>- запрет вызовов;</w:t>
      </w:r>
    </w:p>
    <w:p>
      <w:pPr>
        <w:pStyle w:val="Normal"/>
        <w:ind w:firstLine="360"/>
        <w:jc w:val="both"/>
        <w:rPr/>
      </w:pPr>
      <w:r>
        <w:rPr/>
        <w:t>- конференц-связь;</w:t>
      </w:r>
    </w:p>
    <w:p>
      <w:pPr>
        <w:pStyle w:val="Normal"/>
        <w:ind w:firstLine="360"/>
        <w:jc w:val="both"/>
        <w:rPr/>
      </w:pPr>
      <w:r>
        <w:rPr/>
        <w:t>- текстовые сообщения (</w:t>
      </w:r>
      <w:r>
        <w:rPr>
          <w:lang w:val="en-US"/>
        </w:rPr>
        <w:t>SMS</w:t>
      </w:r>
      <w:r>
        <w:rPr/>
        <w:t>);</w:t>
      </w:r>
    </w:p>
    <w:p>
      <w:pPr>
        <w:pStyle w:val="Normal"/>
        <w:ind w:firstLine="360"/>
        <w:jc w:val="both"/>
        <w:rPr/>
      </w:pPr>
      <w:r>
        <w:rPr/>
        <w:t xml:space="preserve">- </w:t>
      </w:r>
      <w:r>
        <w:rPr>
          <w:lang w:val="en-US"/>
        </w:rPr>
        <w:t>USSD</w:t>
      </w:r>
      <w:r>
        <w:rPr/>
        <w:t>-сервис;</w:t>
      </w:r>
    </w:p>
    <w:p>
      <w:pPr>
        <w:pStyle w:val="Normal"/>
        <w:ind w:firstLine="360"/>
        <w:jc w:val="both"/>
        <w:rPr/>
      </w:pPr>
      <w:r>
        <w:rPr/>
        <w:t>- передача факсов и данных (до 28800 бит/сек.);</w:t>
      </w:r>
    </w:p>
    <w:p>
      <w:pPr>
        <w:pStyle w:val="Normal"/>
        <w:ind w:firstLine="360"/>
        <w:jc w:val="both"/>
        <w:rPr/>
      </w:pPr>
      <w:r>
        <w:rPr/>
        <w:t>- мобильный интернет (пакетная передача данных);</w:t>
      </w:r>
    </w:p>
    <w:p>
      <w:pPr>
        <w:pStyle w:val="Normal"/>
        <w:ind w:firstLine="360"/>
        <w:jc w:val="both"/>
        <w:rPr/>
      </w:pPr>
      <w:r>
        <w:rPr/>
        <w:t xml:space="preserve">- передача данных по протоколу </w:t>
      </w:r>
      <w:r>
        <w:rPr>
          <w:lang w:val="en-US"/>
        </w:rPr>
        <w:t>CSD</w:t>
      </w:r>
      <w:r>
        <w:rPr/>
        <w:t>;</w:t>
      </w:r>
    </w:p>
    <w:p>
      <w:pPr>
        <w:pStyle w:val="Normal"/>
        <w:ind w:firstLine="360"/>
        <w:jc w:val="both"/>
        <w:rPr/>
      </w:pPr>
      <w:r>
        <w:rPr/>
        <w:t>- мультимедийные сообщения (</w:t>
      </w:r>
      <w:r>
        <w:rPr>
          <w:lang w:val="en-US"/>
        </w:rPr>
        <w:t>MMS</w:t>
      </w:r>
      <w:r>
        <w:rPr/>
        <w:t>).</w:t>
      </w:r>
    </w:p>
    <w:p>
      <w:pPr>
        <w:pStyle w:val="Normal"/>
        <w:ind w:firstLine="360"/>
        <w:jc w:val="both"/>
        <w:rPr/>
      </w:pPr>
      <w:r>
        <w:rPr/>
        <w:t>9.2. Дополнительные:</w:t>
      </w:r>
    </w:p>
    <w:p>
      <w:pPr>
        <w:pStyle w:val="Normal"/>
        <w:ind w:firstLine="360"/>
        <w:jc w:val="both"/>
        <w:rPr/>
      </w:pPr>
      <w:r>
        <w:rPr/>
        <w:t>- возможность бесплатного подключения дополнительных номеров;</w:t>
      </w:r>
    </w:p>
    <w:p>
      <w:pPr>
        <w:pStyle w:val="Normal"/>
        <w:ind w:firstLine="360"/>
        <w:jc w:val="both"/>
        <w:rPr/>
      </w:pPr>
      <w:r>
        <w:rPr/>
        <w:t>- возможность оперативной замены сим-карт в случае их утери или выхода из строя;</w:t>
      </w:r>
    </w:p>
    <w:p>
      <w:pPr>
        <w:pStyle w:val="Normal"/>
        <w:ind w:firstLine="360"/>
        <w:jc w:val="both"/>
        <w:rPr/>
      </w:pPr>
      <w:r>
        <w:rPr/>
        <w:t>- бесплатная добровольная блокировка номера на срок от 30 до 180 дней;</w:t>
      </w:r>
    </w:p>
    <w:p>
      <w:pPr>
        <w:pStyle w:val="Normal"/>
        <w:ind w:firstLine="360"/>
        <w:jc w:val="both"/>
        <w:rPr/>
      </w:pPr>
      <w:r>
        <w:rPr/>
        <w:t>- возможность замены номеров;</w:t>
      </w:r>
    </w:p>
    <w:p>
      <w:pPr>
        <w:pStyle w:val="Normal"/>
        <w:ind w:firstLine="360"/>
        <w:jc w:val="both"/>
        <w:rPr/>
      </w:pPr>
      <w:r>
        <w:rPr/>
        <w:t xml:space="preserve">- бесплатная детализация счета по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;</w:t>
      </w:r>
    </w:p>
    <w:p>
      <w:pPr>
        <w:pStyle w:val="Normal"/>
        <w:ind w:firstLine="360"/>
        <w:jc w:val="both"/>
        <w:rPr/>
      </w:pPr>
      <w:r>
        <w:rPr/>
        <w:t>- бесплатная детализация счета на бумажном/электронном носителе.</w:t>
      </w:r>
    </w:p>
    <w:p>
      <w:pPr>
        <w:pStyle w:val="Normal"/>
        <w:ind w:firstLine="360"/>
        <w:jc w:val="both"/>
        <w:rPr/>
      </w:pPr>
      <w:r>
        <w:rPr/>
        <w:t>9.3. Оказание услуг мобильной (сотовой) связи может с согласия Абонента сопровождаться оказанием Оператором дополнительных услуг связи.</w:t>
      </w:r>
    </w:p>
    <w:p>
      <w:pPr>
        <w:pStyle w:val="Normal"/>
        <w:ind w:firstLine="360"/>
        <w:jc w:val="both"/>
        <w:rPr/>
      </w:pPr>
      <w:r>
        <w:rPr/>
        <w:t>9.4. Перечень дополнительных услуг, оказываемых Оператором Абоненту, определяется лицензией, возможностями сетей и средств связи Оператора и потребностями Абонента.</w:t>
      </w:r>
    </w:p>
    <w:p>
      <w:pPr>
        <w:pStyle w:val="Normal"/>
        <w:ind w:firstLine="360"/>
        <w:jc w:val="both"/>
        <w:rPr/>
      </w:pPr>
      <w:r>
        <w:rPr/>
        <w:t xml:space="preserve">9.5. Услуга роуминга предоставляется Абоненту на условиях установленных Оператором, с учётом действующих на момент предоставления услуги роуминга тарифов другого оператора, </w:t>
      </w:r>
      <w:r>
        <w:rPr>
          <w:kern w:val="2"/>
        </w:rPr>
        <w:t>с которым у Абонента договор не заключен</w:t>
      </w:r>
      <w:r>
        <w:rPr/>
        <w:t xml:space="preserve"> и в сети которого</w:t>
      </w:r>
      <w:r>
        <w:rPr>
          <w:kern w:val="2"/>
        </w:rPr>
        <w:t xml:space="preserve"> Абонент с применением SIM-карты, воспользовался услугами связи.</w:t>
      </w:r>
    </w:p>
    <w:p>
      <w:pPr>
        <w:pStyle w:val="Normal"/>
        <w:ind w:firstLine="360"/>
        <w:jc w:val="both"/>
        <w:rPr>
          <w:kern w:val="2"/>
        </w:rPr>
      </w:pPr>
      <w:r>
        <w:rPr/>
        <w:t>9.6. Услуга международной связи, позволяющая Абоненту совершать исходящие вызовы из сети связи Оператора на международные направления, предоставляется Абоненту на условиях, установленных Оператором.</w:t>
      </w:r>
    </w:p>
    <w:p>
      <w:pPr>
        <w:pStyle w:val="Normal"/>
        <w:ind w:firstLine="360"/>
        <w:jc w:val="both"/>
        <w:rPr>
          <w:kern w:val="2"/>
        </w:rPr>
      </w:pPr>
      <w:r>
        <w:rPr>
          <w:kern w:val="2"/>
        </w:rPr>
        <w:t>9.7. Перечень услуг, предоставляемых Абоненту, определяется тарифным планом.</w:t>
      </w:r>
    </w:p>
    <w:p>
      <w:pPr>
        <w:pStyle w:val="Normal"/>
        <w:ind w:firstLine="360"/>
        <w:jc w:val="both"/>
        <w:rPr>
          <w:kern w:val="2"/>
        </w:rPr>
      </w:pPr>
      <w:r>
        <w:rPr>
          <w:kern w:val="2"/>
        </w:rPr>
        <w:t>9.8. Оператор обязан предоставлять Абоненту по его запросу информацию о перечне услуг, оказываемых Абоненту Оператором.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>
          <w:b/>
          <w:b/>
        </w:rPr>
      </w:pPr>
      <w:r>
        <w:rPr>
          <w:b/>
        </w:rPr>
        <w:t>Требования к качеству Услуг:</w:t>
      </w:r>
    </w:p>
    <w:p>
      <w:pPr>
        <w:pStyle w:val="Normal"/>
        <w:ind w:firstLine="360"/>
        <w:jc w:val="both"/>
        <w:rPr/>
      </w:pPr>
      <w:r>
        <w:rPr>
          <w:kern w:val="2"/>
        </w:rPr>
        <w:t>10.1. Оператор должен предоставлять услуги связи круглосуточно, ежедневно, без перерывов, за исключением необходимых ремонтных и профилактических работ</w:t>
      </w:r>
      <w:r>
        <w:rPr/>
        <w:t xml:space="preserve"> в соответствии с условиями лицензии на оказание услуг связи</w:t>
      </w:r>
      <w:r>
        <w:rPr>
          <w:kern w:val="2"/>
        </w:rPr>
        <w:t>.</w:t>
      </w:r>
    </w:p>
    <w:p>
      <w:pPr>
        <w:pStyle w:val="Normal"/>
        <w:ind w:firstLine="360"/>
        <w:jc w:val="both"/>
        <w:rPr/>
      </w:pPr>
      <w:r>
        <w:rPr>
          <w:kern w:val="2"/>
        </w:rPr>
        <w:t>10.2. Предоставляемые Абоненту услуги связи в силу естественных условий распространения радиоволн могут ухудшаться, прерываться или сопровождаться помехами вблизи зданий, в туннелях, в подвалах и других подземных сооружениях, из-за локальных особенностей рельефа и застройки, метеорологических условий и иных причин.</w:t>
      </w:r>
    </w:p>
    <w:p>
      <w:pPr>
        <w:pStyle w:val="Normal"/>
        <w:ind w:firstLine="360"/>
        <w:jc w:val="both"/>
        <w:rPr/>
      </w:pPr>
      <w:r>
        <w:rPr>
          <w:kern w:val="2"/>
        </w:rPr>
        <w:t>10.3. Оказываемые Абоненту услуги связи в силу конструктивных особенностей сети могут зависеть от качества оборудования операторов местных проводных телефонных линий, оборудования операторов международной и междугородней связи, которое находится вне компетенции Оператора</w:t>
      </w:r>
      <w:r>
        <w:rPr/>
        <w:t>.</w:t>
      </w:r>
    </w:p>
    <w:p>
      <w:pPr>
        <w:pStyle w:val="Normal"/>
        <w:ind w:firstLine="36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ind w:start="0" w:firstLine="360"/>
        <w:jc w:val="both"/>
        <w:rPr>
          <w:b/>
          <w:b/>
        </w:rPr>
      </w:pPr>
      <w:r>
        <w:rPr>
          <w:b/>
        </w:rPr>
        <w:t>Требования к порядку расчетов сторон по Договору</w:t>
      </w:r>
    </w:p>
    <w:p>
      <w:pPr>
        <w:pStyle w:val="Normal"/>
        <w:ind w:firstLine="360"/>
        <w:jc w:val="both"/>
        <w:rPr>
          <w:kern w:val="2"/>
        </w:rPr>
      </w:pPr>
      <w:r>
        <w:rPr/>
        <w:t>11.1. Тарифы на услуги связи указываются в Тарифном плане, предлагаемом Оператором по результатам закупки с учетом условий и требований настоящего Технического задания и оформляемом в качестве приложения к Договору.</w:t>
      </w:r>
    </w:p>
    <w:p>
      <w:pPr>
        <w:pStyle w:val="Normal"/>
        <w:ind w:firstLine="360"/>
        <w:jc w:val="both"/>
        <w:rPr>
          <w:kern w:val="2"/>
        </w:rPr>
      </w:pPr>
      <w:r>
        <w:rPr/>
        <w:t>11.2. Плата за оказанную услугу связи определяется исходя из продолжительности телефонного соединения, количества запросов, количества услуг связи, количества или объема переданной (полученной) информации по числу единиц тарификации.</w:t>
      </w:r>
    </w:p>
    <w:p>
      <w:pPr>
        <w:pStyle w:val="Normal"/>
        <w:ind w:firstLine="360"/>
        <w:jc w:val="both"/>
        <w:rPr>
          <w:kern w:val="2"/>
        </w:rPr>
      </w:pPr>
      <w:r>
        <w:rPr/>
        <w:t>11.3. Учет продолжительности соединения ведется в соответствии с принятыми Оператором единицами тарификации.</w:t>
      </w:r>
    </w:p>
    <w:p>
      <w:pPr>
        <w:pStyle w:val="Normal"/>
        <w:ind w:firstLine="360"/>
        <w:jc w:val="both"/>
        <w:rPr/>
      </w:pPr>
      <w:r>
        <w:rPr>
          <w:kern w:val="2"/>
        </w:rPr>
        <w:t xml:space="preserve">11.4. Оплата услуг производится за фактически оказанный Оператором объем услуг </w:t>
      </w:r>
      <w:r>
        <w:rPr/>
        <w:t>с применением кредитной системы расчетов,</w:t>
      </w:r>
      <w:r>
        <w:rPr>
          <w:kern w:val="2"/>
        </w:rPr>
        <w:t xml:space="preserve"> в соответствии с данными учета биллинговой системы Оператора. </w:t>
      </w:r>
    </w:p>
    <w:p>
      <w:pPr>
        <w:pStyle w:val="Normal"/>
        <w:ind w:firstLine="360"/>
        <w:jc w:val="both"/>
        <w:rPr/>
      </w:pPr>
      <w:r>
        <w:rPr>
          <w:kern w:val="2"/>
        </w:rPr>
        <w:t>11.5. Учет оказанных услуг ведется с использованием принятой Оператором единицы тарификации. Все расчёты производятся в рублях РФ.</w:t>
      </w:r>
    </w:p>
    <w:p>
      <w:pPr>
        <w:pStyle w:val="Normal"/>
        <w:ind w:firstLine="360"/>
        <w:jc w:val="both"/>
        <w:rPr>
          <w:kern w:val="2"/>
        </w:rPr>
      </w:pPr>
      <w:r>
        <w:rPr>
          <w:kern w:val="2"/>
        </w:rPr>
        <w:t>11.6. В случае возникновения разногласий по стоимости оказанных услуг основанием для расчетов Сторон, являются данные биллинговой системы Оператора</w:t>
      </w:r>
      <w:r>
        <w:rPr/>
        <w:t>.</w:t>
      </w:r>
    </w:p>
    <w:p>
      <w:pPr>
        <w:pStyle w:val="Normal"/>
        <w:ind w:firstLine="360"/>
        <w:jc w:val="both"/>
        <w:rPr/>
      </w:pPr>
      <w:r>
        <w:rPr/>
        <w:t xml:space="preserve">11.7. В случае несогласия с данными учета биллинговой системы, Абонент имеет право заявить об этом Оператору в письменной форме с требованием уточнения фактического объема оказанных услуг. </w:t>
      </w:r>
      <w:r>
        <w:rPr>
          <w:kern w:val="2"/>
        </w:rPr>
        <w:t>Претензия Абонента рассматривается в порядке и сроки установленные законодательством РФ.</w:t>
      </w:r>
    </w:p>
    <w:p>
      <w:pPr>
        <w:pStyle w:val="Normal"/>
        <w:ind w:firstLine="360"/>
        <w:jc w:val="both"/>
        <w:rPr>
          <w:kern w:val="2"/>
        </w:rPr>
      </w:pPr>
      <w:r>
        <w:rPr/>
        <w:t>11.8. Приём платежей осуществляется Оператором или лицом, им уполномоченным. Денежные средства учитываются на лицевом счёте Абонента не позднее дня, следующего за днем оплаты.</w:t>
      </w:r>
    </w:p>
    <w:p>
      <w:pPr>
        <w:pStyle w:val="Normal"/>
        <w:ind w:firstLine="360"/>
        <w:jc w:val="both"/>
        <w:rPr/>
      </w:pPr>
      <w:r>
        <w:rPr>
          <w:kern w:val="2"/>
        </w:rPr>
        <w:t>11.9. При оплате услуг связи с применением кредитной системы расчетов оказанные услуги связи оплачиваются по окончании расчетного периода, равного 1 месяцу. Абонент обязан оплатить услуги не позднее 30 календарных дней после окончания расчётного периода, если иное не установлено Оператором.</w:t>
      </w:r>
    </w:p>
    <w:p>
      <w:pPr>
        <w:pStyle w:val="TextBodyIndent"/>
        <w:tabs>
          <w:tab w:val="clear" w:pos="708"/>
          <w:tab w:val="left" w:pos="0" w:leader="none"/>
        </w:tabs>
        <w:spacing w:lineRule="auto" w:line="240"/>
        <w:ind w:firstLine="360"/>
        <w:rPr/>
      </w:pPr>
      <w:r>
        <w:rPr>
          <w:kern w:val="2"/>
          <w:sz w:val="24"/>
          <w:szCs w:val="24"/>
        </w:rPr>
        <w:t>1</w:t>
      </w:r>
      <w:r>
        <w:rPr>
          <w:kern w:val="2"/>
          <w:sz w:val="24"/>
          <w:szCs w:val="24"/>
          <w:lang w:val="ru-RU"/>
        </w:rPr>
        <w:t>1.10</w:t>
      </w:r>
      <w:r>
        <w:rPr>
          <w:kern w:val="2"/>
          <w:sz w:val="24"/>
          <w:szCs w:val="24"/>
        </w:rPr>
        <w:t>.</w:t>
      </w:r>
      <w:r>
        <w:rPr>
          <w:kern w:val="2"/>
          <w:sz w:val="24"/>
          <w:szCs w:val="24"/>
          <w:lang w:val="ru-RU"/>
        </w:rPr>
        <w:t xml:space="preserve"> </w:t>
      </w:r>
      <w:r>
        <w:rPr>
          <w:kern w:val="2"/>
          <w:sz w:val="24"/>
          <w:szCs w:val="24"/>
        </w:rPr>
        <w:t>Абонент имеет право пользоваться услугами Оператора в пределах предоставленного кредитного лимита</w:t>
      </w:r>
      <w:r>
        <w:rPr>
          <w:kern w:val="2"/>
          <w:sz w:val="24"/>
          <w:szCs w:val="24"/>
          <w:lang w:val="ru-RU"/>
        </w:rPr>
        <w:t xml:space="preserve"> (кредитный лимит не должен быть меньше 150 000,00 руб.)</w:t>
      </w:r>
      <w:r>
        <w:rPr>
          <w:kern w:val="2"/>
          <w:sz w:val="24"/>
          <w:szCs w:val="24"/>
        </w:rPr>
        <w:t>. При достижении балансом лицевого счёта величины кредитного лимита Оператор вправе ограничить объем предоставляемых услуг связи или полностью приостановить предоставление услуг Абоненту.</w:t>
      </w:r>
    </w:p>
    <w:p>
      <w:pPr>
        <w:pStyle w:val="TextBodyIndent"/>
        <w:tabs>
          <w:tab w:val="clear" w:pos="708"/>
          <w:tab w:val="left" w:pos="0" w:leader="none"/>
        </w:tabs>
        <w:spacing w:lineRule="auto" w:line="240"/>
        <w:ind w:firstLine="360"/>
        <w:rPr>
          <w:kern w:val="2"/>
          <w:sz w:val="24"/>
          <w:szCs w:val="24"/>
          <w:lang w:val="ru-RU"/>
        </w:rPr>
      </w:pPr>
      <w:r>
        <w:rPr>
          <w:kern w:val="2"/>
          <w:sz w:val="24"/>
          <w:szCs w:val="24"/>
        </w:rPr>
        <w:t>1</w:t>
      </w:r>
      <w:r>
        <w:rPr>
          <w:kern w:val="2"/>
          <w:sz w:val="24"/>
          <w:szCs w:val="24"/>
          <w:lang w:val="ru-RU"/>
        </w:rPr>
        <w:t>1.11</w:t>
      </w:r>
      <w:r>
        <w:rPr>
          <w:kern w:val="2"/>
          <w:sz w:val="24"/>
          <w:szCs w:val="24"/>
        </w:rPr>
        <w:t>.</w:t>
      </w:r>
      <w:r>
        <w:rPr>
          <w:kern w:val="2"/>
          <w:sz w:val="24"/>
          <w:szCs w:val="24"/>
          <w:lang w:val="ru-RU"/>
        </w:rPr>
        <w:t xml:space="preserve"> </w:t>
      </w:r>
      <w:r>
        <w:rPr>
          <w:kern w:val="2"/>
          <w:sz w:val="24"/>
          <w:szCs w:val="24"/>
        </w:rPr>
        <w:t>Возобновление предоставления услуг связи производится после увеличения баланса лицевого счета Абонента свыше уровня кредитного лимита.</w:t>
      </w:r>
    </w:p>
    <w:p>
      <w:pPr>
        <w:pStyle w:val="Normal"/>
        <w:ind w:firstLine="360"/>
        <w:jc w:val="both"/>
        <w:rPr/>
      </w:pPr>
      <w:r>
        <w:rPr>
          <w:kern w:val="2"/>
        </w:rPr>
        <w:t>11.12. Оплата оказанных Услуг производится на основании выставленного Оператором счета на оплату. Счет выставляется за расчетный период и направляется Абоненту по адресу и способом, указанными Абонентом не позднее 5 (Пятого) числа месяца, следующего за расчетным периодом.</w:t>
      </w:r>
    </w:p>
    <w:p>
      <w:pPr>
        <w:pStyle w:val="Normal"/>
        <w:ind w:firstLine="360"/>
        <w:jc w:val="both"/>
        <w:rPr/>
      </w:pPr>
      <w:r>
        <w:rPr>
          <w:kern w:val="2"/>
        </w:rPr>
        <w:t>11.13. Счёт должен содержать следующие сведения: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реквизиты Оператора; 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сведения об Абоненте;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расчетный период, за который выставляется счет;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номер лицевого счета Абонента;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виды оказанных услуг с указанием объема по каждому виду;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сумма, предъявляемая к оплате, по каждому виду услуг и каждому абонентскому номеру абонента;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</w:rPr>
        <w:t>- общая сумма, предъявляемая к оплате;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сумма остатка на лицевом счете;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дата выставления счета;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срок оплаты счета.</w:t>
      </w:r>
    </w:p>
    <w:p>
      <w:pPr>
        <w:pStyle w:val="Normal"/>
        <w:ind w:firstLine="360"/>
        <w:jc w:val="both"/>
        <w:rPr/>
      </w:pPr>
      <w:r>
        <w:rPr>
          <w:kern w:val="2"/>
        </w:rPr>
        <w:t>11.14. Оператор обязан выставить Абоненту счёт-фактуру за расчётный период на сумму оказанных услуг в расчётном периоде не позднее 5 (пятого) числа месяца, следующего за расчетным.</w:t>
      </w:r>
    </w:p>
    <w:p>
      <w:pPr>
        <w:pStyle w:val="Normal"/>
        <w:ind w:firstLine="360"/>
        <w:jc w:val="both"/>
        <w:rPr>
          <w:b/>
          <w:b/>
          <w:kern w:val="2"/>
          <w:lang w:val="en-US"/>
        </w:rPr>
      </w:pPr>
      <w:r>
        <w:rPr>
          <w:b/>
          <w:kern w:val="2"/>
          <w:lang w:val="en-US"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>
          <w:b/>
          <w:b/>
        </w:rPr>
      </w:pPr>
      <w:r>
        <w:rPr>
          <w:b/>
        </w:rPr>
        <w:t>Прочие условия предоставления Услуг:</w:t>
      </w:r>
    </w:p>
    <w:p>
      <w:pPr>
        <w:pStyle w:val="Normal"/>
        <w:ind w:firstLine="360"/>
        <w:jc w:val="both"/>
        <w:rPr/>
      </w:pPr>
      <w:r>
        <w:rPr>
          <w:kern w:val="2"/>
        </w:rPr>
        <w:t>12.1. Абонент на стадии исполнения Договора: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</w:t>
      </w:r>
      <w:r>
        <w:rPr>
          <w:kern w:val="2"/>
          <w:sz w:val="24"/>
          <w:szCs w:val="24"/>
          <w:lang w:val="ru-RU"/>
        </w:rPr>
        <w:t xml:space="preserve">имеет право </w:t>
      </w:r>
      <w:r>
        <w:rPr>
          <w:kern w:val="2"/>
          <w:sz w:val="24"/>
          <w:szCs w:val="24"/>
        </w:rPr>
        <w:t>получать необходимую и достоверную информацию об Операторе, режиме его работы, оказываемых услугах связи;</w:t>
      </w:r>
    </w:p>
    <w:p>
      <w:pPr>
        <w:pStyle w:val="TextBodyIndent"/>
        <w:spacing w:lineRule="auto" w:line="240"/>
        <w:ind w:firstLine="360"/>
        <w:rPr/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</w:t>
      </w:r>
      <w:r>
        <w:rPr>
          <w:kern w:val="2"/>
          <w:sz w:val="24"/>
          <w:szCs w:val="24"/>
          <w:lang w:val="ru-RU"/>
        </w:rPr>
        <w:t xml:space="preserve">может </w:t>
      </w:r>
      <w:r>
        <w:rPr>
          <w:kern w:val="2"/>
          <w:sz w:val="24"/>
          <w:szCs w:val="24"/>
        </w:rPr>
        <w:t>требовать перерасчет абонентской платы вплоть до полного возврата сумм, уплаченных за услуги связи, в связи с непредоставлением услуг не по вине Абонента или предоставлением их ненадлежащего качества;</w:t>
      </w:r>
    </w:p>
    <w:p>
      <w:pPr>
        <w:pStyle w:val="TextBodyIndent"/>
        <w:spacing w:lineRule="auto" w:line="240"/>
        <w:ind w:firstLine="360"/>
        <w:rPr>
          <w:kern w:val="2"/>
          <w:sz w:val="24"/>
          <w:szCs w:val="24"/>
          <w:lang w:val="ru-RU"/>
        </w:rPr>
      </w:pPr>
      <w:r>
        <w:rPr>
          <w:kern w:val="2"/>
          <w:sz w:val="24"/>
          <w:szCs w:val="24"/>
          <w:lang w:val="ru-RU"/>
        </w:rPr>
        <w:t>-</w:t>
      </w:r>
      <w:r>
        <w:rPr>
          <w:kern w:val="2"/>
          <w:sz w:val="24"/>
          <w:szCs w:val="24"/>
        </w:rPr>
        <w:t xml:space="preserve"> </w:t>
      </w:r>
      <w:r>
        <w:rPr>
          <w:kern w:val="2"/>
          <w:sz w:val="24"/>
          <w:szCs w:val="24"/>
          <w:lang w:val="ru-RU"/>
        </w:rPr>
        <w:t xml:space="preserve">может </w:t>
      </w:r>
      <w:r>
        <w:rPr>
          <w:kern w:val="2"/>
          <w:sz w:val="24"/>
          <w:szCs w:val="24"/>
        </w:rPr>
        <w:t>отказаться от оплаты услуг связи, предоставленных ему без согласования и не предусмотренных Договором</w:t>
      </w:r>
      <w:r>
        <w:rPr>
          <w:kern w:val="2"/>
          <w:sz w:val="24"/>
          <w:szCs w:val="24"/>
          <w:lang w:val="ru-RU"/>
        </w:rPr>
        <w:t>.</w:t>
      </w:r>
    </w:p>
    <w:p>
      <w:pPr>
        <w:pStyle w:val="Normal"/>
        <w:tabs>
          <w:tab w:val="clear" w:pos="708"/>
          <w:tab w:val="left" w:pos="0" w:leader="none"/>
        </w:tabs>
        <w:ind w:firstLine="360"/>
        <w:jc w:val="both"/>
        <w:rPr/>
      </w:pPr>
      <w:r>
        <w:rPr/>
        <w:t>12.2. На стадии исполнения Договора Оператор:</w:t>
      </w:r>
    </w:p>
    <w:p>
      <w:pPr>
        <w:pStyle w:val="Normal"/>
        <w:ind w:firstLine="360"/>
        <w:jc w:val="both"/>
        <w:rPr/>
      </w:pPr>
      <w:r>
        <w:rPr>
          <w:kern w:val="2"/>
        </w:rPr>
        <w:t>- оказывает Абоненту те услуги связи, на оказание которых Оператору выдана лицензия, а также предоставляет Абоненту услуги связи в соответствии с лицензионными условиями, предусмотренными в выданной Оператору лицензии;</w:t>
      </w:r>
    </w:p>
    <w:p>
      <w:pPr>
        <w:pStyle w:val="Normal"/>
        <w:ind w:firstLine="360"/>
        <w:jc w:val="both"/>
        <w:rPr/>
      </w:pPr>
      <w:r>
        <w:rPr>
          <w:kern w:val="2"/>
        </w:rPr>
        <w:t>- предоставляет Абоненту необходимую и достоверную информацию о действующих тарифах Оператора, описаниях всех услуг Оператора и иные сведения, связанные с услугами Оператора, которые Абонент вправе получить;</w:t>
      </w:r>
    </w:p>
    <w:p>
      <w:pPr>
        <w:pStyle w:val="Normal"/>
        <w:ind w:firstLine="360"/>
        <w:jc w:val="both"/>
        <w:rPr>
          <w:kern w:val="2"/>
        </w:rPr>
      </w:pPr>
      <w:r>
        <w:rPr>
          <w:kern w:val="2"/>
        </w:rPr>
        <w:t>- возобновляет оказание Услуг Абоненту в течение 1 (одного) рабочего дня со дня  оплаты Абонентом задолженности перед Оператором или  представления Абонентом документов, подтверждающих ликвидацию задолженности по оплате Услуг (в случае приостановления оказания услуг связи) и внесения необходимых платежей в соответствии с тарифным планом Абонента;</w:t>
      </w:r>
    </w:p>
    <w:p>
      <w:pPr>
        <w:pStyle w:val="Normal"/>
        <w:ind w:firstLine="360"/>
        <w:jc w:val="both"/>
        <w:rPr>
          <w:kern w:val="2"/>
        </w:rPr>
      </w:pPr>
      <w:r>
        <w:rPr>
          <w:kern w:val="2"/>
        </w:rPr>
        <w:t>- устраняет в установленные сроки неисправности, препятствующие пользованию услугами связи.</w:t>
      </w:r>
    </w:p>
    <w:p>
      <w:pPr>
        <w:pStyle w:val="Normal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numPr>
          <w:ilvl w:val="0"/>
          <w:numId w:val="1"/>
        </w:numPr>
        <w:ind w:start="0" w:firstLine="360"/>
        <w:jc w:val="both"/>
        <w:rPr/>
      </w:pPr>
      <w:r>
        <w:rPr>
          <w:b/>
        </w:rPr>
        <w:t>Контактная информация Заказчика:</w:t>
      </w:r>
    </w:p>
    <w:p>
      <w:pPr>
        <w:pStyle w:val="Normal"/>
        <w:ind w:firstLine="360"/>
        <w:jc w:val="both"/>
        <w:rPr/>
      </w:pPr>
      <w:r>
        <w:rPr/>
        <w:t>Контактное лицо:</w:t>
      </w:r>
    </w:p>
    <w:p>
      <w:pPr>
        <w:pStyle w:val="Normal"/>
        <w:ind w:firstLine="360"/>
        <w:jc w:val="both"/>
        <w:rPr/>
      </w:pPr>
      <w:r>
        <w:rPr/>
        <w:t>Должность: ведущий инженер административно-хозяйственного отдела</w:t>
      </w:r>
    </w:p>
    <w:p>
      <w:pPr>
        <w:pStyle w:val="Normal"/>
        <w:ind w:firstLine="360"/>
        <w:jc w:val="both"/>
        <w:rPr/>
      </w:pPr>
      <w:r>
        <w:rPr/>
        <w:t>Ф.И.О.: Мязина Наталья Александровна</w:t>
      </w:r>
    </w:p>
    <w:p>
      <w:pPr>
        <w:pStyle w:val="Normal"/>
        <w:ind w:firstLine="360"/>
        <w:jc w:val="both"/>
        <w:rPr/>
      </w:pPr>
      <w:r>
        <w:rPr/>
        <w:t>Тел.: 8 (8512) 44-42-05</w:t>
      </w:r>
    </w:p>
    <w:p>
      <w:pPr>
        <w:pStyle w:val="Normal"/>
        <w:ind w:firstLine="360"/>
        <w:jc w:val="both"/>
        <w:rPr>
          <w:lang w:val="en-US"/>
        </w:rPr>
      </w:pPr>
      <w:r>
        <w:rPr/>
        <w:t xml:space="preserve">Адрес электронной почты: </w:t>
      </w:r>
      <w:hyperlink r:id="rId4">
        <w:r>
          <w:rPr>
            <w:rStyle w:val="InternetLink"/>
            <w:lang w:val="en-US"/>
          </w:rPr>
          <w:t>aho</w:t>
        </w:r>
        <w:r>
          <w:rPr>
            <w:rStyle w:val="InternetLink"/>
          </w:rPr>
          <w:t>03@</w:t>
        </w:r>
        <w:r>
          <w:rPr>
            <w:rStyle w:val="InternetLink"/>
            <w:lang w:val="en-US"/>
          </w:rPr>
          <w:t>astrg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ru</w:t>
        </w:r>
      </w:hyperlink>
    </w:p>
    <w:p>
      <w:pPr>
        <w:pStyle w:val="Normal"/>
        <w:ind w:firstLine="36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/>
      </w:r>
    </w:p>
    <w:p>
      <w:pPr>
        <w:pStyle w:val="Normal"/>
        <w:ind w:firstLine="360"/>
        <w:jc w:val="both"/>
        <w:rPr/>
      </w:pPr>
      <w:r>
        <w:rPr/>
      </w:r>
    </w:p>
    <w:sectPr>
      <w:type w:val="nextPage"/>
      <w:pgSz w:w="11906" w:h="16838"/>
      <w:pgMar w:left="1418" w:right="851" w:header="0" w:top="709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lin Gothic Heavy">
    <w:charset w:val="cc" w:characterSet="windows-1251"/>
    <w:family w:val="swiss"/>
    <w:pitch w:val="variable"/>
  </w:font>
  <w:font w:name="Verdana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928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7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b w:val="false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3"/>
      <w:sz w:val="23"/>
      <w:szCs w:val="23"/>
      <w:u w:val="none"/>
      <w:vertAlign w:val="baseline"/>
      <w:lang w:val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Times New Roman" w:hAnsi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b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b/>
      <w:bCs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b/>
    </w:rPr>
  </w:style>
  <w:style w:type="character" w:styleId="WW8Num21z1">
    <w:name w:val="WW8Num21z1"/>
    <w:qFormat/>
    <w:rPr/>
  </w:style>
  <w:style w:type="character" w:styleId="WW8Num22z0">
    <w:name w:val="WW8Num22z0"/>
    <w:qFormat/>
    <w:rPr/>
  </w:style>
  <w:style w:type="character" w:styleId="WW8NumSt6z0">
    <w:name w:val="WW8NumSt6z0"/>
    <w:qFormat/>
    <w:rPr>
      <w:rFonts w:ascii="Times New Roman" w:hAnsi="Times New Roman" w:cs="Times New Roman"/>
    </w:rPr>
  </w:style>
  <w:style w:type="character" w:styleId="WW8NumSt7z0">
    <w:name w:val="WW8NumSt7z0"/>
    <w:qFormat/>
    <w:rPr>
      <w:rFonts w:ascii="Times New Roman" w:hAnsi="Times New Roman" w:cs="Times New Roman"/>
    </w:rPr>
  </w:style>
  <w:style w:type="character" w:styleId="WW8NumSt8z0">
    <w:name w:val="WW8NumSt8z0"/>
    <w:qFormat/>
    <w:rPr>
      <w:rFonts w:ascii="Times New Roman" w:hAnsi="Times New Roman" w:cs="Times New Roman"/>
    </w:rPr>
  </w:style>
  <w:style w:type="character" w:styleId="Style14">
    <w:name w:val="Основной шрифт абзаца"/>
    <w:qFormat/>
    <w:rPr/>
  </w:style>
  <w:style w:type="character" w:styleId="FontStyle51">
    <w:name w:val="Font Style51"/>
    <w:qFormat/>
    <w:rPr>
      <w:rFonts w:ascii="Times New Roman" w:hAnsi="Times New Roman" w:cs="Times New Roman"/>
      <w:sz w:val="20"/>
      <w:szCs w:val="20"/>
    </w:rPr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FontStyle14">
    <w:name w:val="Font Style14"/>
    <w:qFormat/>
    <w:rPr>
      <w:rFonts w:ascii="Times New Roman" w:hAnsi="Times New Roman" w:cs="Times New Roman"/>
      <w:sz w:val="24"/>
      <w:szCs w:val="24"/>
    </w:rPr>
  </w:style>
  <w:style w:type="character" w:styleId="Style16">
    <w:name w:val="Основной текст с отступом Знак"/>
    <w:qFormat/>
    <w:rPr>
      <w:sz w:val="28"/>
      <w:lang w:val="en-US"/>
    </w:rPr>
  </w:style>
  <w:style w:type="character" w:styleId="2">
    <w:name w:val="Основной текст 2 Знак"/>
    <w:qFormat/>
    <w:rPr>
      <w:sz w:val="24"/>
      <w:szCs w:val="24"/>
    </w:rPr>
  </w:style>
  <w:style w:type="character" w:styleId="3">
    <w:name w:val=" Знак Знак3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21">
    <w:name w:val="Основной текст с отступом 2"/>
    <w:basedOn w:val="Normal"/>
    <w:qFormat/>
    <w:pPr>
      <w:ind w:start="360" w:hanging="0"/>
      <w:jc w:val="center"/>
    </w:pPr>
    <w:rPr>
      <w:b/>
      <w:bCs/>
    </w:rPr>
  </w:style>
  <w:style w:type="paragraph" w:styleId="22">
    <w:name w:val="Основной текст 2"/>
    <w:basedOn w:val="Normal"/>
    <w:qFormat/>
    <w:pPr>
      <w:spacing w:lineRule="auto" w:line="480" w:before="0" w:after="120"/>
    </w:pPr>
    <w:rPr>
      <w:lang w:val="en-US"/>
    </w:rPr>
  </w:style>
  <w:style w:type="paragraph" w:styleId="Style91">
    <w:name w:val="Style9"/>
    <w:basedOn w:val="Normal"/>
    <w:qFormat/>
    <w:pPr>
      <w:widowControl w:val="false"/>
      <w:autoSpaceDE w:val="false"/>
      <w:spacing w:lineRule="exact" w:line="276"/>
      <w:jc w:val="both"/>
    </w:pPr>
    <w:rPr/>
  </w:style>
  <w:style w:type="paragraph" w:styleId="Style17">
    <w:name w:val="Текст выноски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Style61">
    <w:name w:val="Style6"/>
    <w:basedOn w:val="Normal"/>
    <w:qFormat/>
    <w:pPr>
      <w:widowControl w:val="false"/>
      <w:autoSpaceDE w:val="false"/>
      <w:spacing w:lineRule="exact" w:line="294"/>
    </w:pPr>
    <w:rPr>
      <w:rFonts w:ascii="Franklin Gothic Heavy" w:hAnsi="Franklin Gothic Heavy" w:cs="Franklin Gothic Heavy"/>
    </w:rPr>
  </w:style>
  <w:style w:type="paragraph" w:styleId="Style18">
    <w:name w:val="Абзац списка"/>
    <w:basedOn w:val="Normal"/>
    <w:qFormat/>
    <w:pPr>
      <w:spacing w:before="0" w:after="0"/>
      <w:ind w:start="720" w:hanging="0"/>
      <w:contextualSpacing/>
    </w:pPr>
    <w:rPr/>
  </w:style>
  <w:style w:type="paragraph" w:styleId="TextBodyIndent">
    <w:name w:val="Body Text Indent"/>
    <w:basedOn w:val="Normal"/>
    <w:pPr>
      <w:spacing w:lineRule="auto" w:line="360"/>
      <w:ind w:firstLine="720"/>
      <w:jc w:val="both"/>
    </w:pPr>
    <w:rPr>
      <w:sz w:val="28"/>
      <w:szCs w:val="20"/>
      <w:lang w:val="en-US"/>
    </w:rPr>
  </w:style>
  <w:style w:type="paragraph" w:styleId="Attache2">
    <w:name w:val="attache2"/>
    <w:basedOn w:val="Normal"/>
    <w:qFormat/>
    <w:pPr>
      <w:spacing w:lineRule="atLeast" w:line="270"/>
    </w:pPr>
    <w:rPr>
      <w:rFonts w:ascii="Verdana" w:hAnsi="Verdana" w:cs="Verdana"/>
      <w:color w:val="333333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rp.megafon.ru/ai/document/491/file/101242_-_LTE_peredacha_dannih_s_golosom.tif.pdf" TargetMode="External"/><Relationship Id="rId3" Type="http://schemas.openxmlformats.org/officeDocument/2006/relationships/hyperlink" Target="http://corp.megafon.ru/ai/document/405/file/50788.pdf" TargetMode="External"/><Relationship Id="rId4" Type="http://schemas.openxmlformats.org/officeDocument/2006/relationships/hyperlink" Target="mailto:aho03@astrg.r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LibreOffice/7.0.3.1$MacOSX_X86_64 LibreOffice_project/d7547858d014d4cf69878db179d326fc3483e082</Application>
  <Pages>5</Pages>
  <Words>1705</Words>
  <Characters>11729</Characters>
  <CharactersWithSpaces>13322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2013-06-20T10:37:00Z</dcterms:created>
  <dc:creator>Kipyatkov.DA</dc:creator>
  <dc:description/>
  <cp:keywords> </cp:keywords>
  <dc:language>en-US</dc:language>
  <cp:lastModifiedBy/>
  <cp:lastPrinted>2013-06-04T13:46:00Z</cp:lastPrinted>
  <dcterms:modified xsi:type="dcterms:W3CDTF">2021-03-25T13:17:11Z</dcterms:modified>
  <cp:revision>4</cp:revision>
  <dc:subject/>
  <dc:title>ТЕХНИЧЕСКОЕ ЗАДАНИЕ</dc:title>
</cp:coreProperties>
</file>