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0C" w:rsidRPr="009A5CC8" w:rsidRDefault="0017040C" w:rsidP="0017040C">
      <w:pPr>
        <w:pStyle w:val="1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eastAsia="Times New Roman"/>
        </w:rPr>
      </w:pPr>
      <w:bookmarkStart w:id="0" w:name="_Toc399408082"/>
      <w:bookmarkStart w:id="1" w:name="_Toc398564572"/>
      <w:bookmarkStart w:id="2" w:name="_Toc15983718"/>
      <w:r w:rsidRPr="009A5CC8">
        <w:rPr>
          <w:rFonts w:eastAsia="Times New Roman"/>
        </w:rPr>
        <w:t xml:space="preserve">ИЗВЕЩЕНИЕ О ПРОВЕДЕНИИ </w:t>
      </w:r>
      <w:bookmarkEnd w:id="0"/>
      <w:bookmarkEnd w:id="1"/>
      <w:r w:rsidRPr="009A5CC8">
        <w:rPr>
          <w:rFonts w:eastAsia="Times New Roman"/>
        </w:rPr>
        <w:t>ЗАКУПКИ</w:t>
      </w:r>
      <w:bookmarkEnd w:id="2"/>
    </w:p>
    <w:p w:rsidR="0017040C" w:rsidRPr="009A5CC8" w:rsidRDefault="0017040C" w:rsidP="0017040C">
      <w:pPr>
        <w:ind w:firstLine="709"/>
        <w:jc w:val="both"/>
      </w:pPr>
    </w:p>
    <w:p w:rsidR="0017040C" w:rsidRPr="009A5CC8" w:rsidRDefault="0017040C" w:rsidP="0017040C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rPr>
          <w:rFonts w:eastAsia="Calibri"/>
          <w:bCs/>
          <w:lang w:eastAsia="en-US"/>
        </w:rPr>
      </w:pPr>
      <w:r w:rsidRPr="009A5CC8">
        <w:t>Форма и способ процедуры закупки: Открытый одноэтапный конкурс в электронной форме без предварительного квалификационного отбора</w:t>
      </w:r>
    </w:p>
    <w:p w:rsidR="0017040C" w:rsidRPr="009A5CC8" w:rsidRDefault="0017040C" w:rsidP="0017040C">
      <w:pPr>
        <w:pStyle w:val="a6"/>
        <w:tabs>
          <w:tab w:val="left" w:pos="1134"/>
        </w:tabs>
        <w:ind w:left="0" w:firstLine="709"/>
        <w:rPr>
          <w:rFonts w:eastAsia="Calibri"/>
          <w:bCs/>
          <w:lang w:eastAsia="en-US"/>
        </w:rPr>
      </w:pPr>
    </w:p>
    <w:p w:rsidR="0017040C" w:rsidRPr="0010451A" w:rsidRDefault="0017040C" w:rsidP="0017040C">
      <w:pPr>
        <w:pStyle w:val="a8"/>
        <w:numPr>
          <w:ilvl w:val="0"/>
          <w:numId w:val="9"/>
        </w:numPr>
        <w:tabs>
          <w:tab w:val="left" w:pos="0"/>
          <w:tab w:val="left" w:pos="1134"/>
        </w:tabs>
        <w:ind w:left="0" w:firstLine="709"/>
        <w:jc w:val="both"/>
        <w:rPr>
          <w:i/>
        </w:rPr>
      </w:pPr>
      <w:r w:rsidRPr="009A5CC8">
        <w:t>Закупка проводится в соответствии с Единым отраслевым стандартом закупок (Положением о закупке) Государственной корпорации по атомной энергии «</w:t>
      </w:r>
      <w:proofErr w:type="spellStart"/>
      <w:r w:rsidRPr="009A5CC8">
        <w:t>Росатом</w:t>
      </w:r>
      <w:proofErr w:type="spellEnd"/>
      <w:r w:rsidRPr="009A5CC8">
        <w:t xml:space="preserve">» с изменениями, утвержденными решением наблюдательного совета </w:t>
      </w:r>
      <w:proofErr w:type="spellStart"/>
      <w:r w:rsidRPr="009A5CC8">
        <w:t>Госкорпорации</w:t>
      </w:r>
      <w:proofErr w:type="spellEnd"/>
      <w:r w:rsidRPr="009A5CC8">
        <w:t xml:space="preserve"> «</w:t>
      </w:r>
      <w:proofErr w:type="spellStart"/>
      <w:r w:rsidRPr="009A5CC8">
        <w:t>Росатом</w:t>
      </w:r>
      <w:proofErr w:type="spellEnd"/>
      <w:r w:rsidRPr="009A5CC8">
        <w:t xml:space="preserve">» </w:t>
      </w:r>
      <w:r w:rsidRPr="00127FE9">
        <w:t>(</w:t>
      </w:r>
      <w:r w:rsidRPr="00716B19">
        <w:t>протокол от </w:t>
      </w:r>
      <w:r w:rsidRPr="003E7DB8">
        <w:t>31.07.2019 № 120</w:t>
      </w:r>
      <w:r>
        <w:t xml:space="preserve">) </w:t>
      </w:r>
      <w:r w:rsidRPr="0010451A">
        <w:rPr>
          <w:i/>
        </w:rPr>
        <w:t xml:space="preserve">с учётом приказа Генерального директора </w:t>
      </w:r>
      <w:proofErr w:type="spellStart"/>
      <w:r w:rsidRPr="0010451A">
        <w:rPr>
          <w:i/>
        </w:rPr>
        <w:t>Госкорпорации</w:t>
      </w:r>
      <w:proofErr w:type="spellEnd"/>
      <w:r w:rsidRPr="0010451A">
        <w:rPr>
          <w:i/>
        </w:rPr>
        <w:t xml:space="preserve"> «</w:t>
      </w:r>
      <w:proofErr w:type="spellStart"/>
      <w:r w:rsidRPr="0010451A">
        <w:rPr>
          <w:i/>
        </w:rPr>
        <w:t>Росатом</w:t>
      </w:r>
      <w:proofErr w:type="spellEnd"/>
      <w:r w:rsidRPr="0010451A">
        <w:rPr>
          <w:i/>
        </w:rPr>
        <w:t xml:space="preserve">» от 27.02.2019 № 1/191-П (в редакции приказа </w:t>
      </w:r>
      <w:proofErr w:type="spellStart"/>
      <w:r w:rsidRPr="0010451A">
        <w:rPr>
          <w:i/>
        </w:rPr>
        <w:t>Госкорпорации</w:t>
      </w:r>
      <w:proofErr w:type="spellEnd"/>
      <w:r w:rsidRPr="0010451A">
        <w:rPr>
          <w:i/>
        </w:rPr>
        <w:t xml:space="preserve"> «</w:t>
      </w:r>
      <w:proofErr w:type="spellStart"/>
      <w:r w:rsidRPr="0010451A">
        <w:rPr>
          <w:i/>
        </w:rPr>
        <w:t>Росатом</w:t>
      </w:r>
      <w:proofErr w:type="spellEnd"/>
      <w:r w:rsidRPr="0010451A">
        <w:rPr>
          <w:i/>
        </w:rPr>
        <w:t>» от 01.08.2019 № 1/787-П).</w:t>
      </w:r>
    </w:p>
    <w:p w:rsidR="0017040C" w:rsidRPr="009A5CC8" w:rsidRDefault="0017040C" w:rsidP="0017040C">
      <w:pPr>
        <w:ind w:firstLine="709"/>
        <w:jc w:val="both"/>
      </w:pPr>
      <w:r w:rsidRPr="009A5CC8">
        <w:t>Закупка регулируется Федеральным законом от 18 июля 2011 года № 223-ФЗ «О закупках товаров, работ, услуг отдельными видами юридических лиц».</w:t>
      </w:r>
    </w:p>
    <w:p w:rsidR="0017040C" w:rsidRPr="009A5CC8" w:rsidRDefault="0017040C" w:rsidP="0017040C">
      <w:pPr>
        <w:ind w:firstLine="709"/>
        <w:jc w:val="both"/>
      </w:pPr>
      <w:r w:rsidRPr="009A5CC8">
        <w:t>Закупка проводится с учетом Постановления Правительства Российской Федерации от 16.09.2016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 (далее – Постановление 925).</w:t>
      </w:r>
    </w:p>
    <w:p w:rsidR="0017040C" w:rsidRPr="009A5CC8" w:rsidRDefault="0017040C" w:rsidP="0017040C">
      <w:pPr>
        <w:pStyle w:val="a6"/>
        <w:ind w:left="0" w:firstLine="709"/>
        <w:rPr>
          <w:rFonts w:eastAsia="Calibri"/>
          <w:lang w:eastAsia="en-US"/>
        </w:rPr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proofErr w:type="gramStart"/>
      <w:r w:rsidRPr="009A5CC8">
        <w:rPr>
          <w:rFonts w:eastAsia="Calibri"/>
          <w:lang w:eastAsia="en-US"/>
        </w:rPr>
        <w:t xml:space="preserve">Предмет закупки: право заключения договора на оказание услуг </w:t>
      </w:r>
      <w:r>
        <w:rPr>
          <w:rFonts w:eastAsia="Calibri"/>
          <w:lang w:eastAsia="en-US"/>
        </w:rPr>
        <w:t>по теме «</w:t>
      </w:r>
      <w:r w:rsidRPr="00EF1458">
        <w:rPr>
          <w:bCs/>
          <w:color w:val="000000"/>
        </w:rPr>
        <w:t>Разработка обосновывающих материалов для устранения замечаний ДНП-5-3657-2017 в части выполнения анализа на устойчивость МРЗ строительных конструкций 1 очереди, расчетов характеристик миграции радионуклидов, оценки взмучивания радиоактивных донных отложений при течи БВ, расчета металлоконструкций БВ-1,2 на прочность при падении грузов в соответствии с Техническим заданием</w:t>
      </w:r>
      <w:r>
        <w:rPr>
          <w:bCs/>
          <w:color w:val="000000"/>
        </w:rPr>
        <w:t>».</w:t>
      </w:r>
      <w:proofErr w:type="gramEnd"/>
    </w:p>
    <w:p w:rsidR="0017040C" w:rsidRPr="009A5CC8" w:rsidRDefault="0017040C" w:rsidP="0017040C">
      <w:pPr>
        <w:tabs>
          <w:tab w:val="left" w:pos="1134"/>
        </w:tabs>
        <w:ind w:firstLine="709"/>
        <w:contextualSpacing/>
        <w:jc w:val="both"/>
        <w:rPr>
          <w:b/>
          <w:spacing w:val="-6"/>
        </w:rPr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b/>
          <w:i/>
          <w:lang w:eastAsia="en-US"/>
        </w:rPr>
      </w:pPr>
      <w:r w:rsidRPr="009A5CC8">
        <w:rPr>
          <w:rFonts w:eastAsia="Calibri"/>
          <w:lang w:eastAsia="en-US"/>
        </w:rPr>
        <w:t>Заказчик: Акционерное общество «Российский концерн по производству электрической и тепловой энергии на атомных станциях»</w:t>
      </w:r>
    </w:p>
    <w:p w:rsidR="0017040C" w:rsidRPr="009A5CC8" w:rsidRDefault="0017040C" w:rsidP="0017040C">
      <w:pPr>
        <w:ind w:firstLine="709"/>
        <w:jc w:val="both"/>
      </w:pPr>
      <w:r w:rsidRPr="009A5CC8">
        <w:t xml:space="preserve">Место нахождения: </w:t>
      </w:r>
      <w:r w:rsidRPr="009A5CC8">
        <w:rPr>
          <w:rFonts w:eastAsia="Calibri"/>
          <w:lang w:eastAsia="en-US"/>
        </w:rPr>
        <w:t>109507, г</w:t>
      </w:r>
      <w:proofErr w:type="gramStart"/>
      <w:r w:rsidRPr="009A5CC8">
        <w:rPr>
          <w:rFonts w:eastAsia="Calibri"/>
          <w:lang w:eastAsia="en-US"/>
        </w:rPr>
        <w:t>.М</w:t>
      </w:r>
      <w:proofErr w:type="gramEnd"/>
      <w:r w:rsidRPr="009A5CC8">
        <w:rPr>
          <w:rFonts w:eastAsia="Calibri"/>
          <w:lang w:eastAsia="en-US"/>
        </w:rPr>
        <w:t>осква, ул.Ферганская, д.25</w:t>
      </w:r>
    </w:p>
    <w:p w:rsidR="0017040C" w:rsidRPr="009A5CC8" w:rsidRDefault="0017040C" w:rsidP="0017040C">
      <w:pPr>
        <w:ind w:firstLine="709"/>
        <w:jc w:val="both"/>
        <w:rPr>
          <w:rFonts w:eastAsia="Calibri"/>
          <w:lang w:eastAsia="en-US"/>
        </w:rPr>
      </w:pPr>
      <w:r w:rsidRPr="009A5CC8">
        <w:t xml:space="preserve">Почтовый адрес: </w:t>
      </w:r>
      <w:r w:rsidRPr="009A5CC8">
        <w:rPr>
          <w:rFonts w:eastAsia="Calibri"/>
          <w:lang w:eastAsia="en-US"/>
        </w:rPr>
        <w:t>109507, г.</w:t>
      </w:r>
      <w:r>
        <w:rPr>
          <w:rFonts w:eastAsia="Calibri"/>
          <w:lang w:eastAsia="en-US"/>
        </w:rPr>
        <w:t xml:space="preserve"> </w:t>
      </w:r>
      <w:r w:rsidRPr="009A5CC8">
        <w:rPr>
          <w:rFonts w:eastAsia="Calibri"/>
          <w:lang w:eastAsia="en-US"/>
        </w:rPr>
        <w:t>Москва, ул</w:t>
      </w:r>
      <w:proofErr w:type="gramStart"/>
      <w:r w:rsidRPr="009A5CC8">
        <w:rPr>
          <w:rFonts w:eastAsia="Calibri"/>
          <w:lang w:eastAsia="en-US"/>
        </w:rPr>
        <w:t>.Ф</w:t>
      </w:r>
      <w:proofErr w:type="gramEnd"/>
      <w:r w:rsidRPr="009A5CC8">
        <w:rPr>
          <w:rFonts w:eastAsia="Calibri"/>
          <w:lang w:eastAsia="en-US"/>
        </w:rPr>
        <w:t>ерганская, д.25</w:t>
      </w:r>
    </w:p>
    <w:p w:rsidR="0017040C" w:rsidRPr="009A5CC8" w:rsidRDefault="0017040C" w:rsidP="0017040C">
      <w:pPr>
        <w:ind w:firstLine="709"/>
        <w:jc w:val="both"/>
      </w:pPr>
    </w:p>
    <w:p w:rsidR="0017040C" w:rsidRPr="009A5CC8" w:rsidRDefault="0017040C" w:rsidP="0017040C">
      <w:pPr>
        <w:pStyle w:val="a8"/>
        <w:numPr>
          <w:ilvl w:val="0"/>
          <w:numId w:val="9"/>
        </w:numPr>
        <w:tabs>
          <w:tab w:val="left" w:pos="0"/>
          <w:tab w:val="left" w:pos="1134"/>
        </w:tabs>
        <w:ind w:left="0" w:firstLine="709"/>
        <w:jc w:val="both"/>
      </w:pPr>
      <w:r w:rsidRPr="009A5CC8">
        <w:t xml:space="preserve">Организатор закупки: Филиал АО «Концерн </w:t>
      </w:r>
      <w:proofErr w:type="spellStart"/>
      <w:r w:rsidRPr="009A5CC8">
        <w:t>Росэнергоатом</w:t>
      </w:r>
      <w:proofErr w:type="spellEnd"/>
      <w:r w:rsidRPr="009A5CC8">
        <w:t>» «Белоярская атомная станция»</w:t>
      </w:r>
    </w:p>
    <w:p w:rsidR="0017040C" w:rsidRPr="009A5CC8" w:rsidRDefault="0017040C" w:rsidP="0017040C">
      <w:pPr>
        <w:ind w:firstLine="709"/>
        <w:jc w:val="both"/>
      </w:pPr>
      <w:r w:rsidRPr="009A5CC8">
        <w:t xml:space="preserve">Место нахождения: </w:t>
      </w:r>
      <w:r w:rsidRPr="009A5CC8">
        <w:rPr>
          <w:rFonts w:eastAsia="Calibri"/>
          <w:lang w:eastAsia="en-US"/>
        </w:rPr>
        <w:t>624250 г. Заречный Свердловской области, а/я 149, Белоярская АЭС</w:t>
      </w:r>
    </w:p>
    <w:p w:rsidR="0017040C" w:rsidRPr="009A5CC8" w:rsidRDefault="0017040C" w:rsidP="0017040C">
      <w:pPr>
        <w:ind w:firstLine="709"/>
        <w:jc w:val="both"/>
      </w:pPr>
      <w:r w:rsidRPr="009A5CC8">
        <w:t xml:space="preserve">Почтовый адрес: </w:t>
      </w:r>
      <w:r w:rsidRPr="009A5CC8">
        <w:rPr>
          <w:rFonts w:eastAsia="Calibri"/>
          <w:lang w:eastAsia="en-US"/>
        </w:rPr>
        <w:t>624250 г. Заречный Свердловской области, а/я 149, Белоярская АЭС</w:t>
      </w:r>
    </w:p>
    <w:p w:rsidR="0017040C" w:rsidRPr="009A5CC8" w:rsidRDefault="0017040C" w:rsidP="0017040C">
      <w:pPr>
        <w:widowControl w:val="0"/>
        <w:tabs>
          <w:tab w:val="left" w:pos="993"/>
        </w:tabs>
        <w:ind w:firstLine="567"/>
        <w:contextualSpacing/>
      </w:pPr>
      <w:r w:rsidRPr="009A5CC8">
        <w:t>Контактное лицо: Контактное лицо: Соколова Ольга Николаевна.</w:t>
      </w:r>
    </w:p>
    <w:p w:rsidR="0017040C" w:rsidRPr="009A5CC8" w:rsidRDefault="0017040C" w:rsidP="0017040C">
      <w:pPr>
        <w:widowControl w:val="0"/>
        <w:tabs>
          <w:tab w:val="left" w:pos="993"/>
        </w:tabs>
        <w:ind w:firstLine="567"/>
        <w:contextualSpacing/>
      </w:pPr>
      <w:r w:rsidRPr="009A5CC8">
        <w:t>Тел.: (343-77) 3-86-77</w:t>
      </w:r>
    </w:p>
    <w:p w:rsidR="0017040C" w:rsidRPr="009A5CC8" w:rsidRDefault="0017040C" w:rsidP="0017040C">
      <w:pPr>
        <w:widowControl w:val="0"/>
        <w:tabs>
          <w:tab w:val="left" w:pos="993"/>
        </w:tabs>
        <w:ind w:firstLine="567"/>
        <w:contextualSpacing/>
      </w:pPr>
      <w:proofErr w:type="spellStart"/>
      <w:r w:rsidRPr="009A5CC8">
        <w:t>эл</w:t>
      </w:r>
      <w:proofErr w:type="gramStart"/>
      <w:r w:rsidRPr="009A5CC8">
        <w:t>.п</w:t>
      </w:r>
      <w:proofErr w:type="gramEnd"/>
      <w:r w:rsidRPr="009A5CC8">
        <w:t>очта</w:t>
      </w:r>
      <w:proofErr w:type="spellEnd"/>
      <w:r w:rsidRPr="009A5CC8">
        <w:t xml:space="preserve">: uks-do3@belnpp.ru 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Количество лотов: 1 (Один).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 xml:space="preserve">Предмет договора: </w:t>
      </w:r>
      <w:r w:rsidRPr="00EF1458">
        <w:rPr>
          <w:bCs/>
          <w:color w:val="000000"/>
        </w:rPr>
        <w:t>Разработка обосновывающих материалов для устранения замечаний ДНП-5-3657-2017 в части выполнения анализа на устойчивость МРЗ строительных конструкций 1 очереди, расчетов характеристик миграции радионуклидов, оценки взмучивания радиоактивных донных отложений при течи БВ, расчета металлоконструкций БВ-1,2 на прочность при падении грузов в соответствии с Техническим заданием</w:t>
      </w:r>
      <w:r>
        <w:t>.</w:t>
      </w:r>
    </w:p>
    <w:p w:rsidR="0017040C" w:rsidRDefault="0017040C" w:rsidP="0017040C">
      <w:pPr>
        <w:shd w:val="clear" w:color="auto" w:fill="FFFFFF"/>
        <w:ind w:firstLine="851"/>
        <w:jc w:val="both"/>
        <w:rPr>
          <w:rFonts w:eastAsia="Calibri"/>
          <w:lang w:eastAsia="en-US"/>
        </w:rPr>
      </w:pPr>
    </w:p>
    <w:p w:rsidR="0017040C" w:rsidRDefault="0017040C" w:rsidP="0017040C">
      <w:pPr>
        <w:shd w:val="clear" w:color="auto" w:fill="FFFFFF"/>
        <w:ind w:firstLine="851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Сроки оказания услуг:</w:t>
      </w:r>
    </w:p>
    <w:p w:rsidR="0017040C" w:rsidRPr="00965B9C" w:rsidRDefault="0017040C" w:rsidP="0017040C">
      <w:pPr>
        <w:tabs>
          <w:tab w:val="left" w:pos="619"/>
        </w:tabs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Pr="00965B9C">
        <w:rPr>
          <w:bCs/>
          <w:color w:val="000000"/>
        </w:rPr>
        <w:t xml:space="preserve">Начало выполнения работ: </w:t>
      </w:r>
      <w:proofErr w:type="gramStart"/>
      <w:r w:rsidRPr="00965B9C">
        <w:rPr>
          <w:bCs/>
          <w:color w:val="000000"/>
        </w:rPr>
        <w:t>с даты заключения</w:t>
      </w:r>
      <w:proofErr w:type="gramEnd"/>
      <w:r w:rsidRPr="00965B9C">
        <w:rPr>
          <w:bCs/>
          <w:color w:val="000000"/>
        </w:rPr>
        <w:t xml:space="preserve"> договора</w:t>
      </w:r>
      <w:r>
        <w:rPr>
          <w:bCs/>
          <w:color w:val="000000"/>
        </w:rPr>
        <w:t>.</w:t>
      </w:r>
    </w:p>
    <w:p w:rsidR="0017040C" w:rsidRPr="00965B9C" w:rsidRDefault="0017040C" w:rsidP="0017040C">
      <w:pPr>
        <w:tabs>
          <w:tab w:val="left" w:pos="619"/>
        </w:tabs>
        <w:jc w:val="both"/>
        <w:rPr>
          <w:bCs/>
          <w:color w:val="000000"/>
        </w:rPr>
      </w:pPr>
      <w:r>
        <w:rPr>
          <w:bCs/>
        </w:rPr>
        <w:t xml:space="preserve"> </w:t>
      </w:r>
      <w:r>
        <w:rPr>
          <w:bCs/>
        </w:rPr>
        <w:tab/>
      </w:r>
      <w:r w:rsidRPr="00D2238E">
        <w:rPr>
          <w:bCs/>
        </w:rPr>
        <w:t>Сроки и график выполнения работ (в соответствии с ТЗ № 38-4/2-461 от 23.05.2018 г. и в соответствии с  Календарным планом (приложение № 2), являющимся неотъемлемой частью Проекта договора Том 1 Часть 3):</w:t>
      </w:r>
      <w:r w:rsidRPr="00965B9C">
        <w:rPr>
          <w:bCs/>
        </w:rPr>
        <w:t xml:space="preserve"> </w:t>
      </w:r>
    </w:p>
    <w:p w:rsidR="0017040C" w:rsidRDefault="0017040C" w:rsidP="0017040C">
      <w:pPr>
        <w:tabs>
          <w:tab w:val="left" w:pos="619"/>
        </w:tabs>
        <w:ind w:left="283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   </w:t>
      </w:r>
      <w:r>
        <w:rPr>
          <w:bCs/>
          <w:color w:val="000000"/>
        </w:rPr>
        <w:tab/>
        <w:t xml:space="preserve">Этап 1. </w:t>
      </w:r>
      <w:r w:rsidRPr="00C71D25">
        <w:rPr>
          <w:bCs/>
          <w:color w:val="000000"/>
        </w:rPr>
        <w:t xml:space="preserve">Разработка обосновывающих материалов – 9 месяцев </w:t>
      </w:r>
      <w:proofErr w:type="gramStart"/>
      <w:r w:rsidRPr="00C71D25">
        <w:rPr>
          <w:bCs/>
          <w:color w:val="000000"/>
        </w:rPr>
        <w:t>с даты заключения</w:t>
      </w:r>
      <w:proofErr w:type="gramEnd"/>
      <w:r w:rsidRPr="00C71D25">
        <w:rPr>
          <w:bCs/>
          <w:color w:val="000000"/>
        </w:rPr>
        <w:t xml:space="preserve"> договора</w:t>
      </w:r>
    </w:p>
    <w:p w:rsidR="0017040C" w:rsidRDefault="0017040C" w:rsidP="0017040C">
      <w:pPr>
        <w:tabs>
          <w:tab w:val="left" w:pos="619"/>
        </w:tabs>
        <w:ind w:left="283"/>
        <w:jc w:val="both"/>
        <w:rPr>
          <w:bCs/>
          <w:color w:val="000000"/>
        </w:rPr>
      </w:pPr>
      <w:r>
        <w:rPr>
          <w:bCs/>
          <w:color w:val="000000"/>
        </w:rPr>
        <w:t xml:space="preserve">   Этап 2. </w:t>
      </w:r>
      <w:r w:rsidRPr="007B12F1">
        <w:t>Оформление извещения об изменении</w:t>
      </w:r>
      <w:r w:rsidRPr="008D2878">
        <w:t xml:space="preserve"> (</w:t>
      </w:r>
      <w:r>
        <w:t>ИИ)</w:t>
      </w:r>
      <w:r w:rsidRPr="007B12F1">
        <w:t xml:space="preserve"> в Техническое обоснование безопасности при хранении и обращении с ОЯТ реакторов АМБ 1 очереди Белоярской АЭС</w:t>
      </w:r>
      <w:r>
        <w:t xml:space="preserve"> - </w:t>
      </w:r>
      <w:r>
        <w:rPr>
          <w:bCs/>
          <w:color w:val="000000"/>
        </w:rPr>
        <w:t>2 месяца</w:t>
      </w:r>
      <w:r w:rsidRPr="00C71D25">
        <w:rPr>
          <w:bCs/>
          <w:color w:val="000000"/>
        </w:rPr>
        <w:t xml:space="preserve"> с </w:t>
      </w:r>
      <w:r>
        <w:rPr>
          <w:bCs/>
          <w:color w:val="000000"/>
        </w:rPr>
        <w:t>момента окончания этапа 1</w:t>
      </w:r>
    </w:p>
    <w:p w:rsidR="0017040C" w:rsidRPr="00965B9C" w:rsidRDefault="0017040C" w:rsidP="0017040C">
      <w:pPr>
        <w:tabs>
          <w:tab w:val="left" w:pos="619"/>
        </w:tabs>
        <w:jc w:val="both"/>
        <w:rPr>
          <w:bCs/>
        </w:rPr>
      </w:pPr>
      <w:r>
        <w:rPr>
          <w:bCs/>
          <w:color w:val="000000"/>
        </w:rPr>
        <w:tab/>
      </w:r>
      <w:r w:rsidRPr="00965B9C">
        <w:rPr>
          <w:bCs/>
          <w:color w:val="000000"/>
        </w:rPr>
        <w:t xml:space="preserve">Этап 3. </w:t>
      </w:r>
      <w:r>
        <w:t xml:space="preserve">Сопровождение разработанных документов при подаче заявления в </w:t>
      </w:r>
      <w:proofErr w:type="spellStart"/>
      <w:r>
        <w:t>Ростехнадзор</w:t>
      </w:r>
      <w:proofErr w:type="spellEnd"/>
      <w:r>
        <w:t xml:space="preserve"> - </w:t>
      </w:r>
      <w:r w:rsidRPr="00965B9C">
        <w:rPr>
          <w:bCs/>
          <w:color w:val="000000"/>
        </w:rPr>
        <w:t>6 месяцев с момента окончания этапа 2</w:t>
      </w:r>
      <w:r>
        <w:rPr>
          <w:bCs/>
          <w:color w:val="000000"/>
        </w:rPr>
        <w:t>.</w:t>
      </w:r>
    </w:p>
    <w:p w:rsidR="0017040C" w:rsidRPr="00F31174" w:rsidRDefault="0017040C" w:rsidP="0017040C">
      <w:pPr>
        <w:ind w:firstLine="709"/>
        <w:jc w:val="both"/>
        <w:rPr>
          <w:rFonts w:eastAsia="Calibri"/>
          <w:lang w:eastAsia="en-US"/>
        </w:rPr>
      </w:pPr>
      <w:r w:rsidRPr="00F31174">
        <w:rPr>
          <w:rFonts w:eastAsia="Calibri"/>
          <w:lang w:eastAsia="en-US"/>
        </w:rPr>
        <w:t xml:space="preserve">Место выполнения услуг: </w:t>
      </w:r>
      <w:r w:rsidRPr="00F31174">
        <w:t xml:space="preserve">Свердловская обл., г. Заречный, филиал АО «Концерн </w:t>
      </w:r>
      <w:proofErr w:type="spellStart"/>
      <w:r w:rsidRPr="00F31174">
        <w:t>Росэнергоатом</w:t>
      </w:r>
      <w:proofErr w:type="spellEnd"/>
      <w:r w:rsidRPr="00F31174">
        <w:t>» «Белоярская атомная станция».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  <w:r w:rsidRPr="009A5CC8">
        <w:t xml:space="preserve">Состав и объем услуг: все необходимые сведения приведены в Томе 2 закупочной документации. 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  <w:rPr>
          <w:b/>
          <w:i/>
        </w:rPr>
      </w:pPr>
      <w:r w:rsidRPr="00EC2824">
        <w:t xml:space="preserve">Предложение частичного выполнения услуг </w:t>
      </w:r>
      <w:r w:rsidRPr="00EC2824">
        <w:rPr>
          <w:spacing w:val="-6"/>
        </w:rPr>
        <w:t>не допускается</w:t>
      </w:r>
      <w:r w:rsidRPr="00EC2824">
        <w:rPr>
          <w:b/>
          <w:i/>
        </w:rPr>
        <w:t>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  <w:rPr>
          <w:b/>
          <w:i/>
        </w:rPr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Условия оплаты: в соответств</w:t>
      </w:r>
      <w:r>
        <w:rPr>
          <w:rFonts w:eastAsia="Calibri"/>
          <w:lang w:eastAsia="en-US"/>
        </w:rPr>
        <w:t xml:space="preserve">ии с Частью 3 «Проект договора» </w:t>
      </w:r>
      <w:r w:rsidRPr="009A5CC8">
        <w:rPr>
          <w:rFonts w:eastAsia="Calibri"/>
          <w:lang w:eastAsia="en-US"/>
        </w:rPr>
        <w:t>Тома 1 закупочной документации.</w:t>
      </w:r>
    </w:p>
    <w:p w:rsidR="0017040C" w:rsidRPr="009A5CC8" w:rsidRDefault="0017040C" w:rsidP="0017040C">
      <w:pPr>
        <w:ind w:firstLine="709"/>
        <w:jc w:val="both"/>
      </w:pPr>
      <w:r w:rsidRPr="009A5CC8">
        <w:t>Форма и все условия проекта договора (Часть 3 «Проект договора» Тома 1 закупочной документации) являются обязательными. Встречные предложения участников по проекту договора не допускаются.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  <w:r w:rsidRPr="009A5CC8">
        <w:t>При этом не считаются встречными предложения по формулировкам условий договора, направленным на исправление грамматических и технических ошибок, если таковые выявлены участником в проекте договора (Часть 3 «Проект договора» Тома 1 закупочной документации).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</w:p>
    <w:p w:rsidR="0017040C" w:rsidRPr="009A5CC8" w:rsidRDefault="0017040C" w:rsidP="0017040C">
      <w:pPr>
        <w:pStyle w:val="a6"/>
        <w:numPr>
          <w:ilvl w:val="0"/>
          <w:numId w:val="3"/>
        </w:numPr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Начальная (максимальная) цена договора:</w:t>
      </w:r>
    </w:p>
    <w:p w:rsidR="0017040C" w:rsidRDefault="0017040C" w:rsidP="0017040C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Pr="00965B9C">
        <w:rPr>
          <w:bCs/>
          <w:color w:val="000000"/>
        </w:rPr>
        <w:t xml:space="preserve"> 35 200</w:t>
      </w:r>
      <w:r>
        <w:rPr>
          <w:bCs/>
          <w:color w:val="000000"/>
        </w:rPr>
        <w:t> </w:t>
      </w:r>
      <w:r w:rsidRPr="00965B9C">
        <w:rPr>
          <w:bCs/>
          <w:color w:val="000000"/>
        </w:rPr>
        <w:t>000</w:t>
      </w:r>
      <w:r>
        <w:rPr>
          <w:bCs/>
          <w:color w:val="000000"/>
        </w:rPr>
        <w:t>,00</w:t>
      </w:r>
      <w:r w:rsidRPr="00965B9C">
        <w:rPr>
          <w:bCs/>
          <w:color w:val="000000"/>
        </w:rPr>
        <w:t xml:space="preserve"> (тридцать пять миллионов двести тысяч) рублей </w:t>
      </w:r>
      <w:r>
        <w:rPr>
          <w:bCs/>
          <w:color w:val="000000"/>
        </w:rPr>
        <w:t xml:space="preserve">00 копеек, </w:t>
      </w:r>
      <w:r w:rsidRPr="00965B9C">
        <w:rPr>
          <w:bCs/>
          <w:color w:val="000000"/>
        </w:rPr>
        <w:t xml:space="preserve">включая </w:t>
      </w:r>
      <w:r>
        <w:rPr>
          <w:bCs/>
          <w:color w:val="000000"/>
        </w:rPr>
        <w:br/>
      </w:r>
      <w:r w:rsidRPr="00965B9C">
        <w:rPr>
          <w:bCs/>
          <w:color w:val="000000"/>
        </w:rPr>
        <w:t>НДС 20 %</w:t>
      </w:r>
      <w:r>
        <w:rPr>
          <w:bCs/>
          <w:color w:val="000000"/>
        </w:rPr>
        <w:t>.</w:t>
      </w:r>
    </w:p>
    <w:p w:rsidR="0017040C" w:rsidRPr="00965B9C" w:rsidRDefault="0017040C" w:rsidP="0017040C">
      <w:pPr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Pr="00965B9C">
        <w:rPr>
          <w:bCs/>
          <w:color w:val="000000"/>
        </w:rPr>
        <w:t>29</w:t>
      </w:r>
      <w:r w:rsidRPr="00965B9C">
        <w:rPr>
          <w:bCs/>
          <w:color w:val="000000"/>
          <w:lang w:val="en-US"/>
        </w:rPr>
        <w:t> </w:t>
      </w:r>
      <w:r w:rsidRPr="00965B9C">
        <w:rPr>
          <w:bCs/>
          <w:color w:val="000000"/>
        </w:rPr>
        <w:t>333</w:t>
      </w:r>
      <w:r>
        <w:rPr>
          <w:bCs/>
          <w:color w:val="000000"/>
        </w:rPr>
        <w:t> </w:t>
      </w:r>
      <w:r w:rsidRPr="00965B9C">
        <w:rPr>
          <w:bCs/>
          <w:color w:val="000000"/>
        </w:rPr>
        <w:t>333</w:t>
      </w:r>
      <w:r>
        <w:rPr>
          <w:bCs/>
          <w:color w:val="000000"/>
        </w:rPr>
        <w:t>,33</w:t>
      </w:r>
      <w:r w:rsidRPr="00965B9C">
        <w:rPr>
          <w:bCs/>
          <w:color w:val="000000"/>
        </w:rPr>
        <w:t xml:space="preserve"> (двадцать девять миллионов триста тридцать три тысячи триста тридцать три) рубля 33</w:t>
      </w:r>
      <w:r>
        <w:rPr>
          <w:bCs/>
          <w:color w:val="000000"/>
        </w:rPr>
        <w:t xml:space="preserve"> копейки,</w:t>
      </w:r>
      <w:r w:rsidRPr="00965B9C">
        <w:rPr>
          <w:bCs/>
          <w:color w:val="000000"/>
        </w:rPr>
        <w:t xml:space="preserve"> без НДС</w:t>
      </w:r>
      <w:r>
        <w:rPr>
          <w:bCs/>
          <w:color w:val="000000"/>
        </w:rPr>
        <w:t>.</w:t>
      </w:r>
    </w:p>
    <w:p w:rsidR="0017040C" w:rsidRDefault="0017040C" w:rsidP="0017040C">
      <w:pPr>
        <w:ind w:firstLine="709"/>
        <w:jc w:val="both"/>
        <w:rPr>
          <w:rFonts w:eastAsia="Calibri"/>
          <w:lang w:eastAsia="en-US"/>
        </w:rPr>
      </w:pPr>
    </w:p>
    <w:p w:rsidR="0017040C" w:rsidRPr="009A5CC8" w:rsidRDefault="0017040C" w:rsidP="0017040C">
      <w:pPr>
        <w:ind w:firstLine="709"/>
        <w:jc w:val="both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Начальная (максим</w:t>
      </w:r>
      <w:r>
        <w:rPr>
          <w:rFonts w:eastAsia="Calibri"/>
          <w:lang w:eastAsia="en-US"/>
        </w:rPr>
        <w:t>альная) цена единицы услуги</w:t>
      </w:r>
      <w:r w:rsidRPr="009A5CC8">
        <w:rPr>
          <w:rFonts w:eastAsia="Calibri"/>
          <w:lang w:eastAsia="en-US"/>
        </w:rPr>
        <w:t>:</w:t>
      </w:r>
    </w:p>
    <w:tbl>
      <w:tblPr>
        <w:tblStyle w:val="a9"/>
        <w:tblW w:w="9150" w:type="dxa"/>
        <w:tblInd w:w="817" w:type="dxa"/>
        <w:tblLayout w:type="fixed"/>
        <w:tblLook w:val="04A0"/>
      </w:tblPr>
      <w:tblGrid>
        <w:gridCol w:w="663"/>
        <w:gridCol w:w="4376"/>
        <w:gridCol w:w="1989"/>
        <w:gridCol w:w="2122"/>
      </w:tblGrid>
      <w:tr w:rsidR="0017040C" w:rsidRPr="009A5CC8" w:rsidTr="0017040C">
        <w:trPr>
          <w:trHeight w:val="66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0C" w:rsidRPr="009A5CC8" w:rsidRDefault="0017040C" w:rsidP="00A4769B">
            <w:pPr>
              <w:tabs>
                <w:tab w:val="left" w:pos="1134"/>
              </w:tabs>
              <w:jc w:val="both"/>
            </w:pPr>
            <w:r w:rsidRPr="009A5CC8">
              <w:t xml:space="preserve">№ </w:t>
            </w:r>
            <w:proofErr w:type="spellStart"/>
            <w:proofErr w:type="gramStart"/>
            <w:r w:rsidRPr="009A5CC8">
              <w:t>п</w:t>
            </w:r>
            <w:proofErr w:type="spellEnd"/>
            <w:proofErr w:type="gramEnd"/>
            <w:r w:rsidRPr="009A5CC8">
              <w:t>/</w:t>
            </w:r>
            <w:proofErr w:type="spellStart"/>
            <w:r w:rsidRPr="009A5CC8">
              <w:t>п</w:t>
            </w:r>
            <w:proofErr w:type="spellEnd"/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0C" w:rsidRPr="009A5CC8" w:rsidRDefault="0017040C" w:rsidP="00A4769B">
            <w:pPr>
              <w:tabs>
                <w:tab w:val="left" w:pos="1134"/>
              </w:tabs>
              <w:ind w:firstLine="709"/>
              <w:jc w:val="both"/>
            </w:pPr>
            <w:r w:rsidRPr="009A5CC8">
              <w:t xml:space="preserve">Наименование </w:t>
            </w:r>
            <w:r>
              <w:t>услуги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40C" w:rsidRPr="009A5CC8" w:rsidRDefault="0017040C" w:rsidP="00A4769B">
            <w:r w:rsidRPr="009A5CC8">
              <w:t>Цена за единицу, без НДС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0C" w:rsidRPr="009A5CC8" w:rsidRDefault="0017040C" w:rsidP="00A4769B">
            <w:pPr>
              <w:tabs>
                <w:tab w:val="left" w:pos="1134"/>
              </w:tabs>
              <w:jc w:val="both"/>
            </w:pPr>
            <w:r w:rsidRPr="009A5CC8">
              <w:t>Цена за единицу, с учетом НДС</w:t>
            </w:r>
          </w:p>
        </w:tc>
      </w:tr>
      <w:tr w:rsidR="0017040C" w:rsidRPr="0021423F" w:rsidTr="0017040C">
        <w:trPr>
          <w:trHeight w:val="66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40C" w:rsidRPr="0021423F" w:rsidRDefault="0017040C" w:rsidP="00A4769B">
            <w:pPr>
              <w:tabs>
                <w:tab w:val="left" w:pos="1134"/>
              </w:tabs>
              <w:jc w:val="center"/>
            </w:pPr>
            <w:r w:rsidRPr="0021423F">
              <w:rPr>
                <w:lang w:val="en-US"/>
              </w:rPr>
              <w:t>1</w:t>
            </w:r>
            <w:r w:rsidRPr="0021423F">
              <w:t>.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outlineLvl w:val="2"/>
            </w:pPr>
            <w:r w:rsidRPr="00010B97">
              <w:t>Разработка обосновывающих материалов</w:t>
            </w:r>
          </w:p>
          <w:p w:rsidR="0017040C" w:rsidRPr="00010B97" w:rsidRDefault="0017040C" w:rsidP="00A4769B"/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jc w:val="center"/>
              <w:outlineLvl w:val="2"/>
            </w:pPr>
            <w:r w:rsidRPr="008A7A9F">
              <w:t>26.833.333,33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jc w:val="center"/>
            </w:pPr>
            <w:r w:rsidRPr="008A7A9F">
              <w:t>32.200.000,00</w:t>
            </w:r>
          </w:p>
        </w:tc>
      </w:tr>
      <w:tr w:rsidR="0017040C" w:rsidRPr="0021423F" w:rsidTr="0017040C">
        <w:trPr>
          <w:trHeight w:val="66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tabs>
                <w:tab w:val="left" w:pos="1134"/>
              </w:tabs>
              <w:jc w:val="center"/>
            </w:pPr>
            <w:r w:rsidRPr="0021423F">
              <w:t>2.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outlineLvl w:val="2"/>
            </w:pPr>
            <w:r w:rsidRPr="00010B97">
              <w:t>Оформление ИИ ТОБ ОЯТ</w:t>
            </w:r>
          </w:p>
          <w:p w:rsidR="0017040C" w:rsidRPr="00010B97" w:rsidRDefault="0017040C" w:rsidP="00A4769B"/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jc w:val="center"/>
              <w:outlineLvl w:val="2"/>
            </w:pPr>
            <w:r w:rsidRPr="008A7A9F">
              <w:t>1.250.000,00</w:t>
            </w:r>
          </w:p>
          <w:p w:rsidR="0017040C" w:rsidRPr="00010B97" w:rsidRDefault="0017040C" w:rsidP="00A4769B">
            <w:pPr>
              <w:jc w:val="center"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jc w:val="center"/>
            </w:pPr>
            <w:r w:rsidRPr="008A7A9F">
              <w:t>1.500.000,00</w:t>
            </w:r>
          </w:p>
        </w:tc>
      </w:tr>
      <w:tr w:rsidR="0017040C" w:rsidRPr="0021423F" w:rsidTr="0017040C">
        <w:trPr>
          <w:trHeight w:val="66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tabs>
                <w:tab w:val="left" w:pos="1134"/>
              </w:tabs>
              <w:jc w:val="center"/>
            </w:pPr>
            <w:r w:rsidRPr="0021423F">
              <w:t>3.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outlineLvl w:val="2"/>
            </w:pPr>
            <w:r w:rsidRPr="00010B97">
              <w:t>Сопровождение в РТН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jc w:val="center"/>
              <w:outlineLvl w:val="2"/>
            </w:pPr>
            <w:r w:rsidRPr="008A7A9F">
              <w:t>1.250.000,00</w:t>
            </w:r>
          </w:p>
          <w:p w:rsidR="0017040C" w:rsidRPr="00010B97" w:rsidRDefault="0017040C" w:rsidP="00A4769B">
            <w:pPr>
              <w:jc w:val="center"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jc w:val="center"/>
            </w:pPr>
            <w:r w:rsidRPr="008A7A9F">
              <w:t>1.500.000,00</w:t>
            </w:r>
          </w:p>
        </w:tc>
      </w:tr>
      <w:tr w:rsidR="0017040C" w:rsidRPr="009A5CC8" w:rsidTr="0017040C">
        <w:trPr>
          <w:trHeight w:val="352"/>
        </w:trPr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21423F" w:rsidRDefault="0017040C" w:rsidP="00A4769B">
            <w:pPr>
              <w:jc w:val="center"/>
              <w:rPr>
                <w:b/>
              </w:rPr>
            </w:pPr>
            <w:r w:rsidRPr="0021423F">
              <w:rPr>
                <w:b/>
              </w:rPr>
              <w:t>ИТОГО: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010B97" w:rsidRDefault="0017040C" w:rsidP="00A4769B">
            <w:pPr>
              <w:jc w:val="center"/>
              <w:rPr>
                <w:b/>
              </w:rPr>
            </w:pPr>
            <w:r w:rsidRPr="00010B97">
              <w:rPr>
                <w:b/>
                <w:bCs/>
                <w:color w:val="000000"/>
              </w:rPr>
              <w:t>29</w:t>
            </w:r>
            <w:r w:rsidRPr="00010B97">
              <w:rPr>
                <w:b/>
                <w:bCs/>
                <w:color w:val="000000"/>
                <w:lang w:val="en-US"/>
              </w:rPr>
              <w:t> </w:t>
            </w:r>
            <w:r w:rsidRPr="00010B97">
              <w:rPr>
                <w:b/>
                <w:bCs/>
                <w:color w:val="000000"/>
              </w:rPr>
              <w:t>333 333,33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40C" w:rsidRPr="001338D3" w:rsidRDefault="0017040C" w:rsidP="00A4769B">
            <w:pPr>
              <w:jc w:val="center"/>
              <w:rPr>
                <w:b/>
              </w:rPr>
            </w:pPr>
            <w:r w:rsidRPr="001338D3">
              <w:rPr>
                <w:b/>
                <w:bCs/>
                <w:color w:val="000000"/>
              </w:rPr>
              <w:t>35 200 000,00</w:t>
            </w:r>
          </w:p>
        </w:tc>
      </w:tr>
    </w:tbl>
    <w:p w:rsidR="0017040C" w:rsidRPr="009A5CC8" w:rsidRDefault="0017040C" w:rsidP="0017040C">
      <w:pPr>
        <w:ind w:firstLine="709"/>
        <w:jc w:val="both"/>
        <w:rPr>
          <w:rFonts w:eastAsia="Calibri"/>
          <w:lang w:eastAsia="en-US"/>
        </w:rPr>
      </w:pPr>
    </w:p>
    <w:p w:rsidR="0017040C" w:rsidRPr="001E2ABB" w:rsidRDefault="0017040C" w:rsidP="0017040C">
      <w:pPr>
        <w:ind w:firstLine="709"/>
        <w:jc w:val="both"/>
        <w:rPr>
          <w:rFonts w:eastAsia="Calibri"/>
          <w:color w:val="FF0000"/>
          <w:lang w:eastAsia="en-US"/>
        </w:rPr>
      </w:pPr>
      <w:r w:rsidRPr="001E2ABB">
        <w:rPr>
          <w:rFonts w:eastAsia="Calibri"/>
          <w:color w:val="FF0000"/>
          <w:lang w:eastAsia="en-US"/>
        </w:rPr>
        <w:t>Предложение участника о цене договора, единицы услуги не должно превышать начальную (максимальную) цену договора, единицы каждой услуги.</w:t>
      </w:r>
    </w:p>
    <w:p w:rsidR="0017040C" w:rsidRPr="009A5CC8" w:rsidRDefault="0017040C" w:rsidP="0017040C">
      <w:pPr>
        <w:ind w:firstLine="709"/>
        <w:jc w:val="both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Цена договора включает в себя все расходы, связанные с исполнением договора, указанные в проекте договора (Часть 3 «Проект договора» Тома 1 закупочной документации)</w:t>
      </w:r>
      <w:r>
        <w:rPr>
          <w:rFonts w:eastAsia="Calibri"/>
          <w:lang w:eastAsia="en-US"/>
        </w:rPr>
        <w:t>.</w:t>
      </w:r>
    </w:p>
    <w:p w:rsidR="0017040C" w:rsidRPr="009A5CC8" w:rsidRDefault="0017040C" w:rsidP="0017040C">
      <w:pPr>
        <w:ind w:firstLine="709"/>
        <w:jc w:val="both"/>
        <w:rPr>
          <w:rFonts w:eastAsia="Calibri"/>
          <w:lang w:eastAsia="en-US"/>
        </w:rPr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bCs/>
          <w:lang w:eastAsia="en-US"/>
        </w:rPr>
      </w:pPr>
      <w:r w:rsidRPr="009A5CC8">
        <w:rPr>
          <w:rFonts w:eastAsia="Calibri"/>
          <w:lang w:eastAsia="en-US"/>
        </w:rPr>
        <w:t>Официальный язык закупки: русский</w:t>
      </w:r>
      <w:r w:rsidRPr="009A5CC8">
        <w:rPr>
          <w:rFonts w:eastAsia="Calibri"/>
          <w:b/>
          <w:i/>
          <w:lang w:eastAsia="en-US"/>
        </w:rPr>
        <w:t>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bCs/>
          <w:lang w:eastAsia="en-US"/>
        </w:rPr>
      </w:pPr>
      <w:bookmarkStart w:id="3" w:name="_Ref317253353"/>
      <w:r w:rsidRPr="009A5CC8">
        <w:rPr>
          <w:rFonts w:eastAsia="Calibri"/>
          <w:lang w:eastAsia="en-US"/>
        </w:rPr>
        <w:t>Заявка на участие в закупке, подготовленная участником закупки, а также вся корреспонденция и документация, связанная с закупкой, которыми обмениваются участники закупки и организатор закупки, должны быть написаны на русском языке.</w:t>
      </w:r>
      <w:bookmarkEnd w:id="3"/>
      <w:r w:rsidRPr="009A5CC8">
        <w:rPr>
          <w:rFonts w:eastAsia="Calibri"/>
          <w:lang w:eastAsia="en-US"/>
        </w:rPr>
        <w:t xml:space="preserve"> Документы, составленные на другом языке, должны сопровождаться переводом на русский язык. Закупочная комиссия рассматривает документы только на русском языке. Документы, составленные на других языках, не сопровождающиеся переводом на русский язык, </w:t>
      </w:r>
      <w:r w:rsidRPr="0017040C">
        <w:rPr>
          <w:rFonts w:eastAsia="Calibri"/>
          <w:lang w:eastAsia="en-US"/>
        </w:rPr>
        <w:t>считаются не поданными и сведения, указанные в таких документах не учитываются при рассмотрении заявки на участие в закупке. Ответственность за достоверность перевода на русский язык несет участник закупки.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lang w:eastAsia="en-US"/>
        </w:rPr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Валюта закупки: Российский рубль.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Документы, оригиналы которых выданы участнику закупки третьими лицами с выражением сумм денежных средств в иных валютах, должны сопровождаться переводом этих сумм в рубли, исходя из официального курса валюты, установленного Центральным банком РФ, с указанием такового курса и даты его установления.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b/>
          <w:i/>
        </w:rPr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 xml:space="preserve"> Обеспечение заявки на участие в закупке: </w:t>
      </w:r>
    </w:p>
    <w:p w:rsidR="0017040C" w:rsidRPr="0017040C" w:rsidRDefault="0017040C" w:rsidP="0017040C">
      <w:pPr>
        <w:ind w:firstLine="709"/>
        <w:jc w:val="both"/>
        <w:rPr>
          <w:rFonts w:eastAsia="Calibri"/>
          <w:b/>
          <w:i/>
          <w:lang w:eastAsia="en-US"/>
        </w:rPr>
      </w:pPr>
    </w:p>
    <w:p w:rsidR="0017040C" w:rsidRPr="0017040C" w:rsidRDefault="0017040C" w:rsidP="0017040C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7040C">
        <w:rPr>
          <w:rFonts w:ascii="Times New Roman" w:hAnsi="Times New Roman" w:cs="Times New Roman"/>
          <w:spacing w:val="-6"/>
          <w:sz w:val="24"/>
          <w:szCs w:val="24"/>
        </w:rPr>
        <w:t>денежные средства либо безотзывная независимая гарантия, выданная гарантом, соответствующим требованиям, предъявляемым к гарантам, предоставляющим обеспечение заявки, приведенным в пункте </w:t>
      </w:r>
      <w:fldSimple w:instr=" REF _Ref442945539 \r \h  \* MERGEFORMAT ">
        <w:r w:rsidRPr="0017040C">
          <w:rPr>
            <w:rFonts w:ascii="Times New Roman" w:hAnsi="Times New Roman" w:cs="Times New Roman"/>
            <w:spacing w:val="-6"/>
            <w:sz w:val="24"/>
            <w:szCs w:val="24"/>
          </w:rPr>
          <w:t>2.1.3</w:t>
        </w:r>
      </w:fldSimple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 раздела </w:t>
      </w:r>
      <w:fldSimple w:instr=" REF _Ref442945566 \r \h  \* MERGEFORMAT ">
        <w:r w:rsidRPr="0017040C">
          <w:rPr>
            <w:rFonts w:ascii="Times New Roman" w:hAnsi="Times New Roman" w:cs="Times New Roman"/>
            <w:spacing w:val="-6"/>
            <w:sz w:val="24"/>
            <w:szCs w:val="24"/>
          </w:rPr>
          <w:t>2</w:t>
        </w:r>
      </w:fldSimple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 части 1 Тома 1 закупочной документации:</w:t>
      </w:r>
    </w:p>
    <w:p w:rsidR="0017040C" w:rsidRPr="0017040C" w:rsidRDefault="0017040C" w:rsidP="0017040C">
      <w:pPr>
        <w:pStyle w:val="a8"/>
        <w:numPr>
          <w:ilvl w:val="0"/>
          <w:numId w:val="6"/>
        </w:numPr>
        <w:tabs>
          <w:tab w:val="left" w:pos="1134"/>
        </w:tabs>
        <w:ind w:left="0" w:firstLine="851"/>
        <w:contextualSpacing w:val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7040C">
        <w:rPr>
          <w:rFonts w:ascii="Times New Roman" w:hAnsi="Times New Roman" w:cs="Times New Roman"/>
          <w:spacing w:val="-6"/>
          <w:sz w:val="24"/>
          <w:szCs w:val="24"/>
        </w:rPr>
        <w:t>для гарантов, являющихся банком – требованиям, предъявляемым к банкам;</w:t>
      </w:r>
    </w:p>
    <w:p w:rsidR="0017040C" w:rsidRPr="0017040C" w:rsidRDefault="0017040C" w:rsidP="0017040C">
      <w:pPr>
        <w:pStyle w:val="a8"/>
        <w:numPr>
          <w:ilvl w:val="0"/>
          <w:numId w:val="6"/>
        </w:numPr>
        <w:tabs>
          <w:tab w:val="left" w:pos="1134"/>
        </w:tabs>
        <w:ind w:left="0" w:firstLine="851"/>
        <w:contextualSpacing w:val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для гарантов, не являющихся банком – требованиям, предъявляемым к юридическим лицам, предоставляющим финансовое обеспечение обязательств участника закупок </w:t>
      </w:r>
      <w:r w:rsidRPr="0017040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7040C">
        <w:rPr>
          <w:rFonts w:ascii="Times New Roman" w:hAnsi="Times New Roman" w:cs="Times New Roman"/>
          <w:sz w:val="24"/>
          <w:szCs w:val="24"/>
        </w:rPr>
        <w:t>аналогичные</w:t>
      </w:r>
      <w:proofErr w:type="gramEnd"/>
      <w:r w:rsidRPr="0017040C">
        <w:rPr>
          <w:rFonts w:ascii="Times New Roman" w:hAnsi="Times New Roman" w:cs="Times New Roman"/>
          <w:sz w:val="24"/>
          <w:szCs w:val="24"/>
        </w:rPr>
        <w:t xml:space="preserve"> требованиям к поручителям)</w:t>
      </w:r>
      <w:r w:rsidRPr="0017040C">
        <w:rPr>
          <w:rFonts w:ascii="Times New Roman" w:hAnsi="Times New Roman" w:cs="Times New Roman"/>
          <w:spacing w:val="-6"/>
          <w:sz w:val="24"/>
          <w:szCs w:val="24"/>
        </w:rPr>
        <w:t>;</w:t>
      </w:r>
    </w:p>
    <w:p w:rsidR="0017040C" w:rsidRPr="0017040C" w:rsidRDefault="0017040C" w:rsidP="0017040C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7040C">
        <w:rPr>
          <w:rFonts w:ascii="Times New Roman" w:hAnsi="Times New Roman" w:cs="Times New Roman"/>
          <w:bCs/>
          <w:color w:val="000000"/>
          <w:sz w:val="24"/>
          <w:szCs w:val="24"/>
        </w:rPr>
        <w:t>176 000,00</w:t>
      </w:r>
      <w:r w:rsidRPr="0017040C">
        <w:rPr>
          <w:rFonts w:ascii="Times New Roman" w:hAnsi="Times New Roman" w:cs="Times New Roman"/>
          <w:sz w:val="24"/>
          <w:szCs w:val="24"/>
        </w:rPr>
        <w:t xml:space="preserve"> руб.</w:t>
      </w:r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17040C" w:rsidRPr="0017040C" w:rsidRDefault="0017040C" w:rsidP="0017040C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040C">
        <w:rPr>
          <w:rFonts w:ascii="Times New Roman" w:hAnsi="Times New Roman" w:cs="Times New Roman"/>
          <w:b/>
          <w:i/>
          <w:sz w:val="24"/>
          <w:szCs w:val="24"/>
        </w:rPr>
        <w:t>российский рубль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 xml:space="preserve">Получатель: Филиал АО «Концерн </w:t>
      </w:r>
      <w:proofErr w:type="spellStart"/>
      <w:r w:rsidRPr="0017040C">
        <w:rPr>
          <w:spacing w:val="-6"/>
        </w:rPr>
        <w:t>Росэнергоатом</w:t>
      </w:r>
      <w:proofErr w:type="spellEnd"/>
      <w:r w:rsidRPr="0017040C">
        <w:rPr>
          <w:spacing w:val="-6"/>
        </w:rPr>
        <w:t>» «Белоярская атомная станция»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 xml:space="preserve">ИНН 7721632827 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>КПП 663943002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 xml:space="preserve">Банковские реквизиты: </w:t>
      </w:r>
      <w:proofErr w:type="spellStart"/>
      <w:r w:rsidRPr="0017040C">
        <w:rPr>
          <w:spacing w:val="-6"/>
        </w:rPr>
        <w:t>р</w:t>
      </w:r>
      <w:proofErr w:type="spellEnd"/>
      <w:r w:rsidRPr="0017040C">
        <w:rPr>
          <w:spacing w:val="-6"/>
        </w:rPr>
        <w:t>/с 40702810416390033158 в Уральском банке СБ РФ г</w:t>
      </w:r>
      <w:proofErr w:type="gramStart"/>
      <w:r w:rsidRPr="0017040C">
        <w:rPr>
          <w:spacing w:val="-6"/>
        </w:rPr>
        <w:t>.Е</w:t>
      </w:r>
      <w:proofErr w:type="gramEnd"/>
      <w:r w:rsidRPr="0017040C">
        <w:rPr>
          <w:spacing w:val="-6"/>
        </w:rPr>
        <w:t xml:space="preserve">катеринбург, 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>к/с 30101810500000000674, БИК 046577674.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spacing w:val="-6"/>
        </w:rPr>
      </w:pPr>
      <w:r w:rsidRPr="0017040C">
        <w:rPr>
          <w:spacing w:val="-6"/>
        </w:rPr>
        <w:t>Назначение платежа: Обеспечение заявки на участие в закупке ___________________ (указывается наименование участника закупки, наименование закупки, номер процедуры на ЭТП), НДС не облагается.</w:t>
      </w:r>
    </w:p>
    <w:p w:rsidR="0017040C" w:rsidRPr="0017040C" w:rsidRDefault="0017040C" w:rsidP="0017040C">
      <w:pPr>
        <w:ind w:firstLine="709"/>
        <w:jc w:val="both"/>
        <w:rPr>
          <w:rFonts w:eastAsia="Calibri"/>
          <w:b/>
          <w:i/>
          <w:lang w:eastAsia="en-US"/>
        </w:rPr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Сведения о порядке проведения, в том числе об оформлении участия в закупке, определении лица, выигравшего закупку (порядок подведения итогов закупки):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</w:pPr>
      <w:r w:rsidRPr="0017040C">
        <w:t>Закупка проводится на электронной торговой площадке (ЭТП) Система электронных торгов B2B-Center: в сети «Интернет» по адресу: http://www.b2b-center.ru/ в порядке, установленном регламентом данной ЭТП в соответствии с условиями и требованиями закупочной документации.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</w:pPr>
      <w:r w:rsidRPr="0017040C">
        <w:t xml:space="preserve">Для участия в процедуре закупки участнику необходимо получить аккредитацию </w:t>
      </w:r>
      <w:proofErr w:type="gramStart"/>
      <w:r w:rsidRPr="0017040C">
        <w:t>на</w:t>
      </w:r>
      <w:proofErr w:type="gramEnd"/>
      <w:r w:rsidRPr="0017040C">
        <w:t xml:space="preserve"> </w:t>
      </w:r>
      <w:proofErr w:type="gramStart"/>
      <w:r w:rsidRPr="0017040C">
        <w:t>указанной</w:t>
      </w:r>
      <w:proofErr w:type="gramEnd"/>
      <w:r w:rsidRPr="0017040C">
        <w:t xml:space="preserve"> ЭТП в соответствии с правилами, условиями и порядком аккредитации, установленными данной ЭТП, и подать заявку на участие в закупке в срок, указанный в настоящем извещении о проведении закупки.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color w:val="FF0000"/>
        </w:rPr>
      </w:pPr>
      <w:bookmarkStart w:id="4" w:name="_Ref438465267"/>
      <w:r w:rsidRPr="0017040C">
        <w:t>Заявка на участие в закупке должна быть действительна не менее 9</w:t>
      </w:r>
      <w:r w:rsidRPr="0017040C">
        <w:rPr>
          <w:b/>
          <w:i/>
        </w:rPr>
        <w:t>0</w:t>
      </w:r>
      <w:r w:rsidRPr="0017040C">
        <w:t xml:space="preserve"> календарных дней со дня окончания срока подачи заявок.</w:t>
      </w:r>
      <w:bookmarkEnd w:id="4"/>
    </w:p>
    <w:p w:rsidR="0017040C" w:rsidRPr="002B4238" w:rsidRDefault="0017040C" w:rsidP="0017040C">
      <w:pPr>
        <w:tabs>
          <w:tab w:val="left" w:pos="1134"/>
        </w:tabs>
        <w:ind w:firstLine="709"/>
        <w:contextualSpacing/>
        <w:jc w:val="both"/>
      </w:pPr>
      <w:r w:rsidRPr="0017040C">
        <w:t>Победителем закупки признается, по решению закупочной комиссии, допущенный</w:t>
      </w:r>
      <w:r w:rsidRPr="002B4238">
        <w:t xml:space="preserve"> участник закупки, предложивший наилучшие условия исполнения договора, по совокупности критериев, объявленных в закупочной документации.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  <w:r w:rsidRPr="009A5CC8">
        <w:t>При этом победитель закупки определяется с учетом Постановления 925.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  <w:r w:rsidRPr="009A5CC8">
        <w:t>При необходимости, для определения случаев предоставления приоритета, применяется порядок, предусмотренный пунктом 5 данного Постановления:</w:t>
      </w:r>
    </w:p>
    <w:p w:rsidR="0017040C" w:rsidRPr="009A5CC8" w:rsidRDefault="0017040C" w:rsidP="0017040C">
      <w:pPr>
        <w:pStyle w:val="a6"/>
        <w:numPr>
          <w:ilvl w:val="1"/>
          <w:numId w:val="4"/>
        </w:numPr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для целей установления соотношения цены оказания услуг российскими и иностранными лицами,</w:t>
      </w:r>
    </w:p>
    <w:p w:rsidR="0017040C" w:rsidRPr="009A5CC8" w:rsidRDefault="0017040C" w:rsidP="0017040C">
      <w:pPr>
        <w:pStyle w:val="a6"/>
        <w:numPr>
          <w:ilvl w:val="1"/>
          <w:numId w:val="4"/>
        </w:numPr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отнесения участника закупки к российским или иностранным лицам.</w:t>
      </w:r>
    </w:p>
    <w:p w:rsidR="0017040C" w:rsidRPr="009A5CC8" w:rsidRDefault="0017040C" w:rsidP="0017040C">
      <w:pPr>
        <w:pStyle w:val="a6"/>
        <w:ind w:left="709" w:firstLine="0"/>
        <w:rPr>
          <w:rFonts w:eastAsia="Calibri"/>
          <w:lang w:eastAsia="en-US"/>
        </w:rPr>
      </w:pPr>
    </w:p>
    <w:p w:rsidR="0017040C" w:rsidRPr="009A5CC8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9A5CC8">
        <w:rPr>
          <w:rFonts w:eastAsia="Calibri"/>
          <w:lang w:eastAsia="en-US"/>
        </w:rPr>
        <w:t>Порядок получения закупочной документации: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  <w:rPr>
          <w:b/>
          <w:i/>
        </w:rPr>
      </w:pPr>
      <w:r w:rsidRPr="009A5CC8">
        <w:t xml:space="preserve">На официальных сайтах закупочная документация находится в открытом доступе, начиная </w:t>
      </w:r>
      <w:proofErr w:type="gramStart"/>
      <w:r w:rsidRPr="009A5CC8">
        <w:t>с даты</w:t>
      </w:r>
      <w:proofErr w:type="gramEnd"/>
      <w:r w:rsidRPr="009A5CC8">
        <w:t xml:space="preserve"> официальной публикации.</w:t>
      </w:r>
      <w:r w:rsidRPr="009A5CC8">
        <w:rPr>
          <w:spacing w:val="-6"/>
        </w:rPr>
        <w:t xml:space="preserve"> Порядок получения закупочной документации на ЭТП определяется правилами данной ЭТП.</w:t>
      </w:r>
    </w:p>
    <w:p w:rsidR="0017040C" w:rsidRPr="009A5CC8" w:rsidRDefault="0017040C" w:rsidP="0017040C">
      <w:pPr>
        <w:tabs>
          <w:tab w:val="left" w:pos="1134"/>
        </w:tabs>
        <w:ind w:firstLine="709"/>
        <w:jc w:val="both"/>
      </w:pPr>
      <w:r w:rsidRPr="009A5CC8">
        <w:t>Официальная публикация документов по данной закупке: Официальный государственный сайт - Единая информационная система (</w:t>
      </w:r>
      <w:hyperlink r:id="rId5" w:history="1">
        <w:r w:rsidRPr="009A5CC8">
          <w:rPr>
            <w:rStyle w:val="a4"/>
            <w:rFonts w:eastAsia="Calibri"/>
            <w:lang w:eastAsia="en-US"/>
          </w:rPr>
          <w:t>http://zakupki.rosatom.ru</w:t>
        </w:r>
      </w:hyperlink>
      <w:r w:rsidRPr="009A5CC8">
        <w:rPr>
          <w:color w:val="000000" w:themeColor="text1"/>
        </w:rPr>
        <w:t>)</w:t>
      </w:r>
    </w:p>
    <w:p w:rsidR="0017040C" w:rsidRPr="009A5CC8" w:rsidRDefault="0017040C" w:rsidP="0017040C">
      <w:pPr>
        <w:tabs>
          <w:tab w:val="left" w:pos="386"/>
        </w:tabs>
        <w:ind w:firstLine="709"/>
        <w:jc w:val="both"/>
      </w:pPr>
      <w:r w:rsidRPr="009A5CC8">
        <w:t>Копии публикации документов по данной закупке:</w:t>
      </w:r>
    </w:p>
    <w:p w:rsidR="0017040C" w:rsidRPr="009A5CC8" w:rsidRDefault="0017040C" w:rsidP="0017040C">
      <w:pPr>
        <w:pStyle w:val="a6"/>
        <w:numPr>
          <w:ilvl w:val="0"/>
          <w:numId w:val="5"/>
        </w:numPr>
        <w:ind w:left="0" w:firstLine="709"/>
        <w:rPr>
          <w:rFonts w:eastAsia="Calibri"/>
          <w:spacing w:val="-6"/>
          <w:lang w:eastAsia="en-US"/>
        </w:rPr>
      </w:pPr>
      <w:r w:rsidRPr="009A5CC8">
        <w:rPr>
          <w:rFonts w:eastAsia="Calibri"/>
          <w:lang w:eastAsia="en-US"/>
        </w:rPr>
        <w:t xml:space="preserve">Официальный сайт по закупкам атомной отрасли </w:t>
      </w:r>
      <w:r w:rsidRPr="009A5CC8">
        <w:rPr>
          <w:rFonts w:eastAsia="Calibri"/>
          <w:spacing w:val="-6"/>
          <w:lang w:eastAsia="en-US"/>
        </w:rPr>
        <w:t>(</w:t>
      </w:r>
      <w:hyperlink r:id="rId6" w:history="1">
        <w:r w:rsidRPr="009A5CC8">
          <w:rPr>
            <w:rStyle w:val="a4"/>
            <w:rFonts w:eastAsia="Calibri"/>
            <w:color w:val="000000" w:themeColor="text1"/>
            <w:lang w:eastAsia="en-US"/>
          </w:rPr>
          <w:t>http://zakupki.rosatom.ru</w:t>
        </w:r>
      </w:hyperlink>
      <w:r w:rsidRPr="009A5CC8">
        <w:rPr>
          <w:rFonts w:eastAsia="Calibri"/>
          <w:spacing w:val="-6"/>
          <w:lang w:eastAsia="en-US"/>
        </w:rPr>
        <w:t>).</w:t>
      </w:r>
    </w:p>
    <w:p w:rsidR="0017040C" w:rsidRPr="001D7559" w:rsidRDefault="0017040C" w:rsidP="0017040C">
      <w:pPr>
        <w:pStyle w:val="a6"/>
        <w:numPr>
          <w:ilvl w:val="0"/>
          <w:numId w:val="5"/>
        </w:numPr>
        <w:ind w:left="0" w:firstLine="709"/>
        <w:rPr>
          <w:rStyle w:val="a4"/>
          <w:rFonts w:eastAsiaTheme="minorEastAsia"/>
        </w:rPr>
      </w:pPr>
      <w:r w:rsidRPr="009A5CC8">
        <w:rPr>
          <w:rFonts w:eastAsia="Calibri"/>
          <w:lang w:eastAsia="en-US"/>
        </w:rPr>
        <w:t xml:space="preserve">Электронная торговая площадка: </w:t>
      </w:r>
      <w:r w:rsidRPr="00164EF1">
        <w:rPr>
          <w:rFonts w:eastAsia="Calibri"/>
          <w:lang w:eastAsia="en-US"/>
        </w:rPr>
        <w:t>Система электронных торгов B2B-Center</w:t>
      </w:r>
      <w:r>
        <w:t xml:space="preserve"> </w:t>
      </w:r>
      <w:r w:rsidRPr="001D7559">
        <w:t xml:space="preserve"> </w:t>
      </w:r>
      <w:r>
        <w:br/>
      </w:r>
      <w:r w:rsidRPr="00E06AA9">
        <w:t>http://www.b2b-center.ru/</w:t>
      </w:r>
    </w:p>
    <w:p w:rsidR="0017040C" w:rsidRPr="009A5CC8" w:rsidRDefault="0017040C" w:rsidP="0017040C">
      <w:pPr>
        <w:pStyle w:val="a6"/>
        <w:tabs>
          <w:tab w:val="left" w:pos="386"/>
        </w:tabs>
        <w:ind w:left="709" w:firstLine="0"/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bCs/>
          <w:lang w:eastAsia="en-US"/>
        </w:rPr>
      </w:pPr>
      <w:r w:rsidRPr="0017040C">
        <w:rPr>
          <w:rFonts w:eastAsia="Calibri"/>
          <w:lang w:eastAsia="en-US"/>
        </w:rPr>
        <w:t>Привлечение соисполнителей (юридических или физических лиц, оказывающих часть услуг по договору): допускается.</w:t>
      </w:r>
    </w:p>
    <w:p w:rsidR="0017040C" w:rsidRPr="0017040C" w:rsidRDefault="0017040C" w:rsidP="0017040C">
      <w:pPr>
        <w:tabs>
          <w:tab w:val="left" w:pos="386"/>
        </w:tabs>
        <w:ind w:firstLine="709"/>
        <w:jc w:val="both"/>
        <w:rPr>
          <w:lang w:eastAsia="en-US"/>
        </w:rPr>
      </w:pPr>
      <w:r w:rsidRPr="0017040C">
        <w:rPr>
          <w:lang w:eastAsia="en-US"/>
        </w:rPr>
        <w:t xml:space="preserve">Объем привлечения соисполнителей определяются участником закупки самостоятельно. </w:t>
      </w:r>
    </w:p>
    <w:p w:rsidR="0017040C" w:rsidRPr="0017040C" w:rsidRDefault="0017040C" w:rsidP="0017040C">
      <w:pPr>
        <w:tabs>
          <w:tab w:val="left" w:pos="386"/>
        </w:tabs>
        <w:ind w:firstLine="709"/>
        <w:jc w:val="both"/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 xml:space="preserve">Возможность проведения процедуры переторжки: возможна по снижению первоначально указанной в заявке на участие в закупке цены </w:t>
      </w:r>
    </w:p>
    <w:p w:rsidR="0017040C" w:rsidRPr="0017040C" w:rsidRDefault="0017040C" w:rsidP="0017040C">
      <w:pPr>
        <w:tabs>
          <w:tab w:val="left" w:pos="386"/>
        </w:tabs>
        <w:ind w:firstLine="709"/>
        <w:jc w:val="both"/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 xml:space="preserve">Формы, порядок, дата начала и дата окончания срока предоставления участникам закупки разъяснений положений закупочной документации: 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bCs/>
          <w:spacing w:val="-6"/>
        </w:rPr>
      </w:pPr>
      <w:r w:rsidRPr="0017040C">
        <w:rPr>
          <w:bCs/>
          <w:spacing w:val="-6"/>
        </w:rPr>
        <w:t>Формы и порядок предоставления участникам закупки разъяснений положений закупочной документации указаны в п.2 части 2 Тома 1 закупочной документации.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bCs/>
          <w:spacing w:val="-6"/>
        </w:rPr>
      </w:pPr>
      <w:r w:rsidRPr="0017040C">
        <w:rPr>
          <w:bCs/>
          <w:spacing w:val="-6"/>
        </w:rPr>
        <w:t xml:space="preserve">Дата начала срока предоставления участникам закупки разъяснений положений закупочной документации: </w:t>
      </w:r>
      <w:r w:rsidRPr="0017040C">
        <w:rPr>
          <w:lang w:eastAsia="en-US"/>
        </w:rPr>
        <w:t xml:space="preserve">«23» сентября 2019 </w:t>
      </w:r>
      <w:r w:rsidRPr="0017040C">
        <w:rPr>
          <w:bCs/>
          <w:spacing w:val="-6"/>
        </w:rPr>
        <w:t>года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bCs/>
          <w:spacing w:val="-6"/>
        </w:rPr>
      </w:pPr>
      <w:r w:rsidRPr="0017040C">
        <w:rPr>
          <w:bCs/>
          <w:spacing w:val="-6"/>
        </w:rPr>
        <w:t xml:space="preserve">Дата окончания срока предоставления участникам закупки разъяснений положений закупочной документации на запрос, поступивший организатору закупки не позднее </w:t>
      </w:r>
      <w:r w:rsidRPr="0017040C">
        <w:rPr>
          <w:lang w:eastAsia="en-US"/>
        </w:rPr>
        <w:t>08:00</w:t>
      </w:r>
      <w:r w:rsidRPr="0017040C">
        <w:rPr>
          <w:bCs/>
          <w:spacing w:val="-6"/>
        </w:rPr>
        <w:t xml:space="preserve"> (время московское) </w:t>
      </w:r>
      <w:r w:rsidRPr="0017040C">
        <w:rPr>
          <w:bCs/>
          <w:spacing w:val="-6"/>
        </w:rPr>
        <w:br/>
      </w:r>
      <w:r w:rsidRPr="0017040C">
        <w:rPr>
          <w:lang w:eastAsia="en-US"/>
        </w:rPr>
        <w:t xml:space="preserve">«10» октября 2019 </w:t>
      </w:r>
      <w:r w:rsidRPr="0017040C">
        <w:rPr>
          <w:bCs/>
          <w:spacing w:val="-6"/>
        </w:rPr>
        <w:t xml:space="preserve">года: не позднее </w:t>
      </w:r>
      <w:r w:rsidRPr="0017040C">
        <w:rPr>
          <w:lang w:eastAsia="en-US"/>
        </w:rPr>
        <w:t>08:00</w:t>
      </w:r>
      <w:r w:rsidRPr="0017040C">
        <w:rPr>
          <w:bCs/>
          <w:spacing w:val="-6"/>
        </w:rPr>
        <w:t xml:space="preserve"> (время московское) </w:t>
      </w:r>
      <w:r w:rsidRPr="0017040C">
        <w:rPr>
          <w:lang w:eastAsia="en-US"/>
        </w:rPr>
        <w:t xml:space="preserve">«15» октября 2019 </w:t>
      </w:r>
      <w:r w:rsidRPr="0017040C">
        <w:rPr>
          <w:bCs/>
          <w:spacing w:val="-6"/>
        </w:rPr>
        <w:t>года</w:t>
      </w:r>
    </w:p>
    <w:p w:rsidR="0017040C" w:rsidRPr="0017040C" w:rsidRDefault="0017040C" w:rsidP="0017040C">
      <w:pPr>
        <w:tabs>
          <w:tab w:val="left" w:pos="386"/>
        </w:tabs>
        <w:ind w:firstLine="709"/>
        <w:jc w:val="both"/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 xml:space="preserve">Дата начала, дата и время окончания срока подачи заявок на участие в закупке (открытия доступа к поданным заявкам): 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bCs/>
          <w:spacing w:val="-6"/>
        </w:rPr>
      </w:pPr>
      <w:r w:rsidRPr="0017040C">
        <w:rPr>
          <w:bCs/>
          <w:spacing w:val="-6"/>
        </w:rPr>
        <w:t xml:space="preserve">Дата начала срока </w:t>
      </w:r>
      <w:r w:rsidRPr="0017040C">
        <w:rPr>
          <w:spacing w:val="-6"/>
        </w:rPr>
        <w:t>подачи заявок на участие в закупке</w:t>
      </w:r>
      <w:r w:rsidRPr="0017040C">
        <w:rPr>
          <w:bCs/>
          <w:spacing w:val="-6"/>
        </w:rPr>
        <w:t xml:space="preserve">: </w:t>
      </w:r>
      <w:r w:rsidRPr="0017040C">
        <w:rPr>
          <w:lang w:eastAsia="en-US"/>
        </w:rPr>
        <w:t xml:space="preserve">«23» сентября 2019 </w:t>
      </w:r>
      <w:r w:rsidRPr="0017040C">
        <w:rPr>
          <w:bCs/>
          <w:spacing w:val="-6"/>
        </w:rPr>
        <w:t>года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lang w:eastAsia="en-US"/>
        </w:rPr>
      </w:pPr>
      <w:r w:rsidRPr="0017040C">
        <w:rPr>
          <w:bCs/>
          <w:spacing w:val="-6"/>
        </w:rPr>
        <w:t xml:space="preserve">Дата и время окончания срока </w:t>
      </w:r>
      <w:r w:rsidRPr="0017040C">
        <w:rPr>
          <w:spacing w:val="-6"/>
        </w:rPr>
        <w:t>подачи заявок на участие в закупке</w:t>
      </w:r>
      <w:r w:rsidRPr="0017040C">
        <w:rPr>
          <w:bCs/>
          <w:spacing w:val="-6"/>
        </w:rPr>
        <w:t xml:space="preserve">: </w:t>
      </w:r>
      <w:r w:rsidRPr="0017040C">
        <w:rPr>
          <w:rFonts w:eastAsia="Calibri"/>
          <w:lang w:eastAsia="en-US"/>
        </w:rPr>
        <w:t xml:space="preserve">08:00 </w:t>
      </w:r>
      <w:r w:rsidRPr="0017040C">
        <w:rPr>
          <w:spacing w:val="-6"/>
        </w:rPr>
        <w:t xml:space="preserve">(время московское) </w:t>
      </w:r>
      <w:r w:rsidRPr="0017040C">
        <w:rPr>
          <w:spacing w:val="-6"/>
        </w:rPr>
        <w:br/>
      </w:r>
      <w:r w:rsidRPr="0017040C">
        <w:rPr>
          <w:rFonts w:eastAsia="Calibri"/>
          <w:lang w:eastAsia="en-US"/>
        </w:rPr>
        <w:t xml:space="preserve">«15» октября 2019 </w:t>
      </w:r>
      <w:r w:rsidRPr="0017040C">
        <w:rPr>
          <w:spacing w:val="-6"/>
        </w:rPr>
        <w:t>года.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spacing w:val="-6"/>
          <w:lang w:eastAsia="en-US"/>
        </w:rPr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Место и дата рассмотрения заявок и подведения итогов закупки:</w:t>
      </w:r>
    </w:p>
    <w:p w:rsidR="0017040C" w:rsidRPr="0017040C" w:rsidRDefault="0017040C" w:rsidP="0017040C">
      <w:pPr>
        <w:pStyle w:val="a6"/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Отборочная стадия рассмотрения заявок на участие в закупке: 624250 г. Заречный Свердловской области, а/я 149, Белоярская АЭС, не позднее «28» октября 2019 г.</w:t>
      </w:r>
    </w:p>
    <w:p w:rsidR="0017040C" w:rsidRPr="0017040C" w:rsidRDefault="0017040C" w:rsidP="0017040C">
      <w:pPr>
        <w:pStyle w:val="a6"/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>Оценочная стадия рассмотрения заявок на участие в закупке и подведение итогов закупки: 624250 г. Заречный Свердловской области, а/я 149, Белоярская АЭС, не позднее «05» ноября 2019 г.</w:t>
      </w:r>
    </w:p>
    <w:p w:rsidR="0017040C" w:rsidRPr="0017040C" w:rsidRDefault="0017040C" w:rsidP="0017040C">
      <w:pPr>
        <w:pStyle w:val="a6"/>
        <w:ind w:left="0" w:firstLine="709"/>
        <w:rPr>
          <w:rFonts w:eastAsia="Calibri"/>
          <w:lang w:eastAsia="en-US"/>
        </w:rPr>
      </w:pPr>
    </w:p>
    <w:p w:rsidR="0017040C" w:rsidRPr="0017040C" w:rsidRDefault="0017040C" w:rsidP="0017040C">
      <w:pPr>
        <w:pStyle w:val="a8"/>
        <w:numPr>
          <w:ilvl w:val="0"/>
          <w:numId w:val="9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Срок </w:t>
      </w:r>
      <w:r w:rsidRPr="0017040C">
        <w:rPr>
          <w:rFonts w:ascii="Times New Roman" w:hAnsi="Times New Roman" w:cs="Times New Roman"/>
          <w:sz w:val="24"/>
          <w:szCs w:val="24"/>
        </w:rPr>
        <w:t>заключения</w:t>
      </w:r>
      <w:r w:rsidRPr="0017040C">
        <w:rPr>
          <w:rFonts w:ascii="Times New Roman" w:hAnsi="Times New Roman" w:cs="Times New Roman"/>
          <w:spacing w:val="-6"/>
          <w:sz w:val="24"/>
          <w:szCs w:val="24"/>
        </w:rPr>
        <w:t xml:space="preserve"> договора: </w:t>
      </w:r>
      <w:r w:rsidRPr="0017040C">
        <w:rPr>
          <w:rFonts w:ascii="Times New Roman" w:hAnsi="Times New Roman" w:cs="Times New Roman"/>
          <w:sz w:val="24"/>
          <w:szCs w:val="24"/>
        </w:rPr>
        <w:t xml:space="preserve">в течение 20 (двадцати) дней, но не ранее чем через 10 (десять) дней после размещения на официальном сайте и на ЭТП протокола подведения итогов закупки, за исключением следующих случаев: 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</w:pPr>
      <w:r w:rsidRPr="0017040C">
        <w:t>действия (бездействие) заказчика, организатора закупки, закупочной комиссии, оператора ЭТП при осуществлении закупки обжалуются в антимонопольном органе либо в судебном порядке; в данном случае</w:t>
      </w:r>
      <w:r w:rsidRPr="0017040C">
        <w:rPr>
          <w:b/>
          <w:i/>
        </w:rPr>
        <w:t xml:space="preserve"> </w:t>
      </w:r>
      <w:r w:rsidRPr="0017040C">
        <w:t xml:space="preserve">договор заключается не позднее чем через 5 (пять) дней </w:t>
      </w:r>
      <w:proofErr w:type="gramStart"/>
      <w:r w:rsidRPr="0017040C">
        <w:t>с даты вынесения</w:t>
      </w:r>
      <w:proofErr w:type="gramEnd"/>
      <w:r w:rsidRPr="0017040C">
        <w:t xml:space="preserve"> решения антимонопольного органа или суда;</w:t>
      </w:r>
    </w:p>
    <w:p w:rsidR="0017040C" w:rsidRPr="00FE1BAB" w:rsidRDefault="0017040C" w:rsidP="0017040C">
      <w:pPr>
        <w:tabs>
          <w:tab w:val="left" w:pos="1134"/>
        </w:tabs>
        <w:ind w:firstLine="709"/>
        <w:contextualSpacing/>
        <w:jc w:val="both"/>
      </w:pPr>
      <w:r w:rsidRPr="00FE1BAB">
        <w:t xml:space="preserve">в соответствии с законодательством РФ для заключения необходимо его одобрение органом управления заказчика; в данном случае договор заключается не позднее чем через 5 (пять) дней </w:t>
      </w:r>
      <w:proofErr w:type="gramStart"/>
      <w:r w:rsidRPr="00FE1BAB">
        <w:t>с даты вынесения</w:t>
      </w:r>
      <w:proofErr w:type="gramEnd"/>
      <w:r w:rsidRPr="00FE1BAB">
        <w:t xml:space="preserve"> соответствующего одобрения;</w:t>
      </w:r>
    </w:p>
    <w:p w:rsidR="0017040C" w:rsidRPr="00FE1BAB" w:rsidRDefault="0017040C" w:rsidP="0017040C">
      <w:pPr>
        <w:tabs>
          <w:tab w:val="left" w:pos="1134"/>
        </w:tabs>
        <w:ind w:firstLine="709"/>
        <w:contextualSpacing/>
        <w:jc w:val="both"/>
      </w:pPr>
      <w:r w:rsidRPr="00FE1BAB">
        <w:t>если в соответствии с законодательством РФ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договора; в данном случае договор заключается в течение 20 дней со дня выполнения предписанных мероприятий.</w:t>
      </w:r>
      <w:bookmarkStart w:id="5" w:name="ч2аст91"/>
      <w:bookmarkStart w:id="6" w:name="ч2бст91"/>
      <w:bookmarkEnd w:id="5"/>
      <w:bookmarkEnd w:id="6"/>
    </w:p>
    <w:p w:rsidR="0017040C" w:rsidRPr="00FE1BAB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proofErr w:type="gramStart"/>
      <w:r w:rsidRPr="00FE1BAB">
        <w:rPr>
          <w:rFonts w:eastAsia="Calibri"/>
          <w:spacing w:val="-6"/>
          <w:lang w:eastAsia="en-US"/>
        </w:rPr>
        <w:t>Заказчик в течение 10 (десяти) дней со дня размещения протокола заседания закупочной комиссии по подведению итогов закупки на официальном сайте и ЭТП, либо со дня завершения выше указанных мероприятий, передает лицу, с которым заключается договор (победителю закупки или единственному участнику закупки), проект договора, который составляется путем включения условий исполнения договора, предложенных лицом, с которым заключается договор, в заявке на участие</w:t>
      </w:r>
      <w:proofErr w:type="gramEnd"/>
      <w:r w:rsidRPr="00FE1BAB">
        <w:rPr>
          <w:rFonts w:eastAsia="Calibri"/>
          <w:spacing w:val="-6"/>
          <w:lang w:eastAsia="en-US"/>
        </w:rPr>
        <w:t xml:space="preserve"> в закупке, с учетом преддоговорных переговоров, в проект договора, прилагаемый к закупочной документации.</w:t>
      </w:r>
    </w:p>
    <w:p w:rsidR="0017040C" w:rsidRPr="00FE1BAB" w:rsidRDefault="0017040C" w:rsidP="0017040C">
      <w:pPr>
        <w:tabs>
          <w:tab w:val="left" w:pos="1134"/>
        </w:tabs>
        <w:ind w:firstLine="709"/>
        <w:contextualSpacing/>
        <w:jc w:val="both"/>
      </w:pPr>
      <w:r w:rsidRPr="00FE1BAB">
        <w:rPr>
          <w:rFonts w:eastAsia="Calibri"/>
          <w:spacing w:val="-6"/>
          <w:lang w:eastAsia="en-US"/>
        </w:rPr>
        <w:t>Заказчик должен обеспечить получение подтверждения от лица, с которым заключается договор, что данный проект договора таким лицом получен.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  <w:lang w:eastAsia="en-US"/>
        </w:rPr>
        <w:t>Лицо, с которым заключается договор, обязано предоставить заказчику подписанный и заверенный печатью со своей стороны договор в течение 3 (трех) рабочих дней со дня направления указанного договора.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</w:pPr>
      <w:r w:rsidRPr="0017040C">
        <w:t>При заключении договора дополнительно фиксируется договорной коэффициент, определяемый как отношение цены договора, предложенной в заявке лица, с которым заключается договор, к начальной (максимальной) цене договора (в текущих ценах). Данный коэффициент учитывается при расчетах стоимости фактически выполненных контрагентом работ по договору.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b/>
          <w:i/>
        </w:rPr>
        <w:t xml:space="preserve"> </w:t>
      </w:r>
      <w:r w:rsidRPr="0017040C">
        <w:rPr>
          <w:rFonts w:eastAsia="Calibri"/>
          <w:spacing w:val="-6"/>
          <w:lang w:eastAsia="en-US"/>
        </w:rPr>
        <w:t xml:space="preserve">В случае предоставления приоритета согласно Постановлению 925 при уклонении победителя закупки от заключения договора, договор заключается с участником закупки, занявшим следующее место в </w:t>
      </w:r>
      <w:proofErr w:type="spellStart"/>
      <w:r w:rsidRPr="0017040C">
        <w:rPr>
          <w:rFonts w:eastAsia="Calibri"/>
          <w:spacing w:val="-6"/>
          <w:lang w:eastAsia="en-US"/>
        </w:rPr>
        <w:t>ранжировке</w:t>
      </w:r>
      <w:proofErr w:type="spellEnd"/>
      <w:r w:rsidRPr="0017040C">
        <w:rPr>
          <w:rFonts w:eastAsia="Calibri"/>
          <w:spacing w:val="-6"/>
          <w:lang w:eastAsia="en-US"/>
        </w:rPr>
        <w:t>.</w:t>
      </w:r>
    </w:p>
    <w:p w:rsidR="0017040C" w:rsidRPr="0017040C" w:rsidRDefault="0017040C" w:rsidP="0017040C">
      <w:pPr>
        <w:pStyle w:val="a6"/>
        <w:ind w:left="709" w:firstLine="0"/>
        <w:rPr>
          <w:spacing w:val="-6"/>
          <w:lang w:eastAsia="en-US"/>
        </w:rPr>
      </w:pPr>
    </w:p>
    <w:p w:rsidR="0017040C" w:rsidRPr="0017040C" w:rsidRDefault="0017040C" w:rsidP="0017040C">
      <w:pPr>
        <w:pStyle w:val="a6"/>
        <w:numPr>
          <w:ilvl w:val="0"/>
          <w:numId w:val="3"/>
        </w:numPr>
        <w:ind w:left="0" w:firstLine="709"/>
        <w:rPr>
          <w:rFonts w:eastAsia="Calibri"/>
          <w:lang w:eastAsia="en-US"/>
        </w:rPr>
      </w:pPr>
      <w:r w:rsidRPr="0017040C">
        <w:rPr>
          <w:rFonts w:eastAsia="Calibri"/>
          <w:lang w:eastAsia="en-US"/>
        </w:rPr>
        <w:t xml:space="preserve">Обеспечение исполнения обязательств по договору: </w:t>
      </w:r>
    </w:p>
    <w:p w:rsidR="0017040C" w:rsidRPr="0017040C" w:rsidRDefault="0017040C" w:rsidP="0017040C">
      <w:pPr>
        <w:pStyle w:val="a8"/>
        <w:numPr>
          <w:ilvl w:val="0"/>
          <w:numId w:val="8"/>
        </w:numPr>
        <w:tabs>
          <w:tab w:val="left" w:pos="1134"/>
        </w:tabs>
        <w:ind w:left="0" w:right="153"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ab/>
        <w:t>обеспечение исполнения договора в размере 5% от цены договора</w:t>
      </w:r>
      <w:r w:rsidRPr="0017040C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b/>
          <w:i/>
          <w:lang w:eastAsia="en-US"/>
        </w:rPr>
      </w:pPr>
      <w:r w:rsidRPr="0017040C">
        <w:t xml:space="preserve">Антидемпинговые меры: если лицом, с которым заключается договор, предложена цена договора (с учетом всех переторжек), которая на 25% и </w:t>
      </w:r>
      <w:proofErr w:type="gramStart"/>
      <w:r w:rsidRPr="0017040C">
        <w:t>более ниже</w:t>
      </w:r>
      <w:proofErr w:type="gramEnd"/>
      <w:r w:rsidRPr="0017040C">
        <w:t xml:space="preserve"> НМЦ, такое лицо предоставляет обеспечение исполнения договора в размере 7,5% от НМЦ.</w:t>
      </w:r>
    </w:p>
    <w:p w:rsidR="0017040C" w:rsidRPr="0017040C" w:rsidRDefault="0017040C" w:rsidP="0017040C">
      <w:pPr>
        <w:tabs>
          <w:tab w:val="left" w:pos="1134"/>
        </w:tabs>
        <w:ind w:firstLine="709"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  <w:lang w:eastAsia="en-US"/>
        </w:rPr>
        <w:t>В случае предоставления обеспечения исполнения обязательств по договору в форме:</w:t>
      </w:r>
    </w:p>
    <w:p w:rsidR="0017040C" w:rsidRPr="0017040C" w:rsidRDefault="0017040C" w:rsidP="0017040C">
      <w:pPr>
        <w:numPr>
          <w:ilvl w:val="0"/>
          <w:numId w:val="8"/>
        </w:numPr>
        <w:tabs>
          <w:tab w:val="left" w:pos="1134"/>
        </w:tabs>
        <w:ind w:left="0" w:right="153"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</w:rPr>
        <w:t>безотзывной банковской гарантии, выданной банком, такое обеспечение предоставляется в соответствии с требованиями, приведенным в пункте 2.1.3 раздела 2 части 1 Тома 1 закупочной документации;</w:t>
      </w:r>
    </w:p>
    <w:p w:rsidR="0017040C" w:rsidRPr="0017040C" w:rsidRDefault="0017040C" w:rsidP="0017040C">
      <w:pPr>
        <w:numPr>
          <w:ilvl w:val="0"/>
          <w:numId w:val="8"/>
        </w:numPr>
        <w:tabs>
          <w:tab w:val="left" w:pos="1134"/>
        </w:tabs>
        <w:ind w:left="0" w:right="153" w:firstLine="709"/>
        <w:contextualSpacing/>
        <w:jc w:val="both"/>
        <w:rPr>
          <w:rFonts w:eastAsia="Calibri"/>
          <w:spacing w:val="-6"/>
        </w:rPr>
      </w:pPr>
      <w:r w:rsidRPr="0017040C">
        <w:rPr>
          <w:rFonts w:eastAsia="Calibri"/>
          <w:spacing w:val="-6"/>
        </w:rPr>
        <w:t xml:space="preserve">поручительства, такое обеспечение предоставляется в соответствии с требованиями, </w:t>
      </w:r>
      <w:proofErr w:type="gramStart"/>
      <w:r w:rsidRPr="0017040C">
        <w:rPr>
          <w:rFonts w:eastAsia="Calibri"/>
          <w:spacing w:val="-6"/>
        </w:rPr>
        <w:t>приведенным</w:t>
      </w:r>
      <w:proofErr w:type="gramEnd"/>
      <w:r w:rsidRPr="0017040C">
        <w:rPr>
          <w:rFonts w:eastAsia="Calibri"/>
          <w:spacing w:val="-6"/>
        </w:rPr>
        <w:t xml:space="preserve"> в пункте 2.1.3 раздела 2 части 1 Тома 1 закупочной документации;</w:t>
      </w:r>
    </w:p>
    <w:p w:rsidR="0017040C" w:rsidRPr="0017040C" w:rsidRDefault="0017040C" w:rsidP="0017040C">
      <w:pPr>
        <w:numPr>
          <w:ilvl w:val="0"/>
          <w:numId w:val="8"/>
        </w:numPr>
        <w:tabs>
          <w:tab w:val="left" w:pos="1134"/>
        </w:tabs>
        <w:ind w:left="0" w:right="153" w:firstLine="709"/>
        <w:contextualSpacing/>
        <w:jc w:val="both"/>
        <w:rPr>
          <w:rFonts w:eastAsia="Calibri"/>
          <w:spacing w:val="-6"/>
        </w:rPr>
      </w:pPr>
      <w:r w:rsidRPr="0017040C">
        <w:rPr>
          <w:rFonts w:eastAsia="Calibri"/>
          <w:spacing w:val="-6"/>
        </w:rPr>
        <w:t>денежных средств, такое обеспечение предоставляется</w:t>
      </w:r>
      <w:r w:rsidRPr="0017040C">
        <w:t xml:space="preserve"> </w:t>
      </w:r>
      <w:r w:rsidRPr="0017040C">
        <w:rPr>
          <w:rFonts w:eastAsia="Calibri"/>
          <w:spacing w:val="-6"/>
        </w:rPr>
        <w:t>путем их перечисления заказчику по следующим реквизитам: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Покупатель, заказчик: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 xml:space="preserve">АО «Концерн </w:t>
      </w:r>
      <w:proofErr w:type="spellStart"/>
      <w:r w:rsidRPr="0017040C">
        <w:rPr>
          <w:rFonts w:eastAsia="Calibri"/>
          <w:i/>
          <w:spacing w:val="-6"/>
          <w:lang w:eastAsia="en-US"/>
        </w:rPr>
        <w:t>Росэнергоатом</w:t>
      </w:r>
      <w:proofErr w:type="spellEnd"/>
      <w:r w:rsidRPr="0017040C">
        <w:rPr>
          <w:rFonts w:eastAsia="Calibri"/>
          <w:i/>
          <w:spacing w:val="-6"/>
          <w:lang w:eastAsia="en-US"/>
        </w:rPr>
        <w:t>»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Адрес: 109507 г. Москва, ул. Ферганская, д.25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ИНН/КПП 7721632827/663943002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Грузополучатель: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 xml:space="preserve">Филиал АО «Концерн </w:t>
      </w:r>
      <w:proofErr w:type="spellStart"/>
      <w:r w:rsidRPr="0017040C">
        <w:rPr>
          <w:rFonts w:eastAsia="Calibri"/>
          <w:i/>
          <w:spacing w:val="-6"/>
          <w:lang w:eastAsia="en-US"/>
        </w:rPr>
        <w:t>Росэнергоатом</w:t>
      </w:r>
      <w:proofErr w:type="spellEnd"/>
      <w:r w:rsidRPr="0017040C">
        <w:rPr>
          <w:rFonts w:eastAsia="Calibri"/>
          <w:i/>
          <w:spacing w:val="-6"/>
          <w:lang w:eastAsia="en-US"/>
        </w:rPr>
        <w:t>» «Белоярская атомная станция»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ИНН/КПП 7721632827/663943002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 xml:space="preserve">Адрес: 624250, г. Заречный, </w:t>
      </w:r>
      <w:proofErr w:type="gramStart"/>
      <w:r w:rsidRPr="0017040C">
        <w:rPr>
          <w:rFonts w:eastAsia="Calibri"/>
          <w:i/>
          <w:spacing w:val="-6"/>
          <w:lang w:eastAsia="en-US"/>
        </w:rPr>
        <w:t>Свердловской</w:t>
      </w:r>
      <w:proofErr w:type="gramEnd"/>
      <w:r w:rsidRPr="0017040C">
        <w:rPr>
          <w:rFonts w:eastAsia="Calibri"/>
          <w:i/>
          <w:spacing w:val="-6"/>
          <w:lang w:eastAsia="en-US"/>
        </w:rPr>
        <w:t xml:space="preserve"> обл., абонентский ящик 149,150 т. 34377-36359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Код ОКПО 08614718, ОГРН 5087746119951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Банковские реквизиты: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 xml:space="preserve">Получатель: Филиал АО «Концерн </w:t>
      </w:r>
      <w:proofErr w:type="spellStart"/>
      <w:r w:rsidRPr="0017040C">
        <w:rPr>
          <w:rFonts w:eastAsia="Calibri"/>
          <w:i/>
          <w:spacing w:val="-6"/>
          <w:lang w:eastAsia="en-US"/>
        </w:rPr>
        <w:t>Росэнергоатом</w:t>
      </w:r>
      <w:proofErr w:type="spellEnd"/>
      <w:r w:rsidRPr="0017040C">
        <w:rPr>
          <w:rFonts w:eastAsia="Calibri"/>
          <w:i/>
          <w:spacing w:val="-6"/>
          <w:lang w:eastAsia="en-US"/>
        </w:rPr>
        <w:t>» «Белоярская атомная станция»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proofErr w:type="spellStart"/>
      <w:proofErr w:type="gramStart"/>
      <w:r w:rsidRPr="0017040C">
        <w:rPr>
          <w:rFonts w:eastAsia="Calibri"/>
          <w:i/>
          <w:spacing w:val="-6"/>
          <w:lang w:eastAsia="en-US"/>
        </w:rPr>
        <w:t>р</w:t>
      </w:r>
      <w:proofErr w:type="spellEnd"/>
      <w:proofErr w:type="gramEnd"/>
      <w:r w:rsidRPr="0017040C">
        <w:rPr>
          <w:rFonts w:eastAsia="Calibri"/>
          <w:i/>
          <w:spacing w:val="-6"/>
          <w:lang w:eastAsia="en-US"/>
        </w:rPr>
        <w:t>/с 40702810416390033158  в Уральском банке СБ РФ г. Екатеринбург,</w:t>
      </w:r>
    </w:p>
    <w:p w:rsidR="0017040C" w:rsidRPr="0017040C" w:rsidRDefault="0017040C" w:rsidP="0017040C">
      <w:pPr>
        <w:tabs>
          <w:tab w:val="left" w:pos="1134"/>
        </w:tabs>
        <w:ind w:left="709"/>
        <w:contextualSpacing/>
        <w:jc w:val="both"/>
        <w:rPr>
          <w:rFonts w:eastAsia="Calibri"/>
          <w:i/>
          <w:spacing w:val="-6"/>
          <w:lang w:eastAsia="en-US"/>
        </w:rPr>
      </w:pPr>
      <w:r w:rsidRPr="0017040C">
        <w:rPr>
          <w:rFonts w:eastAsia="Calibri"/>
          <w:i/>
          <w:spacing w:val="-6"/>
          <w:lang w:eastAsia="en-US"/>
        </w:rPr>
        <w:t>к/с 30101810500000000674  БИК 046577674.</w:t>
      </w:r>
    </w:p>
    <w:p w:rsidR="0017040C" w:rsidRPr="0017040C" w:rsidRDefault="0017040C" w:rsidP="0017040C">
      <w:pPr>
        <w:tabs>
          <w:tab w:val="left" w:pos="0"/>
          <w:tab w:val="left" w:pos="1134"/>
        </w:tabs>
        <w:ind w:firstLine="709"/>
        <w:contextualSpacing/>
        <w:jc w:val="both"/>
        <w:rPr>
          <w:lang w:eastAsia="en-US"/>
        </w:rPr>
      </w:pPr>
    </w:p>
    <w:p w:rsidR="0017040C" w:rsidRPr="0017040C" w:rsidRDefault="0017040C" w:rsidP="0017040C">
      <w:pPr>
        <w:pStyle w:val="a8"/>
        <w:numPr>
          <w:ilvl w:val="0"/>
          <w:numId w:val="9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b/>
          <w:sz w:val="24"/>
          <w:szCs w:val="24"/>
        </w:rPr>
        <w:t>Отмена закупки</w:t>
      </w:r>
      <w:r w:rsidRPr="0017040C">
        <w:rPr>
          <w:rFonts w:ascii="Times New Roman" w:hAnsi="Times New Roman" w:cs="Times New Roman"/>
          <w:sz w:val="24"/>
          <w:szCs w:val="24"/>
        </w:rPr>
        <w:t xml:space="preserve"> по решению заказчика не приводит к каким-либо последствиям в следующих случаях:</w:t>
      </w:r>
    </w:p>
    <w:p w:rsidR="0017040C" w:rsidRPr="0017040C" w:rsidRDefault="0017040C" w:rsidP="0017040C">
      <w:pPr>
        <w:numPr>
          <w:ilvl w:val="0"/>
          <w:numId w:val="10"/>
        </w:numPr>
        <w:tabs>
          <w:tab w:val="left" w:pos="0"/>
        </w:tabs>
        <w:ind w:left="0" w:firstLine="709"/>
        <w:jc w:val="both"/>
      </w:pPr>
      <w:r w:rsidRPr="0017040C">
        <w:t>изменение финансовых, инвестиционных, производственных и иных программ, оказавших влияние на потребность в данной закупке;</w:t>
      </w:r>
    </w:p>
    <w:p w:rsidR="0017040C" w:rsidRPr="0017040C" w:rsidRDefault="0017040C" w:rsidP="0017040C">
      <w:pPr>
        <w:numPr>
          <w:ilvl w:val="0"/>
          <w:numId w:val="10"/>
        </w:numPr>
        <w:tabs>
          <w:tab w:val="left" w:pos="0"/>
        </w:tabs>
        <w:ind w:left="0" w:firstLine="709"/>
        <w:jc w:val="both"/>
      </w:pPr>
      <w:r w:rsidRPr="0017040C">
        <w:rPr>
          <w:bCs/>
        </w:rPr>
        <w:t>изменение потребности в продукции, в том числе изменение характеристик продукции, при наличии утверждения таких изменений руководителем заказчика;</w:t>
      </w:r>
    </w:p>
    <w:p w:rsidR="0017040C" w:rsidRPr="0017040C" w:rsidRDefault="0017040C" w:rsidP="0017040C">
      <w:pPr>
        <w:numPr>
          <w:ilvl w:val="0"/>
          <w:numId w:val="10"/>
        </w:numPr>
        <w:tabs>
          <w:tab w:val="left" w:pos="0"/>
        </w:tabs>
        <w:ind w:left="0" w:firstLine="709"/>
        <w:jc w:val="both"/>
      </w:pPr>
      <w:r w:rsidRPr="0017040C">
        <w:rPr>
          <w:bCs/>
        </w:rPr>
        <w:t>при возникновении обстоятельств непреодолимой силы, подтвержденных соответствующим документом и влияющих на целесообразность закупки;</w:t>
      </w:r>
    </w:p>
    <w:p w:rsidR="0017040C" w:rsidRPr="0017040C" w:rsidRDefault="0017040C" w:rsidP="0017040C">
      <w:pPr>
        <w:numPr>
          <w:ilvl w:val="0"/>
          <w:numId w:val="10"/>
        </w:numPr>
        <w:tabs>
          <w:tab w:val="left" w:pos="0"/>
        </w:tabs>
        <w:ind w:left="0" w:firstLine="709"/>
        <w:jc w:val="both"/>
      </w:pPr>
      <w:r w:rsidRPr="0017040C">
        <w:rPr>
          <w:bCs/>
        </w:rPr>
        <w:t>необходимость исполнения предписаний антимонопольного органа и/или рекомендаций ЦАК, АК и/или иного уполномоченного контролирующего органа;</w:t>
      </w:r>
    </w:p>
    <w:p w:rsidR="0017040C" w:rsidRPr="0017040C" w:rsidRDefault="0017040C" w:rsidP="0017040C">
      <w:pPr>
        <w:numPr>
          <w:ilvl w:val="0"/>
          <w:numId w:val="10"/>
        </w:numPr>
        <w:tabs>
          <w:tab w:val="left" w:pos="0"/>
        </w:tabs>
        <w:ind w:left="0" w:firstLine="709"/>
        <w:jc w:val="both"/>
      </w:pPr>
      <w:r w:rsidRPr="0017040C">
        <w:rPr>
          <w:bCs/>
        </w:rPr>
        <w:t>изменение законодательства РФ, нормативных правовых актов, издание актов федеральных органов исполнительной власти, влияющих на возможность и/или целесообразность проведения закупки.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  <w:lang w:eastAsia="en-US"/>
        </w:rPr>
        <w:t>Организатор</w:t>
      </w:r>
      <w:r w:rsidRPr="0017040C">
        <w:rPr>
          <w:bCs/>
        </w:rPr>
        <w:t xml:space="preserve"> по решению заказчика в вышеперечисленных случаях отменяет </w:t>
      </w:r>
      <w:r w:rsidRPr="0017040C">
        <w:rPr>
          <w:rFonts w:eastAsia="Calibri"/>
          <w:spacing w:val="-6"/>
          <w:lang w:eastAsia="en-US"/>
        </w:rPr>
        <w:t>конкурентную закупку в следующие сроки: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  <w:lang w:eastAsia="en-US"/>
        </w:rPr>
        <w:t>а)  до наступления даты и времени окончания срока подачи заявок;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lang w:eastAsia="en-US"/>
        </w:rPr>
      </w:pPr>
      <w:r w:rsidRPr="0017040C">
        <w:rPr>
          <w:rFonts w:eastAsia="Calibri"/>
          <w:spacing w:val="-6"/>
          <w:lang w:eastAsia="en-US"/>
        </w:rPr>
        <w:t>б) с момента окончания срока подачи заявок и до подведения итогов закупки только при возникновении обстоятельств непреодолимой силы, подтвержденных соответствующим документом и влияющих на целесообразность закупки.</w:t>
      </w:r>
    </w:p>
    <w:p w:rsidR="0017040C" w:rsidRPr="0017040C" w:rsidRDefault="0017040C" w:rsidP="0017040C">
      <w:pPr>
        <w:tabs>
          <w:tab w:val="left" w:pos="1134"/>
        </w:tabs>
        <w:ind w:firstLine="709"/>
        <w:contextualSpacing/>
        <w:jc w:val="both"/>
      </w:pPr>
    </w:p>
    <w:p w:rsidR="0017040C" w:rsidRPr="0017040C" w:rsidRDefault="0017040C" w:rsidP="0017040C">
      <w:pPr>
        <w:pStyle w:val="a8"/>
        <w:numPr>
          <w:ilvl w:val="0"/>
          <w:numId w:val="9"/>
        </w:numPr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 xml:space="preserve">Наименование, электронный адрес арбитражного комитета, в котором могут быть обжалованы действия (бездействие) заказчика, организатора закупки, закупочной комиссии: 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 xml:space="preserve">- Арбитражный комитет (АК) дивизиона АО «Концерн </w:t>
      </w:r>
      <w:proofErr w:type="spellStart"/>
      <w:r w:rsidRPr="0017040C">
        <w:rPr>
          <w:rFonts w:ascii="Times New Roman" w:hAnsi="Times New Roman" w:cs="Times New Roman"/>
          <w:sz w:val="24"/>
          <w:szCs w:val="24"/>
        </w:rPr>
        <w:t>Росэнергоатом</w:t>
      </w:r>
      <w:proofErr w:type="spellEnd"/>
      <w:r w:rsidRPr="0017040C">
        <w:rPr>
          <w:rFonts w:ascii="Times New Roman" w:hAnsi="Times New Roman" w:cs="Times New Roman"/>
          <w:sz w:val="24"/>
          <w:szCs w:val="24"/>
        </w:rPr>
        <w:t>» (Электроэнергетический дивизион):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>Контактное лицо: Мельникова Анастасия Геннадьевна.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>Почтовый адрес: 109507, г. Москва, ул. Ферганская, д.25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 xml:space="preserve">Адрес электронной почты: </w:t>
      </w:r>
      <w:proofErr w:type="spellStart"/>
      <w:r w:rsidRPr="0017040C">
        <w:rPr>
          <w:rFonts w:ascii="Times New Roman" w:hAnsi="Times New Roman" w:cs="Times New Roman"/>
          <w:sz w:val="24"/>
          <w:szCs w:val="24"/>
        </w:rPr>
        <w:t>arbitr@rosenergoatom.ru</w:t>
      </w:r>
      <w:proofErr w:type="spellEnd"/>
      <w:r w:rsidRPr="0017040C">
        <w:rPr>
          <w:rFonts w:ascii="Times New Roman" w:hAnsi="Times New Roman" w:cs="Times New Roman"/>
          <w:sz w:val="24"/>
          <w:szCs w:val="24"/>
        </w:rPr>
        <w:t>;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>Тел.: (495) 783-01-43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 xml:space="preserve">- Центральный арбитражный комитет (ЦАК) </w:t>
      </w:r>
      <w:proofErr w:type="spellStart"/>
      <w:r w:rsidRPr="0017040C">
        <w:rPr>
          <w:rFonts w:ascii="Times New Roman" w:hAnsi="Times New Roman" w:cs="Times New Roman"/>
          <w:sz w:val="24"/>
          <w:szCs w:val="24"/>
        </w:rPr>
        <w:t>Госкорпорации</w:t>
      </w:r>
      <w:proofErr w:type="spellEnd"/>
      <w:r w:rsidRPr="0017040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7040C">
        <w:rPr>
          <w:rFonts w:ascii="Times New Roman" w:hAnsi="Times New Roman" w:cs="Times New Roman"/>
          <w:sz w:val="24"/>
          <w:szCs w:val="24"/>
        </w:rPr>
        <w:t>Росатом</w:t>
      </w:r>
      <w:proofErr w:type="spellEnd"/>
      <w:r w:rsidRPr="0017040C">
        <w:rPr>
          <w:rFonts w:ascii="Times New Roman" w:hAnsi="Times New Roman" w:cs="Times New Roman"/>
          <w:sz w:val="24"/>
          <w:szCs w:val="24"/>
        </w:rPr>
        <w:t>»:</w:t>
      </w:r>
    </w:p>
    <w:p w:rsidR="0017040C" w:rsidRPr="0017040C" w:rsidRDefault="0017040C" w:rsidP="0017040C">
      <w:pPr>
        <w:pStyle w:val="a8"/>
        <w:tabs>
          <w:tab w:val="left" w:pos="0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40C">
        <w:rPr>
          <w:rFonts w:ascii="Times New Roman" w:hAnsi="Times New Roman" w:cs="Times New Roman"/>
          <w:sz w:val="24"/>
          <w:szCs w:val="24"/>
        </w:rPr>
        <w:t xml:space="preserve">Адрес электронной почты: </w:t>
      </w:r>
      <w:hyperlink r:id="rId7" w:history="1">
        <w:r w:rsidRPr="0017040C">
          <w:rPr>
            <w:rFonts w:ascii="Times New Roman" w:hAnsi="Times New Roman" w:cs="Times New Roman"/>
            <w:sz w:val="24"/>
            <w:szCs w:val="24"/>
          </w:rPr>
          <w:t>arbitration@rosatom.ru</w:t>
        </w:r>
      </w:hyperlink>
      <w:r w:rsidRPr="0017040C">
        <w:rPr>
          <w:rFonts w:ascii="Times New Roman" w:hAnsi="Times New Roman" w:cs="Times New Roman"/>
          <w:sz w:val="24"/>
          <w:szCs w:val="24"/>
        </w:rPr>
        <w:t>.</w:t>
      </w:r>
    </w:p>
    <w:p w:rsidR="00FE3E7B" w:rsidRPr="0017040C" w:rsidRDefault="00FE3E7B"/>
    <w:sectPr w:rsidR="00FE3E7B" w:rsidRPr="0017040C" w:rsidSect="0017040C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20A9"/>
    <w:multiLevelType w:val="hybridMultilevel"/>
    <w:tmpl w:val="51BE6D70"/>
    <w:lvl w:ilvl="0" w:tplc="D33A0098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7F0D38"/>
    <w:multiLevelType w:val="hybridMultilevel"/>
    <w:tmpl w:val="A59031FE"/>
    <w:lvl w:ilvl="0" w:tplc="4730602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CDD7DF0"/>
    <w:multiLevelType w:val="hybridMultilevel"/>
    <w:tmpl w:val="60B0951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4">
    <w:nsid w:val="49EE029E"/>
    <w:multiLevelType w:val="hybridMultilevel"/>
    <w:tmpl w:val="23EEA67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D0437"/>
    <w:multiLevelType w:val="hybridMultilevel"/>
    <w:tmpl w:val="6E46EA56"/>
    <w:lvl w:ilvl="0" w:tplc="73B8F8E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</w:lvl>
    <w:lvl w:ilvl="2">
      <w:start w:val="1"/>
      <w:numFmt w:val="decimal"/>
      <w:isLgl/>
      <w:lvlText w:val="%1.%2.%3."/>
      <w:lvlJc w:val="left"/>
      <w:pPr>
        <w:ind w:left="1490" w:hanging="720"/>
      </w:pPr>
    </w:lvl>
    <w:lvl w:ilvl="3">
      <w:start w:val="1"/>
      <w:numFmt w:val="decimal"/>
      <w:isLgl/>
      <w:lvlText w:val="%1.%2.%3.%4."/>
      <w:lvlJc w:val="left"/>
      <w:pPr>
        <w:ind w:left="1695" w:hanging="720"/>
      </w:pPr>
    </w:lvl>
    <w:lvl w:ilvl="4">
      <w:start w:val="1"/>
      <w:numFmt w:val="decimal"/>
      <w:isLgl/>
      <w:lvlText w:val="%1.%2.%3.%4.%5."/>
      <w:lvlJc w:val="left"/>
      <w:pPr>
        <w:ind w:left="2260" w:hanging="1080"/>
      </w:pPr>
    </w:lvl>
    <w:lvl w:ilvl="5">
      <w:start w:val="1"/>
      <w:numFmt w:val="decimal"/>
      <w:isLgl/>
      <w:lvlText w:val="%1.%2.%3.%4.%5.%6."/>
      <w:lvlJc w:val="left"/>
      <w:pPr>
        <w:ind w:left="2465" w:hanging="1080"/>
      </w:pPr>
    </w:lvl>
    <w:lvl w:ilvl="6">
      <w:start w:val="1"/>
      <w:numFmt w:val="decimal"/>
      <w:isLgl/>
      <w:lvlText w:val="%1.%2.%3.%4.%5.%6.%7."/>
      <w:lvlJc w:val="left"/>
      <w:pPr>
        <w:ind w:left="3030" w:hanging="1440"/>
      </w:p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</w:lvl>
  </w:abstractNum>
  <w:abstractNum w:abstractNumId="7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10394"/>
    <w:multiLevelType w:val="multilevel"/>
    <w:tmpl w:val="39FCF254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</w:lvl>
    <w:lvl w:ilvl="1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17040C"/>
    <w:rsid w:val="0017040C"/>
    <w:rsid w:val="00FE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7040C"/>
    <w:pPr>
      <w:keepNext/>
      <w:numPr>
        <w:numId w:val="1"/>
      </w:numPr>
      <w:jc w:val="right"/>
      <w:outlineLvl w:val="0"/>
    </w:pPr>
    <w:rPr>
      <w:rFonts w:eastAsiaTheme="minorEastAsia"/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qFormat/>
    <w:rsid w:val="0017040C"/>
    <w:pPr>
      <w:keepNext/>
      <w:numPr>
        <w:ilvl w:val="1"/>
        <w:numId w:val="1"/>
      </w:numPr>
      <w:spacing w:before="240" w:after="60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17040C"/>
    <w:rPr>
      <w:rFonts w:ascii="Times New Roman" w:eastAsiaTheme="minorEastAsia" w:hAnsi="Times New Roman" w:cs="Times New Roman"/>
      <w:iC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17040C"/>
    <w:rPr>
      <w:rFonts w:ascii="Arial" w:eastAsiaTheme="minorEastAsia" w:hAnsi="Arial" w:cs="Arial"/>
      <w:b/>
      <w:bCs/>
      <w:i/>
      <w:iCs/>
      <w:sz w:val="28"/>
      <w:szCs w:val="28"/>
      <w:lang w:eastAsia="ru-RU"/>
    </w:rPr>
  </w:style>
  <w:style w:type="character" w:styleId="a4">
    <w:name w:val="Hyperlink"/>
    <w:uiPriority w:val="99"/>
    <w:unhideWhenUsed/>
    <w:rsid w:val="0017040C"/>
    <w:rPr>
      <w:color w:val="0000FF"/>
      <w:u w:val="single"/>
    </w:rPr>
  </w:style>
  <w:style w:type="character" w:customStyle="1" w:styleId="a5">
    <w:name w:val="Обычный (веб) Знак"/>
    <w:aliases w:val="Обычный (Web) Знак,Обычный (веб) Знак Знак Знак,Обычный (Web) Знак Знак Знак Знак,Знак Знак10 Знак, Знак Знак10 Знак"/>
    <w:link w:val="a6"/>
    <w:uiPriority w:val="99"/>
    <w:locked/>
    <w:rsid w:val="001704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aliases w:val="Обычный (Web),Обычный (веб) Знак Знак,Обычный (Web) Знак Знак Знак,Знак Знак10, Знак Знак10"/>
    <w:basedOn w:val="a0"/>
    <w:link w:val="a5"/>
    <w:autoRedefine/>
    <w:uiPriority w:val="99"/>
    <w:unhideWhenUsed/>
    <w:qFormat/>
    <w:rsid w:val="0017040C"/>
    <w:pPr>
      <w:ind w:left="51" w:hanging="51"/>
      <w:contextualSpacing/>
      <w:jc w:val="both"/>
    </w:pPr>
  </w:style>
  <w:style w:type="character" w:customStyle="1" w:styleId="a7">
    <w:name w:val="Абзац списка Знак"/>
    <w:aliases w:val="Заголовок_3 Знак,Подпись рисунка Знак,ПКФ Список Знак,Абзац списка5 Знак,таблица Знак,главный абзац Знак,SL_Абзац списка Знак,List Paragraph Знак,мой Знак,Bullet List Знак,FooterText Знак,numbered Знак,Нумерованый список Знак"/>
    <w:link w:val="a8"/>
    <w:uiPriority w:val="34"/>
    <w:locked/>
    <w:rsid w:val="0017040C"/>
    <w:rPr>
      <w:rFonts w:ascii="Calibri" w:eastAsia="Calibri" w:hAnsi="Calibri"/>
    </w:rPr>
  </w:style>
  <w:style w:type="paragraph" w:customStyle="1" w:styleId="a">
    <w:name w:val="Пункт"/>
    <w:basedOn w:val="a0"/>
    <w:autoRedefine/>
    <w:qFormat/>
    <w:rsid w:val="0017040C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8">
    <w:name w:val="List Paragraph"/>
    <w:aliases w:val="Заголовок_3,Подпись рисунка,ПКФ Список,Абзац списка5,таблица,главный абзац,SL_Абзац списка,List Paragraph,мой,Bullet List,FooterText,numbered,Нумерованый список,List Paragraph1,–маркер,ТЗ_Список,Use Case List Paragraph,Ненумерованный список"/>
    <w:basedOn w:val="a0"/>
    <w:link w:val="a7"/>
    <w:uiPriority w:val="34"/>
    <w:qFormat/>
    <w:rsid w:val="0017040C"/>
    <w:pPr>
      <w:ind w:left="720"/>
      <w:contextualSpacing/>
    </w:pPr>
    <w:rPr>
      <w:rFonts w:ascii="Calibri" w:eastAsia="Calibri" w:hAnsi="Calibri" w:cstheme="minorBidi"/>
      <w:sz w:val="22"/>
      <w:szCs w:val="22"/>
      <w:lang w:eastAsia="en-US"/>
    </w:rPr>
  </w:style>
  <w:style w:type="table" w:styleId="a9">
    <w:name w:val="Table Grid"/>
    <w:basedOn w:val="a2"/>
    <w:rsid w:val="0017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bitration@rosat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upki.rosatom.ru" TargetMode="External"/><Relationship Id="rId5" Type="http://schemas.openxmlformats.org/officeDocument/2006/relationships/hyperlink" Target="http://zakupki.rosatom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2487</Words>
  <Characters>14178</Characters>
  <Application>Microsoft Office Word</Application>
  <DocSecurity>0</DocSecurity>
  <Lines>118</Lines>
  <Paragraphs>33</Paragraphs>
  <ScaleCrop>false</ScaleCrop>
  <Company>Hewlett-Packard Company</Company>
  <LinksUpToDate>false</LinksUpToDate>
  <CharactersWithSpaces>16632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Uks-do3</dc:creator>
  <cp:lastModifiedBy>Uks-do3</cp:lastModifiedBy>
  <cp:revision>1</cp:revision>
  <dcterms:created xsi:type="dcterms:W3CDTF">2019-09-23T11:41:00Z</dcterms:created>
  <dcterms:modified xsi:type="dcterms:W3CDTF">2019-09-23T11:43:00Z</dcterms:modified>
</cp:coreProperties>
</file>