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7AC" w:rsidRPr="00FB0415" w:rsidRDefault="00D067AC" w:rsidP="007346F5">
      <w:pPr>
        <w:widowControl w:val="0"/>
        <w:autoSpaceDE w:val="0"/>
        <w:autoSpaceDN w:val="0"/>
        <w:adjustRightInd w:val="0"/>
        <w:spacing w:after="0" w:line="240" w:lineRule="auto"/>
        <w:jc w:val="right"/>
        <w:rPr>
          <w:rFonts w:ascii="Times New Roman" w:hAnsi="Times New Roman" w:cs="Times New Roman"/>
          <w:b/>
          <w:bCs/>
          <w:sz w:val="24"/>
          <w:szCs w:val="24"/>
          <w:lang w:val="ru-RU"/>
        </w:rPr>
      </w:pPr>
      <w:r>
        <w:rPr>
          <w:rFonts w:ascii="Times New Roman" w:hAnsi="Times New Roman" w:cs="Times New Roman"/>
          <w:b/>
          <w:bCs/>
          <w:sz w:val="24"/>
          <w:szCs w:val="24"/>
          <w:lang w:val="ru-RU"/>
        </w:rPr>
        <w:t>Приложение №</w:t>
      </w:r>
      <w:r w:rsidR="00DA7687">
        <w:rPr>
          <w:rFonts w:ascii="Times New Roman" w:hAnsi="Times New Roman" w:cs="Times New Roman"/>
          <w:b/>
          <w:bCs/>
          <w:sz w:val="24"/>
          <w:szCs w:val="24"/>
          <w:lang w:val="ru-RU"/>
        </w:rPr>
        <w:t>4</w:t>
      </w:r>
    </w:p>
    <w:p w:rsidR="00D067AC" w:rsidRPr="00FB0415" w:rsidRDefault="00D067AC" w:rsidP="007346F5">
      <w:pPr>
        <w:widowControl w:val="0"/>
        <w:autoSpaceDE w:val="0"/>
        <w:autoSpaceDN w:val="0"/>
        <w:adjustRightInd w:val="0"/>
        <w:spacing w:after="0" w:line="240" w:lineRule="auto"/>
        <w:jc w:val="right"/>
        <w:rPr>
          <w:rFonts w:ascii="Times New Roman" w:hAnsi="Times New Roman" w:cs="Times New Roman"/>
          <w:b/>
          <w:bCs/>
          <w:sz w:val="24"/>
          <w:szCs w:val="24"/>
          <w:lang w:val="ru-RU"/>
        </w:rPr>
      </w:pPr>
      <w:r w:rsidRPr="00FB0415">
        <w:rPr>
          <w:rFonts w:ascii="Times New Roman" w:hAnsi="Times New Roman" w:cs="Times New Roman"/>
          <w:b/>
          <w:bCs/>
          <w:sz w:val="24"/>
          <w:szCs w:val="24"/>
          <w:lang w:val="ru-RU"/>
        </w:rPr>
        <w:t>к Договору №__________</w:t>
      </w:r>
    </w:p>
    <w:p w:rsidR="00D067AC" w:rsidRPr="00FB0415" w:rsidRDefault="00D067AC" w:rsidP="007346F5">
      <w:pPr>
        <w:widowControl w:val="0"/>
        <w:autoSpaceDE w:val="0"/>
        <w:autoSpaceDN w:val="0"/>
        <w:adjustRightInd w:val="0"/>
        <w:spacing w:after="0" w:line="240" w:lineRule="auto"/>
        <w:jc w:val="right"/>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 от</w:t>
      </w:r>
      <w:r w:rsidR="009A7A5B">
        <w:rPr>
          <w:rFonts w:ascii="Times New Roman" w:hAnsi="Times New Roman" w:cs="Times New Roman"/>
          <w:b/>
          <w:bCs/>
          <w:sz w:val="24"/>
          <w:szCs w:val="24"/>
          <w:lang w:val="ru-RU"/>
        </w:rPr>
        <w:t>______________</w:t>
      </w:r>
    </w:p>
    <w:p w:rsidR="00D067AC" w:rsidRPr="00FB0415" w:rsidRDefault="00D067AC" w:rsidP="007346F5">
      <w:pPr>
        <w:widowControl w:val="0"/>
        <w:autoSpaceDE w:val="0"/>
        <w:autoSpaceDN w:val="0"/>
        <w:adjustRightInd w:val="0"/>
        <w:spacing w:after="0" w:line="240" w:lineRule="auto"/>
        <w:jc w:val="center"/>
        <w:rPr>
          <w:rFonts w:ascii="Times New Roman" w:hAnsi="Times New Roman" w:cs="Times New Roman"/>
          <w:b/>
          <w:bCs/>
          <w:sz w:val="24"/>
          <w:szCs w:val="24"/>
          <w:lang w:val="ru-RU"/>
        </w:rPr>
      </w:pPr>
    </w:p>
    <w:p w:rsidR="00D067AC" w:rsidRDefault="00D067AC" w:rsidP="007346F5">
      <w:pPr>
        <w:widowControl w:val="0"/>
        <w:autoSpaceDE w:val="0"/>
        <w:autoSpaceDN w:val="0"/>
        <w:adjustRightInd w:val="0"/>
        <w:spacing w:after="0" w:line="240" w:lineRule="auto"/>
        <w:jc w:val="center"/>
        <w:rPr>
          <w:rFonts w:ascii="Times New Roman" w:hAnsi="Times New Roman" w:cs="Times New Roman"/>
          <w:b/>
          <w:bCs/>
          <w:sz w:val="24"/>
          <w:szCs w:val="24"/>
          <w:lang w:val="ru-RU"/>
        </w:rPr>
      </w:pPr>
    </w:p>
    <w:p w:rsidR="00D067AC" w:rsidRDefault="00D067AC" w:rsidP="007346F5">
      <w:pPr>
        <w:widowControl w:val="0"/>
        <w:autoSpaceDE w:val="0"/>
        <w:autoSpaceDN w:val="0"/>
        <w:adjustRightInd w:val="0"/>
        <w:spacing w:after="0" w:line="240" w:lineRule="auto"/>
        <w:jc w:val="center"/>
        <w:rPr>
          <w:rFonts w:ascii="Times New Roman" w:hAnsi="Times New Roman" w:cs="Times New Roman"/>
          <w:b/>
          <w:bCs/>
          <w:sz w:val="24"/>
          <w:szCs w:val="24"/>
          <w:lang w:val="ru-RU"/>
        </w:rPr>
      </w:pPr>
    </w:p>
    <w:p w:rsidR="00D067AC" w:rsidRDefault="00D067AC" w:rsidP="007346F5">
      <w:pPr>
        <w:widowControl w:val="0"/>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СОГЛАШЕНИЕ О КОНФИДЕНЦИАЛЬНОСТИ</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rPr>
          <w:rFonts w:ascii="Times New Roman" w:hAnsi="Times New Roman" w:cs="Times New Roman"/>
          <w:sz w:val="24"/>
          <w:szCs w:val="24"/>
          <w:lang w:val="ru-RU" w:eastAsia="ru-RU"/>
        </w:rPr>
      </w:pPr>
      <w:r>
        <w:rPr>
          <w:rFonts w:ascii="Times New Roman" w:hAnsi="Times New Roman" w:cs="Times New Roman"/>
          <w:sz w:val="24"/>
          <w:szCs w:val="24"/>
          <w:lang w:val="ru-RU" w:eastAsia="ru-RU"/>
        </w:rPr>
        <w:t xml:space="preserve">Санкт-Петербург                                              </w:t>
      </w:r>
      <w:r w:rsidR="009A7A5B">
        <w:rPr>
          <w:rFonts w:ascii="Times New Roman" w:hAnsi="Times New Roman" w:cs="Times New Roman"/>
          <w:sz w:val="24"/>
          <w:szCs w:val="24"/>
          <w:lang w:val="ru-RU" w:eastAsia="ru-RU"/>
        </w:rPr>
        <w:t xml:space="preserve">                            «___»</w:t>
      </w:r>
      <w:r>
        <w:rPr>
          <w:rFonts w:ascii="Times New Roman" w:hAnsi="Times New Roman" w:cs="Times New Roman"/>
          <w:sz w:val="24"/>
          <w:szCs w:val="24"/>
          <w:lang w:val="ru-RU" w:eastAsia="ru-RU"/>
        </w:rPr>
        <w:t xml:space="preserve"> </w:t>
      </w:r>
      <w:r w:rsidR="009A7A5B">
        <w:rPr>
          <w:rFonts w:ascii="Times New Roman" w:hAnsi="Times New Roman" w:cs="Times New Roman"/>
          <w:sz w:val="24"/>
          <w:szCs w:val="24"/>
          <w:lang w:val="ru-RU" w:eastAsia="ru-RU"/>
        </w:rPr>
        <w:t>__________</w:t>
      </w:r>
      <w:r>
        <w:rPr>
          <w:rFonts w:ascii="Times New Roman" w:hAnsi="Times New Roman" w:cs="Times New Roman"/>
          <w:sz w:val="24"/>
          <w:szCs w:val="24"/>
          <w:lang w:val="ru-RU" w:eastAsia="ru-RU"/>
        </w:rPr>
        <w:t xml:space="preserve"> 201</w:t>
      </w:r>
      <w:r w:rsidR="00DD5315">
        <w:rPr>
          <w:rFonts w:ascii="Times New Roman" w:hAnsi="Times New Roman" w:cs="Times New Roman"/>
          <w:sz w:val="24"/>
          <w:szCs w:val="24"/>
          <w:lang w:val="ru-RU" w:eastAsia="ru-RU"/>
        </w:rPr>
        <w:t>9</w:t>
      </w:r>
      <w:r>
        <w:rPr>
          <w:rFonts w:ascii="Times New Roman" w:hAnsi="Times New Roman" w:cs="Times New Roman"/>
          <w:sz w:val="24"/>
          <w:szCs w:val="24"/>
          <w:lang w:val="ru-RU" w:eastAsia="ru-RU"/>
        </w:rPr>
        <w:t>г.</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9601C">
      <w:pPr>
        <w:autoSpaceDE w:val="0"/>
        <w:autoSpaceDN w:val="0"/>
        <w:adjustRightInd w:val="0"/>
        <w:spacing w:after="0" w:line="240" w:lineRule="auto"/>
        <w:ind w:firstLine="540"/>
        <w:jc w:val="both"/>
        <w:rPr>
          <w:rFonts w:ascii="Times New Roman" w:hAnsi="Times New Roman" w:cs="Times New Roman"/>
          <w:sz w:val="24"/>
          <w:szCs w:val="24"/>
          <w:lang w:val="ru-RU" w:eastAsia="ru-RU"/>
        </w:rPr>
      </w:pPr>
      <w:proofErr w:type="gramStart"/>
      <w:r>
        <w:rPr>
          <w:rFonts w:ascii="Times New Roman" w:hAnsi="Times New Roman" w:cs="Times New Roman"/>
          <w:sz w:val="24"/>
          <w:szCs w:val="24"/>
          <w:lang w:val="ru-RU" w:eastAsia="ru-RU"/>
        </w:rPr>
        <w:t xml:space="preserve">Настоящее соглашение о конфиденциальности, далее по тексту именуемое "Соглашением", заключено между </w:t>
      </w:r>
      <w:r>
        <w:rPr>
          <w:rFonts w:ascii="Times New Roman" w:hAnsi="Times New Roman" w:cs="Times New Roman"/>
          <w:b/>
          <w:bCs/>
          <w:sz w:val="24"/>
          <w:szCs w:val="24"/>
          <w:lang w:val="ru-RU" w:eastAsia="ru-RU"/>
        </w:rPr>
        <w:t xml:space="preserve">Обществом с ограниченной ответственностью «Северо-западный региональный центр Концерна </w:t>
      </w:r>
      <w:r w:rsidR="009A7A5B">
        <w:rPr>
          <w:rFonts w:ascii="Times New Roman" w:hAnsi="Times New Roman" w:cs="Times New Roman"/>
          <w:b/>
          <w:bCs/>
          <w:sz w:val="24"/>
          <w:szCs w:val="24"/>
          <w:lang w:val="ru-RU" w:eastAsia="ru-RU"/>
        </w:rPr>
        <w:t>ВК</w:t>
      </w:r>
      <w:r>
        <w:rPr>
          <w:rFonts w:ascii="Times New Roman" w:hAnsi="Times New Roman" w:cs="Times New Roman"/>
          <w:b/>
          <w:bCs/>
          <w:sz w:val="24"/>
          <w:szCs w:val="24"/>
          <w:lang w:val="ru-RU" w:eastAsia="ru-RU"/>
        </w:rPr>
        <w:t xml:space="preserve">О «Алмаз-Антей» (ООО «СЗРЦ Концерна </w:t>
      </w:r>
      <w:r w:rsidR="009A7A5B">
        <w:rPr>
          <w:rFonts w:ascii="Times New Roman" w:hAnsi="Times New Roman" w:cs="Times New Roman"/>
          <w:b/>
          <w:bCs/>
          <w:sz w:val="24"/>
          <w:szCs w:val="24"/>
          <w:lang w:val="ru-RU" w:eastAsia="ru-RU"/>
        </w:rPr>
        <w:t>ВК</w:t>
      </w:r>
      <w:r>
        <w:rPr>
          <w:rFonts w:ascii="Times New Roman" w:hAnsi="Times New Roman" w:cs="Times New Roman"/>
          <w:b/>
          <w:bCs/>
          <w:sz w:val="24"/>
          <w:szCs w:val="24"/>
          <w:lang w:val="ru-RU" w:eastAsia="ru-RU"/>
        </w:rPr>
        <w:t>О «Алмаз-Антей»),</w:t>
      </w:r>
      <w:r>
        <w:rPr>
          <w:rFonts w:ascii="Times New Roman" w:hAnsi="Times New Roman" w:cs="Times New Roman"/>
          <w:sz w:val="24"/>
          <w:szCs w:val="24"/>
          <w:lang w:val="ru-RU" w:eastAsia="ru-RU"/>
        </w:rPr>
        <w:t xml:space="preserve"> в лице Генерального директора </w:t>
      </w:r>
      <w:proofErr w:type="spellStart"/>
      <w:r>
        <w:rPr>
          <w:rFonts w:ascii="Times New Roman" w:hAnsi="Times New Roman" w:cs="Times New Roman"/>
          <w:sz w:val="24"/>
          <w:szCs w:val="24"/>
          <w:lang w:val="ru-RU" w:eastAsia="ru-RU"/>
        </w:rPr>
        <w:t>Подвязникова</w:t>
      </w:r>
      <w:proofErr w:type="spellEnd"/>
      <w:r>
        <w:rPr>
          <w:rFonts w:ascii="Times New Roman" w:hAnsi="Times New Roman" w:cs="Times New Roman"/>
          <w:sz w:val="24"/>
          <w:szCs w:val="24"/>
          <w:lang w:val="ru-RU" w:eastAsia="ru-RU"/>
        </w:rPr>
        <w:t xml:space="preserve"> Михаила Львовича, действующего на основании Устава,</w:t>
      </w:r>
      <w:r>
        <w:rPr>
          <w:rFonts w:ascii="Arial" w:hAnsi="Arial" w:cs="Arial"/>
          <w:sz w:val="20"/>
          <w:szCs w:val="20"/>
          <w:lang w:val="ru-RU" w:eastAsia="ru-RU"/>
        </w:rPr>
        <w:t xml:space="preserve"> </w:t>
      </w:r>
      <w:r w:rsidRPr="0079601C">
        <w:rPr>
          <w:rFonts w:ascii="Times New Roman" w:hAnsi="Times New Roman" w:cs="Times New Roman"/>
          <w:sz w:val="24"/>
          <w:szCs w:val="24"/>
          <w:lang w:val="ru-RU" w:eastAsia="ru-RU"/>
        </w:rPr>
        <w:t xml:space="preserve">далее </w:t>
      </w:r>
      <w:r>
        <w:rPr>
          <w:rFonts w:ascii="Arial" w:hAnsi="Arial" w:cs="Arial"/>
          <w:sz w:val="20"/>
          <w:szCs w:val="20"/>
          <w:lang w:val="ru-RU" w:eastAsia="ru-RU"/>
        </w:rPr>
        <w:t>по тексту – «</w:t>
      </w:r>
      <w:r>
        <w:rPr>
          <w:rFonts w:ascii="Times New Roman" w:hAnsi="Times New Roman" w:cs="Times New Roman"/>
          <w:sz w:val="24"/>
          <w:szCs w:val="24"/>
          <w:lang w:val="ru-RU" w:eastAsia="ru-RU"/>
        </w:rPr>
        <w:t xml:space="preserve">Передающая сторона»,  </w:t>
      </w:r>
      <w:r w:rsidR="00BA5330" w:rsidRPr="00BA5330">
        <w:rPr>
          <w:sz w:val="24"/>
          <w:szCs w:val="24"/>
          <w:lang w:val="ru-RU"/>
        </w:rPr>
        <w:t xml:space="preserve">и </w:t>
      </w:r>
      <w:r w:rsidR="0069012A">
        <w:rPr>
          <w:b/>
          <w:sz w:val="24"/>
          <w:szCs w:val="24"/>
          <w:lang w:val="ru-RU"/>
        </w:rPr>
        <w:t>________________________</w:t>
      </w:r>
      <w:r w:rsidR="00BA5330" w:rsidRPr="00BA5330">
        <w:rPr>
          <w:sz w:val="24"/>
          <w:szCs w:val="24"/>
          <w:lang w:val="ru-RU"/>
        </w:rPr>
        <w:t xml:space="preserve">, именуемое в дальнейшем «Исполнитель», в лице </w:t>
      </w:r>
      <w:r w:rsidR="0069012A">
        <w:rPr>
          <w:sz w:val="24"/>
          <w:szCs w:val="24"/>
          <w:lang w:val="ru-RU"/>
        </w:rPr>
        <w:t>________________________</w:t>
      </w:r>
      <w:r w:rsidR="00BA5330" w:rsidRPr="00BA5330">
        <w:rPr>
          <w:sz w:val="24"/>
          <w:szCs w:val="24"/>
          <w:lang w:val="ru-RU"/>
        </w:rPr>
        <w:t xml:space="preserve">, действующего на основании </w:t>
      </w:r>
      <w:r w:rsidR="0069012A">
        <w:rPr>
          <w:sz w:val="24"/>
          <w:szCs w:val="24"/>
          <w:lang w:val="ru-RU"/>
        </w:rPr>
        <w:t>_______________</w:t>
      </w:r>
      <w:r w:rsidR="00BA5330">
        <w:rPr>
          <w:sz w:val="24"/>
          <w:szCs w:val="24"/>
          <w:lang w:val="ru-RU"/>
        </w:rPr>
        <w:t xml:space="preserve"> </w:t>
      </w:r>
      <w:r>
        <w:rPr>
          <w:rFonts w:ascii="Times New Roman" w:hAnsi="Times New Roman" w:cs="Times New Roman"/>
          <w:sz w:val="24"/>
          <w:szCs w:val="24"/>
          <w:lang w:val="ru-RU" w:eastAsia="ru-RU"/>
        </w:rPr>
        <w:t>– «Принимающая сторона», вместе именуемые "Стороны", а каждый в</w:t>
      </w:r>
      <w:proofErr w:type="gramEnd"/>
      <w:r>
        <w:rPr>
          <w:rFonts w:ascii="Times New Roman" w:hAnsi="Times New Roman" w:cs="Times New Roman"/>
          <w:sz w:val="24"/>
          <w:szCs w:val="24"/>
          <w:lang w:val="ru-RU" w:eastAsia="ru-RU"/>
        </w:rPr>
        <w:t xml:space="preserve"> отдельности - "Сторона".</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jc w:val="center"/>
        <w:outlineLvl w:val="0"/>
        <w:rPr>
          <w:rFonts w:ascii="Times New Roman" w:hAnsi="Times New Roman" w:cs="Times New Roman"/>
          <w:b/>
          <w:bCs/>
          <w:sz w:val="24"/>
          <w:szCs w:val="24"/>
          <w:lang w:val="ru-RU"/>
        </w:rPr>
      </w:pPr>
      <w:bookmarkStart w:id="0" w:name="Par17"/>
      <w:bookmarkEnd w:id="0"/>
      <w:r>
        <w:rPr>
          <w:rFonts w:ascii="Times New Roman" w:hAnsi="Times New Roman" w:cs="Times New Roman"/>
          <w:b/>
          <w:bCs/>
          <w:sz w:val="24"/>
          <w:szCs w:val="24"/>
          <w:lang w:val="ru-RU"/>
        </w:rPr>
        <w:t>1. ТЕРМИНЫ И ОПРЕДЕЛЕНИЯ</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1.1. </w:t>
      </w:r>
      <w:proofErr w:type="gramStart"/>
      <w:r>
        <w:rPr>
          <w:rFonts w:ascii="Times New Roman" w:hAnsi="Times New Roman" w:cs="Times New Roman"/>
          <w:sz w:val="24"/>
          <w:szCs w:val="24"/>
          <w:lang w:val="ru-RU"/>
        </w:rPr>
        <w:t>Используемый в тексте Соглашения термин "Конфиденциальная информация" означает сведения о лицах, предметах, фактах, событиях, явлениях и процессах, независимо от формы и представления, составляющие коммерческую тайну, или другие сведения конфиденциального характера Передающей стороны и охраняемые в соответствии с законодательством Российской Федерации, а также нормативными актами и документами Передающей стороны по защите Конфиденциальной информации, а также любую иную информацию, обозначенную в качестве</w:t>
      </w:r>
      <w:proofErr w:type="gramEnd"/>
      <w:r>
        <w:rPr>
          <w:rFonts w:ascii="Times New Roman" w:hAnsi="Times New Roman" w:cs="Times New Roman"/>
          <w:sz w:val="24"/>
          <w:szCs w:val="24"/>
          <w:lang w:val="ru-RU"/>
        </w:rPr>
        <w:t xml:space="preserve"> таковой или на </w:t>
      </w:r>
      <w:proofErr w:type="gramStart"/>
      <w:r>
        <w:rPr>
          <w:rFonts w:ascii="Times New Roman" w:hAnsi="Times New Roman" w:cs="Times New Roman"/>
          <w:sz w:val="24"/>
          <w:szCs w:val="24"/>
          <w:lang w:val="ru-RU"/>
        </w:rPr>
        <w:t>которую</w:t>
      </w:r>
      <w:proofErr w:type="gramEnd"/>
      <w:r>
        <w:rPr>
          <w:rFonts w:ascii="Times New Roman" w:hAnsi="Times New Roman" w:cs="Times New Roman"/>
          <w:sz w:val="24"/>
          <w:szCs w:val="24"/>
          <w:lang w:val="ru-RU"/>
        </w:rPr>
        <w:t xml:space="preserve"> имеется ссылка как на Конфиденциальную информацию.</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1.2. Понятие "Стороны" включает Передающую сторону и Получающую сторону, в том числе их законных правопреемников. Понятие Получающая сторона включает работников Получающей стороны, которые получают доступ к Конфиденциальной информации в соответствии с пунктом 3.1 настоящего соглашения.</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1.3. Понятие "Соглашение" означает настоящее Соглашение о конфиденциальности между Сторонами с учетом изменений и дополнений, вносимых Сторонами в соответствии с пунктом 6.6 настоящего Соглашения. Все ссылки в тексте Соглашения на статьи и пункты понимаются как ссылки на статьи и пункты настоящего Соглашения.</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jc w:val="center"/>
        <w:outlineLvl w:val="0"/>
        <w:rPr>
          <w:rFonts w:ascii="Times New Roman" w:hAnsi="Times New Roman" w:cs="Times New Roman"/>
          <w:b/>
          <w:bCs/>
          <w:sz w:val="24"/>
          <w:szCs w:val="24"/>
          <w:lang w:val="ru-RU"/>
        </w:rPr>
      </w:pPr>
      <w:bookmarkStart w:id="1" w:name="Par23"/>
      <w:bookmarkEnd w:id="1"/>
      <w:r>
        <w:rPr>
          <w:rFonts w:ascii="Times New Roman" w:hAnsi="Times New Roman" w:cs="Times New Roman"/>
          <w:b/>
          <w:bCs/>
          <w:sz w:val="24"/>
          <w:szCs w:val="24"/>
          <w:lang w:val="ru-RU"/>
        </w:rPr>
        <w:t>2. ПРЕДМЕТ СОГЛАШЕНИЯ</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2.1. На условиях Соглашения Передающая Сторона вправе передавать Получающей Стороне Конфиденциальную информацию, а Получающая Сторона обязуется обеспечить защиту Конфиденциальной информации на уровне, разумно достаточном для Передающей Стороны, но в любом случае не меньшем чем любой из уровней защиты собственной конфиденциальной информации Передающей Стороны и Получающей Стороны.</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2.2. Настоящее Соглашение распространяется на Конфиденциальную информацию, доступ к которой был или будет в течение срока действия Соглашения предоставлен Получающей Стороне Передающей Стороной, или которая иным образом станет известной Получающей Стороне в рамках сотрудничества Сторон.</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jc w:val="center"/>
        <w:outlineLvl w:val="0"/>
        <w:rPr>
          <w:rFonts w:ascii="Times New Roman" w:hAnsi="Times New Roman" w:cs="Times New Roman"/>
          <w:b/>
          <w:bCs/>
          <w:sz w:val="24"/>
          <w:szCs w:val="24"/>
          <w:lang w:val="ru-RU"/>
        </w:rPr>
      </w:pPr>
      <w:bookmarkStart w:id="2" w:name="Par28"/>
      <w:bookmarkEnd w:id="2"/>
      <w:r>
        <w:rPr>
          <w:rFonts w:ascii="Times New Roman" w:hAnsi="Times New Roman" w:cs="Times New Roman"/>
          <w:b/>
          <w:bCs/>
          <w:sz w:val="24"/>
          <w:szCs w:val="24"/>
          <w:lang w:val="ru-RU"/>
        </w:rPr>
        <w:lastRenderedPageBreak/>
        <w:t>3. ОБЯЗАННОСТИ СТОРОН</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3.1. Конфиденциальная информация может быть передана только тем штатным сотрудникам Получающей Стороны, доступ которых к Конфиденциальной информации необходим в рамках отношений Сторон, указанных в пункте 2.2 настоящего Соглашения, и только в необходимой части. При этом такие сотрудники Получающей Стороны должны быть уведомлены о конфиденциальности такой информации.</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3.2. Получающая Сторона обязуется не разглашать Конфиденциальную информацию без предварительного письменного согласия Передающей Стороны. Передача Получающей Стороной Конфиденциальной информации по открытым каналам телефонной, телеграфной и факсимильной связи, а также с использованием сети Интернет без принятия соответствующих мер защиты, удовлетворяющих обе Стороны, запрещена.</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3.3. Получающая Сторона не должна сообщать, передавать, каким-либо образом делать известной или давать свое разрешение на использование третьим лицам (включая, но не ограничиваясь аффилированными лицами, консультантами Получающей Стороны) Конфиденциальной информации, без предварительного письменного согласия Передающей Стороны. При этом Получающая Сторона должна обеспечить, чтобы такие третьи лица до получения доступа к Конфиденциальной информации приняли на себя письменные обязательства по неразглашению информации в объеме не меньшем чем установлено в Соглашении. Получающая Сторона должна заблаговременно предоставить Предающей Стороне заверенную копию соглашения о конфиденциальности, подписанного таким третьим лицом.</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3.4. Конфиденциальная информация может быть передана без согласия Передающей Стороны по обоснованному требованию уполномоченных государственных органов, но только в той степени, насколько предоставление такой информации отвечает требованиям действующего законодательства. Передающая Сторона должна быть своевременно уведомлена о передаче такой Конфиденциальной информации в письменной форме с указанием объема и характера раскрытой информации.</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jc w:val="center"/>
        <w:outlineLvl w:val="0"/>
        <w:rPr>
          <w:rFonts w:ascii="Times New Roman" w:hAnsi="Times New Roman" w:cs="Times New Roman"/>
          <w:b/>
          <w:bCs/>
          <w:sz w:val="24"/>
          <w:szCs w:val="24"/>
          <w:lang w:val="ru-RU"/>
        </w:rPr>
      </w:pPr>
      <w:bookmarkStart w:id="3" w:name="Par35"/>
      <w:bookmarkEnd w:id="3"/>
      <w:r>
        <w:rPr>
          <w:rFonts w:ascii="Times New Roman" w:hAnsi="Times New Roman" w:cs="Times New Roman"/>
          <w:b/>
          <w:bCs/>
          <w:sz w:val="24"/>
          <w:szCs w:val="24"/>
          <w:lang w:val="ru-RU"/>
        </w:rPr>
        <w:t>4. ОТВЕТСТВЕННОСТЬ СТОРОН</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4.1. Получающая Сторона несет ответственность за нарушение обязательств по сохранению Конфиденциальной информации в соответствии с законодательством Российской Федерации и Соглашением и обязана возместить Передающей Стороне убытки в полном объеме.</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4.2. Получающая Сторона несет ответственность в полном объеме за разглашение Конфиденциальной информации ее сотрудниками и третьим лицами, получившими доступ к такой информации в соответствии со статьей 3.</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4.3. При разглашении Конфиденциальной информации или наличии угрозы разглашения Получающая Сторона обязана незамедлительно уведомить об этом Передающую Сторону.</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4.4. При проведении расследования фактов разглашения Конфиденциальной информации или обстоятельств, свидетельствующих об угрозе такого разглашения, Передающая Сторона вправе направлять к Получающей Стороне уполномоченных лиц - специалистов в области защиты информации.</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4.5. Любые споры и разногласия между Сторонами, касающиеся Соглашения, которые не могут быть урегулированы ими путем консультаций и переговоров, должны быть переданы на рассмотрение Арбитражного суда города Санкт-Петербурга и Ленинградской области. К отношениям Сторон, не урегулированным Соглашением, применяется законодательство Российской Федерации.</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numPr>
          <w:ilvl w:val="0"/>
          <w:numId w:val="1"/>
        </w:numPr>
        <w:autoSpaceDE w:val="0"/>
        <w:autoSpaceDN w:val="0"/>
        <w:adjustRightInd w:val="0"/>
        <w:spacing w:after="0" w:line="240" w:lineRule="auto"/>
        <w:jc w:val="center"/>
        <w:outlineLvl w:val="0"/>
        <w:rPr>
          <w:rFonts w:ascii="Times New Roman" w:hAnsi="Times New Roman" w:cs="Times New Roman"/>
          <w:b/>
          <w:bCs/>
          <w:sz w:val="24"/>
          <w:szCs w:val="24"/>
          <w:lang w:val="ru-RU"/>
        </w:rPr>
      </w:pPr>
      <w:bookmarkStart w:id="4" w:name="Par43"/>
      <w:bookmarkEnd w:id="4"/>
      <w:r>
        <w:rPr>
          <w:rFonts w:ascii="Times New Roman" w:hAnsi="Times New Roman" w:cs="Times New Roman"/>
          <w:b/>
          <w:bCs/>
          <w:sz w:val="24"/>
          <w:szCs w:val="24"/>
          <w:lang w:val="ru-RU"/>
        </w:rPr>
        <w:t>СРОК ДЕЙСТВИЯ СОГЛАШЕНИЯ</w:t>
      </w:r>
    </w:p>
    <w:p w:rsidR="00D067AC" w:rsidRDefault="00D067AC" w:rsidP="007346F5">
      <w:pPr>
        <w:widowControl w:val="0"/>
        <w:autoSpaceDE w:val="0"/>
        <w:autoSpaceDN w:val="0"/>
        <w:adjustRightInd w:val="0"/>
        <w:spacing w:after="0" w:line="240" w:lineRule="auto"/>
        <w:ind w:left="752"/>
        <w:outlineLvl w:val="0"/>
        <w:rPr>
          <w:rFonts w:ascii="Times New Roman" w:hAnsi="Times New Roman" w:cs="Times New Roman"/>
          <w:b/>
          <w:bCs/>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5.1. Настоящее Соглашение вступает в силу после его подписания Сторонами.</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5.2. Обязательства по сохранению конфиденциальности, предусмотренные Соглашением, сохраняют силу в течение 3 (трех) лет после истечения срока действия Соглашения.</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jc w:val="center"/>
        <w:outlineLvl w:val="0"/>
        <w:rPr>
          <w:rFonts w:ascii="Times New Roman" w:hAnsi="Times New Roman" w:cs="Times New Roman"/>
          <w:b/>
          <w:bCs/>
          <w:sz w:val="24"/>
          <w:szCs w:val="24"/>
          <w:lang w:val="ru-RU"/>
        </w:rPr>
      </w:pPr>
      <w:bookmarkStart w:id="5" w:name="Par48"/>
      <w:bookmarkEnd w:id="5"/>
      <w:r>
        <w:rPr>
          <w:rFonts w:ascii="Times New Roman" w:hAnsi="Times New Roman" w:cs="Times New Roman"/>
          <w:b/>
          <w:bCs/>
          <w:sz w:val="24"/>
          <w:szCs w:val="24"/>
          <w:lang w:val="ru-RU"/>
        </w:rPr>
        <w:t>6. ОБЩИЕ ПОЛОЖЕНИЯ</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6.1. Получающая Сторона назначит и уведомит Передающую Сторону об уполномоченных представителях, ответственных за </w:t>
      </w:r>
      <w:proofErr w:type="gramStart"/>
      <w:r>
        <w:rPr>
          <w:rFonts w:ascii="Times New Roman" w:hAnsi="Times New Roman" w:cs="Times New Roman"/>
          <w:sz w:val="24"/>
          <w:szCs w:val="24"/>
          <w:lang w:val="ru-RU"/>
        </w:rPr>
        <w:t>контроль за</w:t>
      </w:r>
      <w:proofErr w:type="gramEnd"/>
      <w:r>
        <w:rPr>
          <w:rFonts w:ascii="Times New Roman" w:hAnsi="Times New Roman" w:cs="Times New Roman"/>
          <w:sz w:val="24"/>
          <w:szCs w:val="24"/>
          <w:lang w:val="ru-RU"/>
        </w:rPr>
        <w:t xml:space="preserve"> соблюдением обязательств по Соглашению, не позднее пяти дней со дня вступления в силу Соглашения. В Передающей Стороне контроль за соблюдением Соглашения возлагается на уполномоченных представителей по заключенному между Сторонами договору №________________ </w:t>
      </w:r>
      <w:proofErr w:type="gramStart"/>
      <w:r>
        <w:rPr>
          <w:rFonts w:ascii="Times New Roman" w:hAnsi="Times New Roman" w:cs="Times New Roman"/>
          <w:sz w:val="24"/>
          <w:szCs w:val="24"/>
          <w:lang w:val="ru-RU"/>
        </w:rPr>
        <w:t>от</w:t>
      </w:r>
      <w:proofErr w:type="gramEnd"/>
      <w:r>
        <w:rPr>
          <w:rFonts w:ascii="Times New Roman" w:hAnsi="Times New Roman" w:cs="Times New Roman"/>
          <w:sz w:val="24"/>
          <w:szCs w:val="24"/>
          <w:lang w:val="ru-RU"/>
        </w:rPr>
        <w:t xml:space="preserve"> </w:t>
      </w:r>
      <w:r w:rsidR="001F158E">
        <w:rPr>
          <w:rFonts w:ascii="Times New Roman" w:hAnsi="Times New Roman" w:cs="Times New Roman"/>
          <w:sz w:val="24"/>
          <w:szCs w:val="24"/>
          <w:lang w:val="ru-RU"/>
        </w:rPr>
        <w:t>______________</w:t>
      </w:r>
      <w:r>
        <w:rPr>
          <w:rFonts w:ascii="Times New Roman" w:hAnsi="Times New Roman" w:cs="Times New Roman"/>
          <w:sz w:val="24"/>
          <w:szCs w:val="24"/>
          <w:lang w:val="ru-RU"/>
        </w:rPr>
        <w:t xml:space="preserve">. </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6.2. Все уведомления и сообщения, направляемые Сторонами друг другу в соответствии с Соглашением или в связи с ним, должны быть совершены в письменной форме и переданы заказным письмом, доставлены курьером или переданы уполномоченным представителем по следующим адресам:</w:t>
      </w:r>
    </w:p>
    <w:p w:rsidR="00D067AC" w:rsidRPr="00AC2949" w:rsidRDefault="00D067AC" w:rsidP="007346F5">
      <w:pPr>
        <w:widowControl w:val="0"/>
        <w:autoSpaceDE w:val="0"/>
        <w:autoSpaceDN w:val="0"/>
        <w:adjustRightInd w:val="0"/>
        <w:spacing w:after="0" w:line="240" w:lineRule="auto"/>
        <w:jc w:val="both"/>
        <w:rPr>
          <w:rFonts w:ascii="Times New Roman" w:hAnsi="Times New Roman" w:cs="Times New Roman"/>
          <w:sz w:val="24"/>
          <w:szCs w:val="24"/>
          <w:lang w:val="ru-RU"/>
        </w:rPr>
      </w:pPr>
      <w:r w:rsidRPr="00AC2949">
        <w:rPr>
          <w:rFonts w:ascii="Times New Roman" w:hAnsi="Times New Roman" w:cs="Times New Roman"/>
          <w:sz w:val="24"/>
          <w:szCs w:val="24"/>
          <w:lang w:val="ru-RU"/>
        </w:rPr>
        <w:t xml:space="preserve">1) Передающая Сторона: 192012, Санкт-Петербург, пр. </w:t>
      </w:r>
      <w:proofErr w:type="spellStart"/>
      <w:r w:rsidRPr="00AC2949">
        <w:rPr>
          <w:rFonts w:ascii="Times New Roman" w:hAnsi="Times New Roman" w:cs="Times New Roman"/>
          <w:sz w:val="24"/>
          <w:szCs w:val="24"/>
          <w:lang w:val="ru-RU"/>
        </w:rPr>
        <w:t>Обуховской</w:t>
      </w:r>
      <w:proofErr w:type="spellEnd"/>
      <w:r w:rsidRPr="00AC2949">
        <w:rPr>
          <w:rFonts w:ascii="Times New Roman" w:hAnsi="Times New Roman" w:cs="Times New Roman"/>
          <w:sz w:val="24"/>
          <w:szCs w:val="24"/>
          <w:lang w:val="ru-RU"/>
        </w:rPr>
        <w:t xml:space="preserve"> Обороны, д.120.</w:t>
      </w:r>
    </w:p>
    <w:p w:rsidR="00BA5330" w:rsidRPr="008B6B8A" w:rsidRDefault="00D067AC" w:rsidP="00BA5330">
      <w:pPr>
        <w:pStyle w:val="a5"/>
        <w:rPr>
          <w:sz w:val="24"/>
          <w:szCs w:val="24"/>
        </w:rPr>
      </w:pPr>
      <w:r w:rsidRPr="00AC2949">
        <w:rPr>
          <w:sz w:val="24"/>
          <w:szCs w:val="24"/>
        </w:rPr>
        <w:t xml:space="preserve">2) Получающая Сторона: </w:t>
      </w:r>
      <w:r w:rsidR="0069012A">
        <w:rPr>
          <w:sz w:val="24"/>
          <w:szCs w:val="24"/>
        </w:rPr>
        <w:t>___________________________________________________</w:t>
      </w:r>
    </w:p>
    <w:p w:rsidR="00BA5330" w:rsidRDefault="00BA5330" w:rsidP="00BA5330">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D067AC">
        <w:rPr>
          <w:rFonts w:ascii="Times New Roman" w:hAnsi="Times New Roman" w:cs="Times New Roman"/>
          <w:sz w:val="24"/>
          <w:szCs w:val="24"/>
          <w:lang w:val="ru-RU"/>
        </w:rPr>
        <w:t>6.3. Передающая Сторона настоящим гарантирует, что она обладает всеми правами в отношении Конфиденциальной информации, включая право раскрывать ее Получающей Стороне на условиях Соглашения.</w:t>
      </w:r>
    </w:p>
    <w:p w:rsidR="00D067AC" w:rsidRDefault="00BA5330" w:rsidP="00BA5330">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sidR="00D067AC">
        <w:rPr>
          <w:rFonts w:ascii="Times New Roman" w:hAnsi="Times New Roman" w:cs="Times New Roman"/>
          <w:sz w:val="24"/>
          <w:szCs w:val="24"/>
          <w:lang w:val="ru-RU"/>
        </w:rPr>
        <w:t xml:space="preserve">6.4. Конфиденциальная информация остается собственностью Передающей Стороны. Передающая Сторона вправе потребовать от Получающей Стороны вернуть ей всю Конфиденциальную информацию или любую ее часть в любое время, направив Получающей Стороне уведомление в письменной форме. </w:t>
      </w:r>
      <w:proofErr w:type="gramStart"/>
      <w:r w:rsidR="00D067AC">
        <w:rPr>
          <w:rFonts w:ascii="Times New Roman" w:hAnsi="Times New Roman" w:cs="Times New Roman"/>
          <w:sz w:val="24"/>
          <w:szCs w:val="24"/>
          <w:lang w:val="ru-RU"/>
        </w:rPr>
        <w:t>В течение пятнадцати календарных дней после получения такого уведомления Получающая Сторона обязана за свой счет вернуть все оригиналы носителей такой Конфиденциальной информации и уничтожить все копии такой Конфиденциальной информации и ее воспроизведения в любой форме, находящиеся в распоряжении Получающей Стороны, а также в распоряжении лиц, которым Конфиденциальная информация была передана в соответствии с Соглашением.</w:t>
      </w:r>
      <w:proofErr w:type="gramEnd"/>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6.5. Получающая Сторона должна обеспечить конфиденциальность Соглашения и не вправе раскрывать третьим лицам какие-либо сведения относительно предоставления Конфиденциальной информации по Соглашению, кроме случаев разрешенного раскрытия согласно ст. 3.</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6.6. Любые изменения и дополнения к Соглашению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6.7. Настоящее Соглашение представляет собой исчерпывающую договоренность Сторон по предмету Соглашения. С момента подписания Соглашения все предыдущие переговоры и переписка по нему теряют силу.</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6.8. Ни одна из Сторон не вправе передавать третьим лицам полностью или частично свои права и обязанности по Соглашению без предварительного письменного согласия другой Стороны.</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6.9. Недействительность или невозможность исполнения любого положения Соглашения не влияет на действительность или возможность </w:t>
      </w:r>
      <w:proofErr w:type="gramStart"/>
      <w:r>
        <w:rPr>
          <w:rFonts w:ascii="Times New Roman" w:hAnsi="Times New Roman" w:cs="Times New Roman"/>
          <w:sz w:val="24"/>
          <w:szCs w:val="24"/>
          <w:lang w:val="ru-RU"/>
        </w:rPr>
        <w:t>исполнения</w:t>
      </w:r>
      <w:proofErr w:type="gramEnd"/>
      <w:r>
        <w:rPr>
          <w:rFonts w:ascii="Times New Roman" w:hAnsi="Times New Roman" w:cs="Times New Roman"/>
          <w:sz w:val="24"/>
          <w:szCs w:val="24"/>
          <w:lang w:val="ru-RU"/>
        </w:rPr>
        <w:t xml:space="preserve"> как любых иных </w:t>
      </w:r>
      <w:r>
        <w:rPr>
          <w:rFonts w:ascii="Times New Roman" w:hAnsi="Times New Roman" w:cs="Times New Roman"/>
          <w:sz w:val="24"/>
          <w:szCs w:val="24"/>
          <w:lang w:val="ru-RU"/>
        </w:rPr>
        <w:lastRenderedPageBreak/>
        <w:t>положений Соглашения, так и Соглашения в целом.</w:t>
      </w:r>
    </w:p>
    <w:p w:rsidR="00D067AC" w:rsidRDefault="00D067AC" w:rsidP="007346F5">
      <w:pPr>
        <w:widowControl w:val="0"/>
        <w:autoSpaceDE w:val="0"/>
        <w:autoSpaceDN w:val="0"/>
        <w:adjustRightInd w:val="0"/>
        <w:spacing w:after="0" w:line="240" w:lineRule="auto"/>
        <w:ind w:firstLine="540"/>
        <w:jc w:val="both"/>
        <w:rPr>
          <w:rFonts w:ascii="Times New Roman" w:hAnsi="Times New Roman" w:cs="Times New Roman"/>
          <w:sz w:val="24"/>
          <w:szCs w:val="24"/>
          <w:lang w:val="ru-RU"/>
        </w:rPr>
      </w:pPr>
      <w:r>
        <w:rPr>
          <w:rFonts w:ascii="Times New Roman" w:hAnsi="Times New Roman" w:cs="Times New Roman"/>
          <w:sz w:val="24"/>
          <w:szCs w:val="24"/>
          <w:lang w:val="ru-RU"/>
        </w:rPr>
        <w:t>6.10. Настоящее Соглашение заключено на русском языке в 2 (двух) экземплярах, имеющих равную юридическую силу, по одному для каждой из Сторон.</w:t>
      </w:r>
    </w:p>
    <w:tbl>
      <w:tblPr>
        <w:tblW w:w="9360" w:type="dxa"/>
        <w:tblInd w:w="-106" w:type="dxa"/>
        <w:tblLayout w:type="fixed"/>
        <w:tblLook w:val="00A0" w:firstRow="1" w:lastRow="0" w:firstColumn="1" w:lastColumn="0" w:noHBand="0" w:noVBand="0"/>
      </w:tblPr>
      <w:tblGrid>
        <w:gridCol w:w="4871"/>
        <w:gridCol w:w="4489"/>
      </w:tblGrid>
      <w:tr w:rsidR="00D067AC" w:rsidTr="00FF0130">
        <w:trPr>
          <w:trHeight w:val="171"/>
        </w:trPr>
        <w:tc>
          <w:tcPr>
            <w:tcW w:w="4871" w:type="dxa"/>
          </w:tcPr>
          <w:p w:rsidR="00D067AC" w:rsidRDefault="00D067AC">
            <w:pPr>
              <w:spacing w:after="0" w:line="240" w:lineRule="auto"/>
              <w:ind w:left="72"/>
              <w:jc w:val="center"/>
              <w:rPr>
                <w:rFonts w:ascii="Times New Roman" w:hAnsi="Times New Roman" w:cs="Times New Roman"/>
                <w:b/>
                <w:bCs/>
                <w:color w:val="000000"/>
                <w:lang w:val="ru-RU" w:eastAsia="ru-RU"/>
              </w:rPr>
            </w:pPr>
          </w:p>
          <w:p w:rsidR="00D067AC" w:rsidRDefault="00D067AC">
            <w:pPr>
              <w:spacing w:after="0" w:line="240" w:lineRule="auto"/>
              <w:ind w:left="72"/>
              <w:jc w:val="center"/>
              <w:rPr>
                <w:rFonts w:ascii="Times New Roman" w:hAnsi="Times New Roman" w:cs="Times New Roman"/>
                <w:b/>
                <w:bCs/>
                <w:color w:val="000000"/>
                <w:lang w:val="ru-RU" w:eastAsia="ru-RU"/>
              </w:rPr>
            </w:pPr>
            <w:r>
              <w:rPr>
                <w:rFonts w:ascii="Times New Roman" w:hAnsi="Times New Roman" w:cs="Times New Roman"/>
                <w:b/>
                <w:bCs/>
                <w:color w:val="000000"/>
                <w:lang w:val="ru-RU" w:eastAsia="ru-RU"/>
              </w:rPr>
              <w:t>Передающая сторона</w:t>
            </w:r>
          </w:p>
          <w:p w:rsidR="00D067AC" w:rsidRDefault="00D067AC">
            <w:pPr>
              <w:spacing w:after="0" w:line="240" w:lineRule="auto"/>
              <w:ind w:left="72"/>
              <w:jc w:val="center"/>
              <w:rPr>
                <w:rFonts w:ascii="Times New Roman" w:hAnsi="Times New Roman" w:cs="Times New Roman"/>
                <w:b/>
                <w:bCs/>
                <w:color w:val="000000"/>
                <w:lang w:val="ru-RU" w:eastAsia="ru-RU"/>
              </w:rPr>
            </w:pPr>
          </w:p>
        </w:tc>
        <w:tc>
          <w:tcPr>
            <w:tcW w:w="4489" w:type="dxa"/>
          </w:tcPr>
          <w:p w:rsidR="00D067AC" w:rsidRDefault="00D067AC">
            <w:pPr>
              <w:spacing w:after="0" w:line="240" w:lineRule="auto"/>
              <w:ind w:hanging="330"/>
              <w:jc w:val="center"/>
              <w:rPr>
                <w:rFonts w:ascii="Times New Roman" w:hAnsi="Times New Roman" w:cs="Times New Roman"/>
                <w:b/>
                <w:bCs/>
                <w:color w:val="000000"/>
                <w:lang w:val="ru-RU" w:eastAsia="ru-RU"/>
              </w:rPr>
            </w:pPr>
          </w:p>
          <w:p w:rsidR="00D067AC" w:rsidRDefault="00D067AC">
            <w:pPr>
              <w:spacing w:after="0" w:line="240" w:lineRule="auto"/>
              <w:ind w:hanging="330"/>
              <w:jc w:val="center"/>
              <w:rPr>
                <w:rFonts w:ascii="Times New Roman" w:hAnsi="Times New Roman" w:cs="Times New Roman"/>
                <w:b/>
                <w:bCs/>
                <w:color w:val="000000"/>
                <w:lang w:val="ru-RU" w:eastAsia="ru-RU"/>
              </w:rPr>
            </w:pPr>
            <w:r>
              <w:rPr>
                <w:rFonts w:ascii="Times New Roman" w:hAnsi="Times New Roman" w:cs="Times New Roman"/>
                <w:b/>
                <w:bCs/>
                <w:color w:val="000000"/>
                <w:lang w:val="ru-RU" w:eastAsia="ru-RU"/>
              </w:rPr>
              <w:t xml:space="preserve">Принимающая сторона </w:t>
            </w:r>
          </w:p>
        </w:tc>
      </w:tr>
      <w:tr w:rsidR="00BA5330" w:rsidRPr="0069012A" w:rsidTr="00FF0130">
        <w:trPr>
          <w:trHeight w:val="1622"/>
        </w:trPr>
        <w:tc>
          <w:tcPr>
            <w:tcW w:w="4871" w:type="dxa"/>
          </w:tcPr>
          <w:p w:rsidR="00BA5330" w:rsidRPr="008B6B8A" w:rsidRDefault="00BA5330" w:rsidP="00BA5330">
            <w:pPr>
              <w:pStyle w:val="FR2"/>
              <w:ind w:left="0" w:right="141"/>
              <w:outlineLvl w:val="0"/>
              <w:rPr>
                <w:rFonts w:ascii="Times New Roman" w:hAnsi="Times New Roman"/>
                <w:szCs w:val="24"/>
              </w:rPr>
            </w:pPr>
          </w:p>
          <w:p w:rsidR="00BA5330" w:rsidRPr="00BA5330" w:rsidRDefault="00BA5330" w:rsidP="00BA5330">
            <w:pPr>
              <w:spacing w:line="240" w:lineRule="auto"/>
              <w:ind w:right="141"/>
              <w:rPr>
                <w:b/>
                <w:sz w:val="24"/>
                <w:szCs w:val="24"/>
                <w:lang w:val="ru-RU"/>
              </w:rPr>
            </w:pPr>
            <w:r w:rsidRPr="00BA5330">
              <w:rPr>
                <w:b/>
                <w:sz w:val="24"/>
                <w:szCs w:val="24"/>
                <w:lang w:val="ru-RU"/>
              </w:rPr>
              <w:t xml:space="preserve">ООО «СЗРЦ Концерна ВКО </w:t>
            </w:r>
          </w:p>
          <w:p w:rsidR="00BA5330" w:rsidRPr="00BA5330" w:rsidRDefault="00BA5330" w:rsidP="00BA5330">
            <w:pPr>
              <w:spacing w:line="240" w:lineRule="auto"/>
              <w:ind w:right="141"/>
              <w:rPr>
                <w:b/>
                <w:sz w:val="24"/>
                <w:szCs w:val="24"/>
                <w:lang w:val="ru-RU"/>
              </w:rPr>
            </w:pPr>
            <w:r w:rsidRPr="00BA5330">
              <w:rPr>
                <w:b/>
                <w:sz w:val="24"/>
                <w:szCs w:val="24"/>
                <w:lang w:val="ru-RU"/>
              </w:rPr>
              <w:t>«Алмаз-Антей»»</w:t>
            </w:r>
          </w:p>
          <w:p w:rsidR="00BA5330" w:rsidRPr="00BA5330" w:rsidRDefault="00BA5330" w:rsidP="00BA5330">
            <w:pPr>
              <w:spacing w:line="240" w:lineRule="auto"/>
              <w:ind w:right="141"/>
              <w:rPr>
                <w:sz w:val="24"/>
                <w:szCs w:val="24"/>
                <w:lang w:val="ru-RU"/>
              </w:rPr>
            </w:pPr>
            <w:r w:rsidRPr="00BA5330">
              <w:rPr>
                <w:sz w:val="24"/>
                <w:szCs w:val="24"/>
                <w:lang w:val="ru-RU"/>
              </w:rPr>
              <w:t xml:space="preserve">192012, Санкт- Петербург, пр. </w:t>
            </w:r>
          </w:p>
          <w:p w:rsidR="00BA5330" w:rsidRPr="00BA5330" w:rsidRDefault="00BA5330" w:rsidP="00BA5330">
            <w:pPr>
              <w:spacing w:line="240" w:lineRule="auto"/>
              <w:ind w:right="141"/>
              <w:rPr>
                <w:sz w:val="24"/>
                <w:szCs w:val="24"/>
                <w:lang w:val="ru-RU"/>
              </w:rPr>
            </w:pPr>
            <w:proofErr w:type="spellStart"/>
            <w:r w:rsidRPr="00BA5330">
              <w:rPr>
                <w:sz w:val="24"/>
                <w:szCs w:val="24"/>
                <w:lang w:val="ru-RU"/>
              </w:rPr>
              <w:t>Обуховской</w:t>
            </w:r>
            <w:proofErr w:type="spellEnd"/>
            <w:r w:rsidRPr="00BA5330">
              <w:rPr>
                <w:sz w:val="24"/>
                <w:szCs w:val="24"/>
                <w:lang w:val="ru-RU"/>
              </w:rPr>
              <w:t xml:space="preserve"> обороны, д.120</w:t>
            </w:r>
          </w:p>
          <w:p w:rsidR="00BA5330" w:rsidRPr="00BA5330" w:rsidRDefault="00BA5330" w:rsidP="00BA5330">
            <w:pPr>
              <w:spacing w:line="240" w:lineRule="auto"/>
              <w:ind w:right="141"/>
              <w:rPr>
                <w:sz w:val="24"/>
                <w:szCs w:val="24"/>
                <w:lang w:val="ru-RU"/>
              </w:rPr>
            </w:pPr>
            <w:r w:rsidRPr="00BA5330">
              <w:rPr>
                <w:sz w:val="24"/>
                <w:szCs w:val="24"/>
                <w:lang w:val="ru-RU"/>
              </w:rPr>
              <w:t>ИНН 7811406004/КПП 781101001</w:t>
            </w:r>
          </w:p>
          <w:p w:rsidR="00BA5330" w:rsidRPr="00BA5330" w:rsidRDefault="00BA5330" w:rsidP="00BA5330">
            <w:pPr>
              <w:spacing w:line="240" w:lineRule="auto"/>
              <w:ind w:right="141"/>
              <w:rPr>
                <w:sz w:val="24"/>
                <w:szCs w:val="24"/>
                <w:lang w:val="ru-RU"/>
              </w:rPr>
            </w:pPr>
            <w:r w:rsidRPr="00BA5330">
              <w:rPr>
                <w:sz w:val="24"/>
                <w:szCs w:val="24"/>
                <w:lang w:val="ru-RU"/>
              </w:rPr>
              <w:t>ОГРН 1089847180532</w:t>
            </w:r>
          </w:p>
          <w:p w:rsidR="00BA5330" w:rsidRPr="00BA5330" w:rsidRDefault="00BA5330" w:rsidP="00BA5330">
            <w:pPr>
              <w:spacing w:line="240" w:lineRule="auto"/>
              <w:ind w:right="141"/>
              <w:rPr>
                <w:sz w:val="24"/>
                <w:szCs w:val="24"/>
                <w:lang w:val="ru-RU"/>
              </w:rPr>
            </w:pPr>
            <w:r w:rsidRPr="00BA5330">
              <w:rPr>
                <w:sz w:val="24"/>
                <w:szCs w:val="24"/>
                <w:lang w:val="ru-RU"/>
              </w:rPr>
              <w:t xml:space="preserve">ОКПО 85551285 </w:t>
            </w:r>
          </w:p>
          <w:p w:rsidR="00BA5330" w:rsidRPr="00BA5330" w:rsidRDefault="00BA5330" w:rsidP="00BA5330">
            <w:pPr>
              <w:spacing w:line="240" w:lineRule="auto"/>
              <w:ind w:right="141"/>
              <w:rPr>
                <w:sz w:val="24"/>
                <w:szCs w:val="24"/>
                <w:lang w:val="ru-RU"/>
              </w:rPr>
            </w:pPr>
            <w:r w:rsidRPr="00BA5330">
              <w:rPr>
                <w:sz w:val="24"/>
                <w:szCs w:val="24"/>
                <w:lang w:val="ru-RU"/>
              </w:rPr>
              <w:t>ОКАТО 40285564000</w:t>
            </w:r>
          </w:p>
          <w:p w:rsidR="00BA5330" w:rsidRPr="00BA5330" w:rsidRDefault="00BA5330" w:rsidP="00BA5330">
            <w:pPr>
              <w:spacing w:line="240" w:lineRule="auto"/>
              <w:ind w:right="141"/>
              <w:rPr>
                <w:sz w:val="24"/>
                <w:szCs w:val="24"/>
                <w:lang w:val="ru-RU"/>
              </w:rPr>
            </w:pPr>
            <w:proofErr w:type="gramStart"/>
            <w:r w:rsidRPr="00BA5330">
              <w:rPr>
                <w:sz w:val="24"/>
                <w:szCs w:val="24"/>
                <w:lang w:val="ru-RU"/>
              </w:rPr>
              <w:t>р</w:t>
            </w:r>
            <w:proofErr w:type="gramEnd"/>
            <w:r w:rsidRPr="00BA5330">
              <w:rPr>
                <w:sz w:val="24"/>
                <w:szCs w:val="24"/>
                <w:lang w:val="ru-RU"/>
              </w:rPr>
              <w:t xml:space="preserve">/с №40702810839040002621 </w:t>
            </w:r>
          </w:p>
          <w:p w:rsidR="00BA5330" w:rsidRPr="00BA5330" w:rsidRDefault="00BA5330" w:rsidP="00BA5330">
            <w:pPr>
              <w:spacing w:line="240" w:lineRule="auto"/>
              <w:ind w:right="141"/>
              <w:rPr>
                <w:sz w:val="24"/>
                <w:szCs w:val="24"/>
                <w:lang w:val="ru-RU"/>
              </w:rPr>
            </w:pPr>
            <w:r w:rsidRPr="00BA5330">
              <w:rPr>
                <w:sz w:val="24"/>
                <w:szCs w:val="24"/>
                <w:lang w:val="ru-RU"/>
              </w:rPr>
              <w:t xml:space="preserve">Филиал ОПЕРУ ПАО Банк ВТБ </w:t>
            </w:r>
          </w:p>
          <w:p w:rsidR="00BA5330" w:rsidRPr="00BA5330" w:rsidRDefault="00BA5330" w:rsidP="00BA5330">
            <w:pPr>
              <w:spacing w:line="240" w:lineRule="auto"/>
              <w:ind w:right="141"/>
              <w:rPr>
                <w:sz w:val="24"/>
                <w:szCs w:val="24"/>
                <w:lang w:val="ru-RU"/>
              </w:rPr>
            </w:pPr>
            <w:r w:rsidRPr="00BA5330">
              <w:rPr>
                <w:sz w:val="24"/>
                <w:szCs w:val="24"/>
                <w:lang w:val="ru-RU"/>
              </w:rPr>
              <w:t>в Санкт-Петербурге</w:t>
            </w:r>
          </w:p>
          <w:p w:rsidR="00BA5330" w:rsidRPr="00BA5330" w:rsidRDefault="00BA5330" w:rsidP="00BA5330">
            <w:pPr>
              <w:spacing w:line="240" w:lineRule="auto"/>
              <w:ind w:right="141"/>
              <w:rPr>
                <w:sz w:val="24"/>
                <w:szCs w:val="24"/>
                <w:lang w:val="ru-RU"/>
              </w:rPr>
            </w:pPr>
            <w:r w:rsidRPr="00BA5330">
              <w:rPr>
                <w:sz w:val="24"/>
                <w:szCs w:val="24"/>
                <w:lang w:val="ru-RU"/>
              </w:rPr>
              <w:t xml:space="preserve">к/с 30101810200000000704, </w:t>
            </w:r>
          </w:p>
          <w:p w:rsidR="00BA5330" w:rsidRPr="00BA5330" w:rsidRDefault="00BA5330" w:rsidP="00BA5330">
            <w:pPr>
              <w:spacing w:line="240" w:lineRule="auto"/>
              <w:ind w:right="141"/>
              <w:rPr>
                <w:sz w:val="24"/>
                <w:szCs w:val="24"/>
                <w:lang w:val="ru-RU"/>
              </w:rPr>
            </w:pPr>
            <w:r w:rsidRPr="00BA5330">
              <w:rPr>
                <w:sz w:val="24"/>
                <w:szCs w:val="24"/>
                <w:lang w:val="ru-RU"/>
              </w:rPr>
              <w:t>БИК 044030704</w:t>
            </w:r>
          </w:p>
          <w:p w:rsidR="00BA5330" w:rsidRPr="00BA5330" w:rsidRDefault="00BA5330" w:rsidP="00BA5330">
            <w:pPr>
              <w:spacing w:line="240" w:lineRule="auto"/>
              <w:ind w:right="141"/>
              <w:rPr>
                <w:sz w:val="24"/>
                <w:szCs w:val="24"/>
                <w:lang w:val="ru-RU"/>
              </w:rPr>
            </w:pPr>
            <w:r w:rsidRPr="00BA5330">
              <w:rPr>
                <w:sz w:val="24"/>
                <w:szCs w:val="24"/>
                <w:lang w:val="ru-RU"/>
              </w:rPr>
              <w:t>Тел. 8 (812) 363-90-38</w:t>
            </w:r>
          </w:p>
          <w:p w:rsidR="00BA5330" w:rsidRPr="00BA5330" w:rsidRDefault="00BA5330" w:rsidP="00BA5330">
            <w:pPr>
              <w:spacing w:line="240" w:lineRule="auto"/>
              <w:ind w:right="141"/>
              <w:rPr>
                <w:sz w:val="24"/>
                <w:szCs w:val="24"/>
                <w:lang w:val="ru-RU"/>
              </w:rPr>
            </w:pPr>
            <w:r w:rsidRPr="00BA5330">
              <w:rPr>
                <w:sz w:val="24"/>
                <w:szCs w:val="24"/>
                <w:lang w:val="ru-RU"/>
              </w:rPr>
              <w:t>Факс: 8 (812) 329-98-11</w:t>
            </w:r>
          </w:p>
          <w:p w:rsidR="00BA5330" w:rsidRPr="00BA5330" w:rsidRDefault="00BA5330" w:rsidP="00BA5330">
            <w:pPr>
              <w:spacing w:line="240" w:lineRule="auto"/>
              <w:ind w:right="141"/>
              <w:rPr>
                <w:b/>
                <w:sz w:val="24"/>
                <w:szCs w:val="24"/>
                <w:lang w:val="ru-RU"/>
              </w:rPr>
            </w:pPr>
          </w:p>
          <w:p w:rsidR="00BA5330" w:rsidRPr="00BA5330" w:rsidRDefault="00BA5330" w:rsidP="00BA5330">
            <w:pPr>
              <w:spacing w:line="240" w:lineRule="auto"/>
              <w:ind w:right="141"/>
              <w:rPr>
                <w:b/>
                <w:sz w:val="24"/>
                <w:szCs w:val="24"/>
                <w:lang w:val="ru-RU"/>
              </w:rPr>
            </w:pPr>
            <w:r w:rsidRPr="00BA5330">
              <w:rPr>
                <w:b/>
                <w:sz w:val="24"/>
                <w:szCs w:val="24"/>
                <w:lang w:val="ru-RU"/>
              </w:rPr>
              <w:t>Генеральный директор</w:t>
            </w:r>
          </w:p>
          <w:p w:rsidR="00BA5330" w:rsidRPr="00BA5330" w:rsidRDefault="00BA5330" w:rsidP="00BA5330">
            <w:pPr>
              <w:spacing w:line="240" w:lineRule="auto"/>
              <w:ind w:right="141"/>
              <w:rPr>
                <w:b/>
                <w:sz w:val="24"/>
                <w:szCs w:val="24"/>
                <w:lang w:val="ru-RU"/>
              </w:rPr>
            </w:pPr>
          </w:p>
          <w:p w:rsidR="00BA5330" w:rsidRPr="00BA5330" w:rsidRDefault="00BA5330" w:rsidP="00BA5330">
            <w:pPr>
              <w:spacing w:line="240" w:lineRule="auto"/>
              <w:ind w:right="141"/>
              <w:rPr>
                <w:b/>
                <w:sz w:val="24"/>
                <w:szCs w:val="24"/>
                <w:lang w:val="ru-RU"/>
              </w:rPr>
            </w:pPr>
            <w:r w:rsidRPr="00BA5330">
              <w:rPr>
                <w:b/>
                <w:sz w:val="24"/>
                <w:szCs w:val="24"/>
                <w:lang w:val="ru-RU"/>
              </w:rPr>
              <w:t>________________ /Подвязников М.Л./</w:t>
            </w:r>
          </w:p>
          <w:p w:rsidR="00BA5330" w:rsidRPr="00BA5330" w:rsidRDefault="00BA5330" w:rsidP="00BA5330">
            <w:pPr>
              <w:spacing w:line="240" w:lineRule="auto"/>
              <w:rPr>
                <w:sz w:val="24"/>
                <w:szCs w:val="24"/>
                <w:lang w:val="ru-RU"/>
              </w:rPr>
            </w:pPr>
          </w:p>
          <w:p w:rsidR="00BA5330" w:rsidRPr="00BA5330" w:rsidRDefault="00BA5330" w:rsidP="00BA5330">
            <w:pPr>
              <w:spacing w:line="240" w:lineRule="auto"/>
              <w:rPr>
                <w:sz w:val="24"/>
                <w:szCs w:val="24"/>
                <w:lang w:val="ru-RU"/>
              </w:rPr>
            </w:pPr>
          </w:p>
          <w:p w:rsidR="00BA5330" w:rsidRPr="00BA5330" w:rsidRDefault="00BA5330" w:rsidP="00BA5330">
            <w:pPr>
              <w:spacing w:line="240" w:lineRule="auto"/>
              <w:rPr>
                <w:sz w:val="24"/>
                <w:szCs w:val="24"/>
                <w:lang w:val="ru-RU"/>
              </w:rPr>
            </w:pPr>
          </w:p>
          <w:p w:rsidR="00BA5330" w:rsidRPr="00BA5330" w:rsidRDefault="00BA5330" w:rsidP="00BA5330">
            <w:pPr>
              <w:spacing w:line="240" w:lineRule="auto"/>
              <w:rPr>
                <w:sz w:val="24"/>
                <w:szCs w:val="24"/>
                <w:lang w:val="ru-RU"/>
              </w:rPr>
            </w:pPr>
          </w:p>
          <w:p w:rsidR="00BA5330" w:rsidRPr="00BA5330" w:rsidRDefault="00BA5330" w:rsidP="00BA5330">
            <w:pPr>
              <w:spacing w:line="240" w:lineRule="auto"/>
              <w:rPr>
                <w:sz w:val="24"/>
                <w:szCs w:val="24"/>
                <w:lang w:val="ru-RU"/>
              </w:rPr>
            </w:pPr>
          </w:p>
          <w:p w:rsidR="00BA5330" w:rsidRPr="00BA5330" w:rsidRDefault="00BA5330" w:rsidP="00BA5330">
            <w:pPr>
              <w:spacing w:line="240" w:lineRule="auto"/>
              <w:rPr>
                <w:sz w:val="24"/>
                <w:szCs w:val="24"/>
                <w:lang w:val="ru-RU"/>
              </w:rPr>
            </w:pPr>
          </w:p>
        </w:tc>
        <w:tc>
          <w:tcPr>
            <w:tcW w:w="4489" w:type="dxa"/>
          </w:tcPr>
          <w:p w:rsidR="00BA5330" w:rsidRPr="008B6B8A" w:rsidRDefault="00BA5330" w:rsidP="00757078">
            <w:pPr>
              <w:pStyle w:val="a5"/>
              <w:snapToGrid w:val="0"/>
              <w:rPr>
                <w:b/>
                <w:sz w:val="24"/>
                <w:szCs w:val="24"/>
              </w:rPr>
            </w:pPr>
          </w:p>
          <w:p w:rsidR="00BA5330" w:rsidRPr="008B6B8A" w:rsidRDefault="0069012A" w:rsidP="00757078">
            <w:pPr>
              <w:pStyle w:val="a5"/>
              <w:rPr>
                <w:b/>
                <w:sz w:val="24"/>
                <w:szCs w:val="24"/>
              </w:rPr>
            </w:pPr>
            <w:r>
              <w:rPr>
                <w:b/>
                <w:sz w:val="24"/>
                <w:szCs w:val="24"/>
              </w:rPr>
              <w:t>_____________________________</w:t>
            </w:r>
          </w:p>
          <w:p w:rsidR="00BA5330" w:rsidRPr="008B6B8A" w:rsidRDefault="00BA5330" w:rsidP="00BA5330">
            <w:pPr>
              <w:pStyle w:val="a5"/>
              <w:rPr>
                <w:sz w:val="24"/>
                <w:szCs w:val="24"/>
              </w:rPr>
            </w:pPr>
            <w:r w:rsidRPr="008B6B8A">
              <w:rPr>
                <w:sz w:val="24"/>
                <w:szCs w:val="24"/>
              </w:rPr>
              <w:t xml:space="preserve">Реквизиты:   </w:t>
            </w:r>
          </w:p>
          <w:p w:rsidR="00BA5330" w:rsidRPr="008B6B8A" w:rsidRDefault="00BA5330" w:rsidP="00BA5330">
            <w:pPr>
              <w:pStyle w:val="a5"/>
              <w:rPr>
                <w:sz w:val="24"/>
                <w:szCs w:val="24"/>
              </w:rPr>
            </w:pPr>
            <w:r w:rsidRPr="008B6B8A">
              <w:rPr>
                <w:sz w:val="24"/>
                <w:szCs w:val="24"/>
              </w:rPr>
              <w:t xml:space="preserve">ИНН/КПП: </w:t>
            </w:r>
          </w:p>
          <w:p w:rsidR="00BA5330" w:rsidRPr="008B6B8A" w:rsidRDefault="00BA5330" w:rsidP="0069012A">
            <w:pPr>
              <w:pStyle w:val="a5"/>
              <w:rPr>
                <w:sz w:val="24"/>
                <w:szCs w:val="24"/>
              </w:rPr>
            </w:pPr>
            <w:r w:rsidRPr="008B6B8A">
              <w:rPr>
                <w:sz w:val="24"/>
                <w:szCs w:val="24"/>
              </w:rPr>
              <w:t xml:space="preserve">Юридический адрес: </w:t>
            </w:r>
            <w:proofErr w:type="gramStart"/>
            <w:r w:rsidRPr="008B6B8A">
              <w:rPr>
                <w:sz w:val="24"/>
                <w:szCs w:val="24"/>
              </w:rPr>
              <w:t>Р</w:t>
            </w:r>
            <w:proofErr w:type="gramEnd"/>
            <w:r w:rsidRPr="008B6B8A">
              <w:rPr>
                <w:sz w:val="24"/>
                <w:szCs w:val="24"/>
              </w:rPr>
              <w:t xml:space="preserve">/С:  </w:t>
            </w:r>
          </w:p>
          <w:p w:rsidR="00BA5330" w:rsidRPr="008B6B8A" w:rsidRDefault="00BA5330" w:rsidP="00BA5330">
            <w:pPr>
              <w:pStyle w:val="a5"/>
              <w:rPr>
                <w:sz w:val="24"/>
                <w:szCs w:val="24"/>
              </w:rPr>
            </w:pPr>
            <w:r w:rsidRPr="008B6B8A">
              <w:rPr>
                <w:sz w:val="24"/>
                <w:szCs w:val="24"/>
              </w:rPr>
              <w:t xml:space="preserve">БИК: </w:t>
            </w:r>
          </w:p>
          <w:p w:rsidR="00BA5330" w:rsidRPr="008B6B8A" w:rsidRDefault="00BA5330" w:rsidP="00BA5330">
            <w:pPr>
              <w:pStyle w:val="a5"/>
              <w:rPr>
                <w:sz w:val="24"/>
                <w:szCs w:val="24"/>
              </w:rPr>
            </w:pPr>
            <w:r w:rsidRPr="008B6B8A">
              <w:rPr>
                <w:sz w:val="24"/>
                <w:szCs w:val="24"/>
              </w:rPr>
              <w:t xml:space="preserve">К/С: </w:t>
            </w:r>
          </w:p>
          <w:p w:rsidR="00BA5330" w:rsidRPr="008B6B8A" w:rsidRDefault="00BA5330" w:rsidP="00BA5330">
            <w:pPr>
              <w:pStyle w:val="a5"/>
              <w:rPr>
                <w:sz w:val="24"/>
                <w:szCs w:val="24"/>
              </w:rPr>
            </w:pPr>
            <w:r w:rsidRPr="008B6B8A">
              <w:rPr>
                <w:sz w:val="24"/>
                <w:szCs w:val="24"/>
              </w:rPr>
              <w:t xml:space="preserve">Телефон: </w:t>
            </w:r>
          </w:p>
          <w:p w:rsidR="00BA5330" w:rsidRPr="008B6B8A" w:rsidRDefault="00BA5330" w:rsidP="00BA5330">
            <w:pPr>
              <w:pStyle w:val="a5"/>
              <w:rPr>
                <w:sz w:val="24"/>
                <w:szCs w:val="24"/>
              </w:rPr>
            </w:pPr>
            <w:r w:rsidRPr="008B6B8A">
              <w:rPr>
                <w:sz w:val="24"/>
                <w:szCs w:val="24"/>
              </w:rPr>
              <w:t xml:space="preserve">Факс: </w:t>
            </w:r>
          </w:p>
          <w:p w:rsidR="00BA5330" w:rsidRDefault="00BA5330"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Default="0069012A" w:rsidP="00BA5330">
            <w:pPr>
              <w:spacing w:line="240" w:lineRule="auto"/>
              <w:ind w:right="141"/>
              <w:rPr>
                <w:b/>
                <w:sz w:val="24"/>
                <w:szCs w:val="24"/>
                <w:lang w:val="ru-RU"/>
              </w:rPr>
            </w:pPr>
          </w:p>
          <w:p w:rsidR="0069012A" w:rsidRPr="00BA5330" w:rsidRDefault="0069012A" w:rsidP="00BA5330">
            <w:pPr>
              <w:spacing w:line="240" w:lineRule="auto"/>
              <w:ind w:right="141"/>
              <w:rPr>
                <w:b/>
                <w:sz w:val="24"/>
                <w:szCs w:val="24"/>
                <w:lang w:val="ru-RU"/>
              </w:rPr>
            </w:pPr>
          </w:p>
          <w:p w:rsidR="00BA5330" w:rsidRPr="00BA5330" w:rsidRDefault="00BA5330" w:rsidP="00BA5330">
            <w:pPr>
              <w:spacing w:line="240" w:lineRule="auto"/>
              <w:ind w:right="141"/>
              <w:rPr>
                <w:b/>
                <w:sz w:val="24"/>
                <w:szCs w:val="24"/>
                <w:lang w:val="ru-RU"/>
              </w:rPr>
            </w:pPr>
            <w:r w:rsidRPr="00BA5330">
              <w:rPr>
                <w:b/>
                <w:sz w:val="24"/>
                <w:szCs w:val="24"/>
                <w:lang w:val="ru-RU"/>
              </w:rPr>
              <w:t>Генеральный директор</w:t>
            </w:r>
          </w:p>
          <w:p w:rsidR="00BA5330" w:rsidRPr="00BA5330" w:rsidRDefault="00BA5330" w:rsidP="00BA5330">
            <w:pPr>
              <w:spacing w:line="240" w:lineRule="auto"/>
              <w:ind w:right="141"/>
              <w:rPr>
                <w:b/>
                <w:sz w:val="24"/>
                <w:szCs w:val="24"/>
                <w:lang w:val="ru-RU"/>
              </w:rPr>
            </w:pPr>
          </w:p>
          <w:p w:rsidR="00BA5330" w:rsidRPr="00BA5330" w:rsidRDefault="00BA5330" w:rsidP="00BA5330">
            <w:pPr>
              <w:spacing w:line="240" w:lineRule="auto"/>
              <w:ind w:right="141"/>
              <w:rPr>
                <w:b/>
                <w:sz w:val="24"/>
                <w:szCs w:val="24"/>
                <w:lang w:val="ru-RU"/>
              </w:rPr>
            </w:pPr>
            <w:r w:rsidRPr="00BA5330">
              <w:rPr>
                <w:b/>
                <w:sz w:val="24"/>
                <w:szCs w:val="24"/>
                <w:lang w:val="ru-RU"/>
              </w:rPr>
              <w:t>________________ /</w:t>
            </w:r>
            <w:r w:rsidR="0069012A">
              <w:rPr>
                <w:b/>
                <w:sz w:val="24"/>
                <w:szCs w:val="24"/>
                <w:lang w:val="ru-RU"/>
              </w:rPr>
              <w:t>______________</w:t>
            </w:r>
            <w:bookmarkStart w:id="6" w:name="_GoBack"/>
            <w:bookmarkEnd w:id="6"/>
            <w:r w:rsidRPr="00BA5330">
              <w:rPr>
                <w:b/>
                <w:sz w:val="24"/>
                <w:szCs w:val="24"/>
                <w:lang w:val="ru-RU"/>
              </w:rPr>
              <w:t>/</w:t>
            </w:r>
          </w:p>
          <w:p w:rsidR="00BA5330" w:rsidRPr="00BA5330" w:rsidRDefault="00BA5330" w:rsidP="00BA5330">
            <w:pPr>
              <w:spacing w:line="240" w:lineRule="auto"/>
              <w:rPr>
                <w:sz w:val="24"/>
                <w:szCs w:val="24"/>
                <w:lang w:val="ru-RU"/>
              </w:rPr>
            </w:pPr>
          </w:p>
          <w:p w:rsidR="00BA5330" w:rsidRPr="00BA5330" w:rsidRDefault="00BA5330" w:rsidP="00757078">
            <w:pPr>
              <w:ind w:right="141"/>
              <w:rPr>
                <w:b/>
                <w:sz w:val="24"/>
                <w:szCs w:val="24"/>
                <w:lang w:val="ru-RU"/>
              </w:rPr>
            </w:pPr>
          </w:p>
        </w:tc>
      </w:tr>
    </w:tbl>
    <w:p w:rsidR="00D067AC" w:rsidRPr="0079601C" w:rsidRDefault="00D067AC" w:rsidP="00FF0130">
      <w:pPr>
        <w:spacing w:after="0"/>
        <w:rPr>
          <w:rFonts w:cs="Times New Roman"/>
          <w:lang w:val="ru-RU"/>
        </w:rPr>
      </w:pPr>
    </w:p>
    <w:sectPr w:rsidR="00D067AC" w:rsidRPr="0079601C" w:rsidSect="00683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503A7"/>
    <w:multiLevelType w:val="hybridMultilevel"/>
    <w:tmpl w:val="7F6A8990"/>
    <w:lvl w:ilvl="0" w:tplc="0419000F">
      <w:start w:val="1"/>
      <w:numFmt w:val="decimal"/>
      <w:lvlText w:val="%1."/>
      <w:lvlJc w:val="left"/>
      <w:pPr>
        <w:ind w:left="752" w:hanging="360"/>
      </w:pPr>
    </w:lvl>
    <w:lvl w:ilvl="1" w:tplc="04190019">
      <w:start w:val="1"/>
      <w:numFmt w:val="lowerLetter"/>
      <w:lvlText w:val="%2."/>
      <w:lvlJc w:val="left"/>
      <w:pPr>
        <w:ind w:left="1472" w:hanging="360"/>
      </w:pPr>
    </w:lvl>
    <w:lvl w:ilvl="2" w:tplc="0419001B">
      <w:start w:val="1"/>
      <w:numFmt w:val="lowerRoman"/>
      <w:lvlText w:val="%3."/>
      <w:lvlJc w:val="right"/>
      <w:pPr>
        <w:ind w:left="2192" w:hanging="180"/>
      </w:pPr>
    </w:lvl>
    <w:lvl w:ilvl="3" w:tplc="0419000F">
      <w:start w:val="1"/>
      <w:numFmt w:val="decimal"/>
      <w:lvlText w:val="%4."/>
      <w:lvlJc w:val="left"/>
      <w:pPr>
        <w:ind w:left="2912" w:hanging="360"/>
      </w:pPr>
    </w:lvl>
    <w:lvl w:ilvl="4" w:tplc="04190019">
      <w:start w:val="1"/>
      <w:numFmt w:val="lowerLetter"/>
      <w:lvlText w:val="%5."/>
      <w:lvlJc w:val="left"/>
      <w:pPr>
        <w:ind w:left="3632" w:hanging="360"/>
      </w:pPr>
    </w:lvl>
    <w:lvl w:ilvl="5" w:tplc="0419001B">
      <w:start w:val="1"/>
      <w:numFmt w:val="lowerRoman"/>
      <w:lvlText w:val="%6."/>
      <w:lvlJc w:val="right"/>
      <w:pPr>
        <w:ind w:left="4352" w:hanging="180"/>
      </w:pPr>
    </w:lvl>
    <w:lvl w:ilvl="6" w:tplc="0419000F">
      <w:start w:val="1"/>
      <w:numFmt w:val="decimal"/>
      <w:lvlText w:val="%7."/>
      <w:lvlJc w:val="left"/>
      <w:pPr>
        <w:ind w:left="5072" w:hanging="360"/>
      </w:pPr>
    </w:lvl>
    <w:lvl w:ilvl="7" w:tplc="04190019">
      <w:start w:val="1"/>
      <w:numFmt w:val="lowerLetter"/>
      <w:lvlText w:val="%8."/>
      <w:lvlJc w:val="left"/>
      <w:pPr>
        <w:ind w:left="5792" w:hanging="360"/>
      </w:pPr>
    </w:lvl>
    <w:lvl w:ilvl="8" w:tplc="0419001B">
      <w:start w:val="1"/>
      <w:numFmt w:val="lowerRoman"/>
      <w:lvlText w:val="%9."/>
      <w:lvlJc w:val="right"/>
      <w:pPr>
        <w:ind w:left="651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2B6"/>
    <w:rsid w:val="000F1D86"/>
    <w:rsid w:val="001F0AD8"/>
    <w:rsid w:val="001F158E"/>
    <w:rsid w:val="0020551E"/>
    <w:rsid w:val="003852B6"/>
    <w:rsid w:val="004561DE"/>
    <w:rsid w:val="006833D7"/>
    <w:rsid w:val="0069012A"/>
    <w:rsid w:val="007346F5"/>
    <w:rsid w:val="00787931"/>
    <w:rsid w:val="0079601C"/>
    <w:rsid w:val="0089664A"/>
    <w:rsid w:val="008A35D0"/>
    <w:rsid w:val="009259A1"/>
    <w:rsid w:val="0099493B"/>
    <w:rsid w:val="009A7A5B"/>
    <w:rsid w:val="00AC2949"/>
    <w:rsid w:val="00BA5330"/>
    <w:rsid w:val="00D067AC"/>
    <w:rsid w:val="00DA7687"/>
    <w:rsid w:val="00DD5315"/>
    <w:rsid w:val="00E15C26"/>
    <w:rsid w:val="00F05F28"/>
    <w:rsid w:val="00F337AC"/>
    <w:rsid w:val="00F44F2D"/>
    <w:rsid w:val="00FB0415"/>
    <w:rsid w:val="00FF0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dnote tex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6F5"/>
    <w:pPr>
      <w:spacing w:after="200" w:line="276" w:lineRule="auto"/>
    </w:pPr>
    <w:rPr>
      <w:rFonts w:ascii="Cambria" w:eastAsia="Times New Roman" w:hAnsi="Cambria" w:cs="Cambria"/>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rsid w:val="00FF0130"/>
    <w:pPr>
      <w:spacing w:after="0" w:line="240" w:lineRule="auto"/>
    </w:pPr>
    <w:rPr>
      <w:rFonts w:ascii="MS Serif" w:hAnsi="MS Serif" w:cs="Times New Roman"/>
      <w:sz w:val="20"/>
      <w:szCs w:val="20"/>
      <w:lang w:val="ru-RU" w:eastAsia="ru-RU"/>
    </w:rPr>
  </w:style>
  <w:style w:type="character" w:customStyle="1" w:styleId="a4">
    <w:name w:val="Текст концевой сноски Знак"/>
    <w:link w:val="a3"/>
    <w:semiHidden/>
    <w:rsid w:val="00FF0130"/>
    <w:rPr>
      <w:rFonts w:ascii="MS Serif" w:eastAsia="Times New Roman" w:hAnsi="MS Serif"/>
    </w:rPr>
  </w:style>
  <w:style w:type="paragraph" w:styleId="a5">
    <w:name w:val="Body Text"/>
    <w:basedOn w:val="a"/>
    <w:link w:val="a6"/>
    <w:uiPriority w:val="99"/>
    <w:rsid w:val="00BA5330"/>
    <w:pPr>
      <w:spacing w:after="120" w:line="240" w:lineRule="auto"/>
    </w:pPr>
    <w:rPr>
      <w:rFonts w:ascii="Times New Roman" w:hAnsi="Times New Roman" w:cs="Times New Roman"/>
      <w:sz w:val="20"/>
      <w:szCs w:val="20"/>
      <w:lang w:val="ru-RU" w:eastAsia="ru-RU"/>
    </w:rPr>
  </w:style>
  <w:style w:type="character" w:customStyle="1" w:styleId="a6">
    <w:name w:val="Основной текст Знак"/>
    <w:link w:val="a5"/>
    <w:uiPriority w:val="99"/>
    <w:rsid w:val="00BA5330"/>
    <w:rPr>
      <w:rFonts w:ascii="Times New Roman" w:eastAsia="Times New Roman" w:hAnsi="Times New Roman"/>
    </w:rPr>
  </w:style>
  <w:style w:type="paragraph" w:customStyle="1" w:styleId="FR2">
    <w:name w:val="FR2"/>
    <w:uiPriority w:val="99"/>
    <w:rsid w:val="00BA5330"/>
    <w:pPr>
      <w:widowControl w:val="0"/>
      <w:snapToGrid w:val="0"/>
      <w:ind w:left="1120"/>
      <w:jc w:val="both"/>
    </w:pPr>
    <w:rPr>
      <w:rFonts w:ascii="Arial" w:eastAsia="Times New Roman"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endnote tex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6F5"/>
    <w:pPr>
      <w:spacing w:after="200" w:line="276" w:lineRule="auto"/>
    </w:pPr>
    <w:rPr>
      <w:rFonts w:ascii="Cambria" w:eastAsia="Times New Roman" w:hAnsi="Cambria" w:cs="Cambria"/>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rsid w:val="00FF0130"/>
    <w:pPr>
      <w:spacing w:after="0" w:line="240" w:lineRule="auto"/>
    </w:pPr>
    <w:rPr>
      <w:rFonts w:ascii="MS Serif" w:hAnsi="MS Serif" w:cs="Times New Roman"/>
      <w:sz w:val="20"/>
      <w:szCs w:val="20"/>
      <w:lang w:val="ru-RU" w:eastAsia="ru-RU"/>
    </w:rPr>
  </w:style>
  <w:style w:type="character" w:customStyle="1" w:styleId="a4">
    <w:name w:val="Текст концевой сноски Знак"/>
    <w:link w:val="a3"/>
    <w:semiHidden/>
    <w:rsid w:val="00FF0130"/>
    <w:rPr>
      <w:rFonts w:ascii="MS Serif" w:eastAsia="Times New Roman" w:hAnsi="MS Serif"/>
    </w:rPr>
  </w:style>
  <w:style w:type="paragraph" w:styleId="a5">
    <w:name w:val="Body Text"/>
    <w:basedOn w:val="a"/>
    <w:link w:val="a6"/>
    <w:uiPriority w:val="99"/>
    <w:rsid w:val="00BA5330"/>
    <w:pPr>
      <w:spacing w:after="120" w:line="240" w:lineRule="auto"/>
    </w:pPr>
    <w:rPr>
      <w:rFonts w:ascii="Times New Roman" w:hAnsi="Times New Roman" w:cs="Times New Roman"/>
      <w:sz w:val="20"/>
      <w:szCs w:val="20"/>
      <w:lang w:val="ru-RU" w:eastAsia="ru-RU"/>
    </w:rPr>
  </w:style>
  <w:style w:type="character" w:customStyle="1" w:styleId="a6">
    <w:name w:val="Основной текст Знак"/>
    <w:link w:val="a5"/>
    <w:uiPriority w:val="99"/>
    <w:rsid w:val="00BA5330"/>
    <w:rPr>
      <w:rFonts w:ascii="Times New Roman" w:eastAsia="Times New Roman" w:hAnsi="Times New Roman"/>
    </w:rPr>
  </w:style>
  <w:style w:type="paragraph" w:customStyle="1" w:styleId="FR2">
    <w:name w:val="FR2"/>
    <w:uiPriority w:val="99"/>
    <w:rsid w:val="00BA5330"/>
    <w:pPr>
      <w:widowControl w:val="0"/>
      <w:snapToGrid w:val="0"/>
      <w:ind w:left="1120"/>
      <w:jc w:val="both"/>
    </w:pPr>
    <w:rPr>
      <w:rFonts w:ascii="Arial" w:eastAsia="Times New Roman"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58591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1146</Words>
  <Characters>8599</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Макогонская</dc:creator>
  <cp:lastModifiedBy>Лаптева Эльвира Романовна</cp:lastModifiedBy>
  <cp:revision>3</cp:revision>
  <cp:lastPrinted>2017-12-08T07:41:00Z</cp:lastPrinted>
  <dcterms:created xsi:type="dcterms:W3CDTF">2019-09-05T09:01:00Z</dcterms:created>
  <dcterms:modified xsi:type="dcterms:W3CDTF">2019-09-13T12:04:00Z</dcterms:modified>
</cp:coreProperties>
</file>