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2A215F"/>
          <w:sz w:val="52"/>
        </w:rPr>
        <w:t>Прототипы кабинета Арины</w:t>
      </w:r>
    </w:p>
    <w:p>
      <w:r>
        <w:rPr>
          <w:color w:val="444444"/>
          <w:sz w:val="24"/>
        </w:rPr>
        <w:t>Сначала — где открыть. Ниже — что на экранах.</w:t>
      </w:r>
    </w:p>
    <w:p>
      <w:pPr>
        <w:pStyle w:val="Heading1"/>
      </w:pPr>
      <w:r>
        <w:t>1. Где смотреть</w:t>
      </w:r>
    </w:p>
    <w:p>
      <w:r>
        <w:rPr>
          <w:b w:val="0"/>
        </w:rPr>
        <w:t>Два прототипа одного демо-клиента, Арины Демченко. Старый — кабинет кредитной истории BIDON. Новый — рефинансирование в интерфейсе Кредистории. У каждого своя ссылка и свой пароль.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752" w:type="dxa"/>
      </w:tblPr>
      <w:tblGrid>
        <w:gridCol w:w="2948"/>
        <w:gridCol w:w="4876"/>
        <w:gridCol w:w="1927"/>
      </w:tblGrid>
      <w:tr>
        <w:tc>
          <w:tcPr>
            <w:tcW w:type="dxa" w:w="3213"/>
            <w:shd w:fill="4C33E4" w:val="clear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Прототип</w:t>
            </w:r>
          </w:p>
        </w:tc>
        <w:tc>
          <w:tcPr>
            <w:tcW w:type="dxa" w:w="3213"/>
            <w:shd w:fill="4C33E4" w:val="clear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213"/>
            <w:shd w:fill="4C33E4" w:val="clear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Пароль</w:t>
            </w:r>
          </w:p>
        </w:tc>
      </w:tr>
      <w:tr>
        <w:tc>
          <w:tcPr>
            <w:tcW w:type="dxa" w:w="3213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Старый. Вход и раздел «Моя кредитная история»</w:t>
            </w:r>
          </w:p>
        </w:tc>
        <w:tc>
          <w:tcPr>
            <w:tcW w:type="dxa" w:w="3213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https://bidonlab.com/customer-v2/arina</w:t>
            </w:r>
          </w:p>
        </w:tc>
        <w:tc>
          <w:tcPr>
            <w:tcW w:type="dxa" w:w="3213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2"/>
              </w:rPr>
              <w:t>bidon2026</w:t>
            </w:r>
          </w:p>
        </w:tc>
      </w:tr>
      <w:tr>
        <w:tc>
          <w:tcPr>
            <w:tcW w:type="dxa" w:w="3213"/>
            <w:shd w:fill="F4F2FC" w:val="clear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Старый. «Мой финансовый помощник»</w:t>
            </w:r>
          </w:p>
        </w:tc>
        <w:tc>
          <w:tcPr>
            <w:tcW w:type="dxa" w:w="3213"/>
            <w:shd w:fill="F4F2FC" w:val="clear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https://bidonlab.com/customer-v2/arina/advisor</w:t>
            </w:r>
          </w:p>
        </w:tc>
        <w:tc>
          <w:tcPr>
            <w:tcW w:type="dxa" w:w="3213"/>
            <w:shd w:fill="F4F2FC" w:val="clear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2"/>
              </w:rPr>
              <w:t>bidon2026</w:t>
            </w:r>
          </w:p>
        </w:tc>
      </w:tr>
      <w:tr>
        <w:tc>
          <w:tcPr>
            <w:tcW w:type="dxa" w:w="3213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Старый. «Предодобренные предложения и заявки»</w:t>
            </w:r>
          </w:p>
        </w:tc>
        <w:tc>
          <w:tcPr>
            <w:tcW w:type="dxa" w:w="3213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https://bidonlab.com/customer-v2/arina/offers</w:t>
            </w:r>
          </w:p>
        </w:tc>
        <w:tc>
          <w:tcPr>
            <w:tcW w:type="dxa" w:w="3213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2"/>
              </w:rPr>
              <w:t>bidon2026</w:t>
            </w:r>
          </w:p>
        </w:tc>
      </w:tr>
      <w:tr>
        <w:tc>
          <w:tcPr>
            <w:tcW w:type="dxa" w:w="3213"/>
            <w:shd w:fill="F4F2FC" w:val="clear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Старый. «Мои заявки»</w:t>
            </w:r>
          </w:p>
        </w:tc>
        <w:tc>
          <w:tcPr>
            <w:tcW w:type="dxa" w:w="3213"/>
            <w:shd w:fill="F4F2FC" w:val="clear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https://bidonlab.com/customer-v2/arina/applications</w:t>
            </w:r>
          </w:p>
        </w:tc>
        <w:tc>
          <w:tcPr>
            <w:tcW w:type="dxa" w:w="3213"/>
            <w:shd w:fill="F4F2FC" w:val="clear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2"/>
              </w:rPr>
              <w:t>bidon2026</w:t>
            </w:r>
          </w:p>
        </w:tc>
      </w:tr>
      <w:tr>
        <w:tc>
          <w:tcPr>
            <w:tcW w:type="dxa" w:w="3213"/>
            <w:tcW w:w="2948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Новый. Вход и кабинет рефинансирования</w:t>
            </w:r>
          </w:p>
        </w:tc>
        <w:tc>
          <w:tcPr>
            <w:tcW w:type="dxa" w:w="3213"/>
            <w:tcW w:w="4876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https://nastynastya2024.github.io/CR_history/</w:t>
            </w:r>
          </w:p>
        </w:tc>
        <w:tc>
          <w:tcPr>
            <w:tcW w:type="dxa" w:w="3213"/>
            <w:tcW w:w="1927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2"/>
              </w:rPr>
              <w:t>Refi-Arina-2026</w:t>
            </w:r>
          </w:p>
        </w:tc>
      </w:tr>
    </w:tbl>
    <w:p/>
    <w:p>
      <w:r>
        <w:rPr>
          <w:b w:val="0"/>
        </w:rPr>
        <w:t>Пароль старого прототипа один на все четыре ссылки. После входа он помнится, пока вкладка открыта. Пароль нового прототипа другой. Галочка «Запомнить на этом устройстве на 7 дней» сохраняет вход; без галочки вход действует до закрытия вкладки. Выход в новом прототипе: аватар «АД» справа вверху → «Выйти».</w:t>
      </w:r>
    </w:p>
    <w:p>
      <w:pPr>
        <w:pStyle w:val="Heading1"/>
      </w:pPr>
      <w:r>
        <w:t>2. Описание экранов</w:t>
      </w:r>
    </w:p>
    <w:p>
      <w:pPr>
        <w:pStyle w:val="Heading2"/>
      </w:pPr>
      <w:r>
        <w:t>2.1. Старый прототип</w:t>
      </w:r>
    </w:p>
    <w:p>
      <w:r>
        <w:rPr>
          <w:b w:val="0"/>
        </w:rPr>
        <w:t>Перед кабинетом экран «Демо-доступ. Введите пароль для входа». В шапке кабинета: логотип BIDON, подпись «ДЕМО: КЛИЕНТ — АРИНА», кнопки «Сбросить демо» и Light / Dark, переход «Кабинет поставщика финансовых услуг».</w:t>
      </w:r>
    </w:p>
    <w:p>
      <w:pPr>
        <w:pStyle w:val="Heading3"/>
      </w:pPr>
      <w:r>
        <w:t>Моя кредитная история</w:t>
      </w:r>
    </w:p>
    <w:p>
      <w:r>
        <w:rPr>
          <w:b w:val="0"/>
        </w:rPr>
        <w:t>Первый экран кабинета. Приветствие «Привет, Арина!» и строка профиля: Демченко Арина Сергеевна, Москва, 42 года, паспорт 9999 123456, телефон +7 (999) 999-1234, почта arina@bidon.com.</w:t>
      </w:r>
    </w:p>
    <w:p>
      <w:r>
        <w:rPr>
          <w:b w:val="0"/>
        </w:rPr>
        <w:t>Под профилем четыре карточки сводки.</w:t>
      </w:r>
    </w:p>
    <w:p>
      <w:pPr>
        <w:pStyle w:val="ListBullet"/>
        <w:spacing w:after="40"/>
      </w:pPr>
      <w:r>
        <w:t>Общий долг — 5,26 млн ₽ по 4 счетам. Погашено 1,99 млн ₽, это 27 % исходной суммы. Ежемесячные платежи 139 тыс ₽. Средневзвешенная ставка 11,82 % при ключевой ставке ЦБ 14,50 %.</w:t>
      </w:r>
    </w:p>
    <w:p>
      <w:pPr>
        <w:pStyle w:val="ListBullet"/>
        <w:spacing w:after="40"/>
      </w:pPr>
      <w:r>
        <w:t>Переплата по процентам — 5,82 млн ₽. Выплачено 2,29 млн ₽ (39 %), осталось 3,52 млн ₽. Доля процентов в текущем платеже 59 % к основному долгу. За весь срок переплата составляет 80 % исходной суммы кредитов.</w:t>
      </w:r>
    </w:p>
    <w:p>
      <w:pPr>
        <w:pStyle w:val="ListBullet"/>
        <w:spacing w:after="40"/>
      </w:pPr>
      <w:r>
        <w:t>ПДН — доход из ЦПГ 480 тыс ₽ в месяц, ПДН 29 %, зона «Безопасная». Доход, указанный самостоятельно, не заполнен, поэтому второй ПДН не считается. Подсказка по нормативу ЦБ: до 50 % безопасно, 50–80 % повышенно, от 80 % критично.</w:t>
      </w:r>
    </w:p>
    <w:p>
      <w:pPr>
        <w:pStyle w:val="ListBullet"/>
        <w:spacing w:after="40"/>
      </w:pPr>
      <w:r>
        <w:t>Индивидуальный кредитный рейтинг — 948 из 999, оценка «Отличный». График за 5 лет: с июня 2021 года линия растёт от нижней зоны шкалы к текущему значению. На шкале отмечены июнь 2021, июль 2023, август 2024 и май 2026.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62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062064469_image-aeeb9713-33f1-4a43-9c2a-25934109a5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1. Старый прототип. Приветствие, профиль и четыре карточки сводки.</w:t>
      </w:r>
    </w:p>
    <w:p>
      <w:pPr>
        <w:pStyle w:val="Heading3"/>
      </w:pPr>
      <w:r>
        <w:t>Открытые счета</w:t>
      </w:r>
    </w:p>
    <w:p>
      <w:r>
        <w:rPr>
          <w:b w:val="0"/>
        </w:rPr>
        <w:t>Блок «Открытые счета», счётчик 5. Кнопка «Раскрыть все» разворачивает группы. У каждой группы есть своя кнопка «Развернуть».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Счетов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Долг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Ставка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Ипотека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3,71 млн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35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8,5 %</w:t>
            </w:r>
          </w:p>
        </w:tc>
      </w:tr>
      <w:tr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Автокредиты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397 тыс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17 тыс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12,9 %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Потреб. кредиты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1,15 млн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87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22,2 % средневзвешенная</w:t>
            </w:r>
          </w:p>
        </w:tc>
      </w:tr>
      <w:tr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Кредитные карты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 ₽, без задолженности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0,0 %</w:t>
            </w:r>
          </w:p>
        </w:tc>
      </w:tr>
    </w:tbl>
    <w:p/>
    <w:p>
      <w:r>
        <w:rPr>
          <w:b w:val="0"/>
        </w:rPr>
        <w:t>У ипотеки погашено 285 тыс ₽, у автокредита — 353 тыс ₽, у потребительских кредитов — 1,35 млн ₽. На карточке потребительских кредитов рядом со счётчиком стоит отдельная метка «1».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85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062079720_image-c39cf4e2-525f-431d-967e-7aa1c70f22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8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2. Старый прототип. Сводка и открытые счета: ипотека, автокредит, потребительские кредиты, кредитная карта.</w:t>
      </w:r>
    </w:p>
    <w:p>
      <w:pPr>
        <w:pStyle w:val="Heading3"/>
      </w:pPr>
      <w:r>
        <w:t>Закрытые счета</w:t>
      </w:r>
    </w:p>
    <w:p>
      <w:r>
        <w:rPr>
          <w:b w:val="0"/>
        </w:rPr>
        <w:t>Блок свёрнут по умолчанию, счётчик 2. Внутри одна группа «Потреб. кредиты», 2 счёта. Общая сумма долга 0 ₽, подпись «Без задолженности», ежемесячный платёж 0 ₽, средневзвешенная ставка 0,0 %. Кнопка «Развернуть 2 счёта» открывает сами договоры. Это потребительские кредиты Райффайзенбанка на 300 000 ₽ (закрыт в октябре 2024) и Газпромбанка на 1,1 млн ₽ (закрыт в апреле 2023) — те же договоры видны в запросах истории.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29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062102250_image-57752ffa-03ad-4dcd-9f9f-ebae2e34517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2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3. Старый прототип. Закрытые счета: два потребительских кредита без остатка долга.</w:t>
      </w:r>
    </w:p>
    <w:p>
      <w:pPr>
        <w:pStyle w:val="Heading3"/>
      </w:pPr>
      <w:r>
        <w:t>Запросы кредитной истории</w:t>
      </w:r>
    </w:p>
    <w:p>
      <w:r>
        <w:rPr>
          <w:b w:val="0"/>
        </w:rPr>
        <w:t>Блок «Запросы кредитной истории», счётчик 11. В развёрнутом виде это таблица: дата, банк, продукт и решение «Одобрено» или «Отказ». Заголовок таблицы поясняет, кто и когда смотрел историю. На скриншоте включена светлая тема.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409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Банк</w:t>
            </w:r>
          </w:p>
        </w:tc>
        <w:tc>
          <w:tcPr>
            <w:tcW w:type="dxa" w:w="2409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2409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15 дек. 2025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Сбербанк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Рефинансирование, предварительное одобрение не использовано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22 окт. 2025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ВТБ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Нецелевой кредит. Высокая долговая нагрузка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Отказ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05 авг. 2025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Т-Банк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Кредитная линия, овердрафт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Отказ</w:t>
            </w:r>
          </w:p>
        </w:tc>
      </w:tr>
      <w:tr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14 июн. 2025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Альфа-Банк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Нецелевой кредит, запрошено 800 000 ₽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Отказ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05 февр. 2025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Открытие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Кредитная линия, лимит 30 000 ₽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22 авг. 2024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Альфа-Банк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Потребительский кредит 1,5 млн ₽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 апр. 2024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Т-Банк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Потребительский кредит 1,0 млн ₽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02 янв. 2024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Сбербанк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Автокредит 750 000 ₽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05 июл. 2023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ВТБ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Ипотека 4,0 млн ₽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 мар. 2022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Райффайзенбанк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Потребительский кредит 300 000 ₽, закрыт окт. 2024</w:t>
            </w:r>
          </w:p>
        </w:tc>
        <w:tc>
          <w:tcPr>
            <w:tcW w:type="dxa" w:w="2409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  <w:tr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05 мая 2020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Газпромбанк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Кредит 1,1 млн ₽, закрыт апр. 2023</w:t>
            </w:r>
          </w:p>
        </w:tc>
        <w:tc>
          <w:tcPr>
            <w:tcW w:type="dxa" w:w="240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Одобрено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30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062117458_image-d9afd72e-1017-4bb1-ae13-117fa99db34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3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4. Старый прототип, светлая тема. Одиннадцать запросов кредитной истории.</w:t>
      </w:r>
    </w:p>
    <w:p>
      <w:pPr>
        <w:pStyle w:val="Heading3"/>
      </w:pPr>
      <w:r>
        <w:t>Мой финансовый помощник</w:t>
      </w:r>
    </w:p>
    <w:p>
      <w:r>
        <w:rPr>
          <w:b w:val="0"/>
        </w:rPr>
        <w:t>Сверху блок «Рыночные ориентиры»: ставка ЦБ 14,00 % (на 16.10.2026), курсы USD 82,61 ₽, EUR 95,29 ₽, CNY 12,18 ₽ и рыночные ставки на май 2026 года — ипотека 16,7 %, авто 17,3 %, потребительский кредит 23,5 %. Ниже повторяются те же четыре карточки сводки, что на экране истории.</w:t>
      </w:r>
    </w:p>
    <w:p>
      <w:r>
        <w:rPr>
          <w:b w:val="0"/>
        </w:rPr>
        <w:t>Дальше планировщик стратегии. Рабочий сценарий один: «Рефинансирование» — снижение платежа и досрочное погашение, кнопка «Начать». Остальные цели помечены «скоро» и не нажимаются: взять новый кредит, запланировать покупку, купить страховку, депозиты и инвестиции.</w:t>
      </w:r>
    </w:p>
    <w:p>
      <w:r>
        <w:rPr>
          <w:b w:val="0"/>
        </w:rPr>
        <w:t>Блок «Анализ кредитной истории» пишет текст от лица помощника. Общая картина: рейтинг 948, ПДН около 29 %, портфель из ипотеки, автокредита, потребительских кредитов и карты, остаток 5,26 млн ₽, платежи 139 тыс ₽ в месяц. Во внимании — дорогой потребительский кредит Альфа-Банка (в этом тексте ставка 29,9 %, остаток 557 тыс ₽, будущая переплата около 146 тыс ₽) и пустая кредитная карта, которую помощник советует не закрывать. По досрочному погашению приоритет — этот кредит Альфа-Банка. По рефинансированию помощник отдельно пишет, что ипотеку под 8,5 % трогать не стоит.</w:t>
      </w:r>
    </w:p>
    <w:p>
      <w:pPr>
        <w:pStyle w:val="Heading3"/>
      </w:pPr>
      <w:r>
        <w:t>Предодобренные предложения и заявки</w:t>
      </w:r>
    </w:p>
    <w:p>
      <w:r>
        <w:rPr>
          <w:b w:val="0"/>
        </w:rPr>
        <w:t>Экран подбирает предложения под конкретный договор: «Потреб. кредит #c521f-5», Альфа-Банк, ставка 29,9 %, остаток 557 тыс ₽, платёж 64 тыс ₽ в месяц. Таблица сравнивает банки по ставке, платежу, сроку, переплате и бонусу. У строк два источника: «торги» и «предодоб.». В меню у раздела бейдж 3.</w:t>
      </w:r>
    </w:p>
    <w:p>
      <w:r>
        <w:rPr>
          <w:b w:val="0"/>
        </w:rPr>
        <w:t>Лучшим отмечен Сбербанк из торгов: ставка 21,9 %, сумма 557 тыс ₽, платёж 28 860 ₽ в месяц, срок 24 месяца. Экономия против текущего платежа — 34 735 ₽ в месяц. Бонусы этого предложения оценены примерно в 74 тыс ₽: отсутствие комиссий, баллы лояльности, Premium-подписка и кэшбэк. Подпись внизу: оценка идёт по ставке, ежемесячному платежу, сроку, переплате и бонусам. Статус — «Средства выданы».</w:t>
      </w:r>
    </w:p>
    <w:p>
      <w:pPr>
        <w:pStyle w:val="Heading3"/>
      </w:pPr>
      <w:r>
        <w:t>Мои заявки</w:t>
      </w:r>
    </w:p>
    <w:p>
      <w:r>
        <w:rPr>
          <w:b w:val="0"/>
        </w:rPr>
        <w:t>В меню у раздела бейдж 1. Сам экран — заглушка: «Мои заявки. Раздел в разработке. Появится на следующей неделе».</w:t>
      </w:r>
    </w:p>
    <w:p>
      <w:pPr>
        <w:pStyle w:val="Heading2"/>
      </w:pPr>
      <w:r>
        <w:t>2.2. Новый прототип</w:t>
      </w:r>
    </w:p>
    <w:p>
      <w:r>
        <w:rPr>
          <w:b w:val="0"/>
        </w:rPr>
        <w:t>Отдельный прототип рефинансирования: те же сводные цифры клиента, другие экраны и стиль Кредистории. На входе карточка «Вход в прототип», пароль можно показать кнопкой «Показать». После пяти неверных попыток форма блокируется на 30 секунд.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5. Новый прототип. Экран входа.</w:t>
      </w:r>
    </w:p>
    <w:p>
      <w:r>
        <w:rPr>
          <w:b w:val="0"/>
        </w:rPr>
        <w:t>После входа сверху демо-полоса: имя «Демо · Арина», переключатель сценария и кнопка «Сбросить». Сценарии:</w:t>
      </w:r>
    </w:p>
    <w:p>
      <w:pPr>
        <w:pStyle w:val="ListBullet"/>
        <w:spacing w:after="40"/>
      </w:pPr>
      <w:r>
        <w:t>Есть предодобрения. Расчёт идёт по лучшему предодобрению, Совкомбанк, ставка 14,9 %, сумма до 1,6 млн ₽.</w:t>
      </w:r>
    </w:p>
    <w:p>
      <w:pPr>
        <w:pStyle w:val="ListBullet"/>
        <w:spacing w:after="40"/>
      </w:pPr>
      <w:r>
        <w:t>Без предодобрений, запрос по API. Расчёт по рыночной ставке 17,5 %. Вместо карточек банков — блок «Узнайте условия в 6 банках».</w:t>
      </w:r>
    </w:p>
    <w:p>
      <w:pPr>
        <w:pStyle w:val="ListBullet"/>
        <w:spacing w:after="40"/>
      </w:pPr>
      <w:r>
        <w:t>Все банки отказали. После запроса открывается экран с причинами и планом, что делать дальше.</w:t>
      </w:r>
    </w:p>
    <w:p>
      <w:r>
        <w:rPr>
          <w:b w:val="0"/>
        </w:rPr>
        <w:t>Меню кабинета: Экономия, Предложения, Мои кредиты (4), Нагрузка, Заявки, Кто смотрел историю (11). Внизу на узком экране закреплена плашка с суммой экономии и кнопкой «Собрать предложения».</w:t>
      </w:r>
    </w:p>
    <w:p>
      <w:pPr>
        <w:pStyle w:val="Heading3"/>
      </w:pPr>
      <w:r>
        <w:t>Экономия</w:t>
      </w:r>
    </w:p>
    <w:p>
      <w:r>
        <w:rPr>
          <w:b w:val="0"/>
        </w:rPr>
        <w:t>Первый экран. Заголовок зависит от выбора: в сценарии с предодобрениями и целью «снизить платёж» это «Можно платить на 60 тыс ₽ меньше в месяц». Под заголовком указан источник расчёта — предодобрение Совкомбанка, ставка 14,9 %, до 1,6 млн ₽.</w:t>
      </w:r>
    </w:p>
    <w:p>
      <w:r>
        <w:rPr>
          <w:b w:val="0"/>
        </w:rPr>
        <w:t>Три цели:</w:t>
      </w:r>
    </w:p>
    <w:p>
      <w:pPr>
        <w:pStyle w:val="ListBullet"/>
        <w:spacing w:after="40"/>
      </w:pPr>
      <w:r>
        <w:t>Снизить платёж — платить меньше каждый месяц.</w:t>
      </w:r>
    </w:p>
    <w:p>
      <w:pPr>
        <w:pStyle w:val="ListBullet"/>
        <w:spacing w:after="40"/>
      </w:pPr>
      <w:r>
        <w:t>Переплатить меньше — ниже ставка, тот же срок.</w:t>
      </w:r>
    </w:p>
    <w:p>
      <w:pPr>
        <w:pStyle w:val="ListBullet"/>
        <w:spacing w:after="40"/>
      </w:pPr>
      <w:r>
        <w:t>Получить деньги — закрыть выбранные кредиты и взять сумму сверху. Появляется ползунок «Деньги сверху» от 0 до 450 тыс ₽.</w:t>
      </w:r>
    </w:p>
    <w:p>
      <w:r>
        <w:rPr>
          <w:b w:val="0"/>
        </w:rPr>
        <w:t>Слева отмечаются кредиты, которые войдут в объединение, и срок нового кредита от 1 года до 5 лет. Справа таблица «сейчас / после»: платёж, ставка, срок, проценты к выплате, число кредитов и ПДН. В стартовом расчёте два потребительских кредита, 1,15 млн ₽ и 87 тыс ₽ в месяц, превращаются в один платёж 27 тыс ₽ на 5 лет по ставке 14,9 %. ПДН снижается с 29 % до 17 %. Если из-за длинного срока переплата растёт, под таблицей появляется предупреждение.</w:t>
      </w:r>
    </w:p>
    <w:p>
      <w:r>
        <w:rPr>
          <w:b w:val="0"/>
        </w:rPr>
        <w:t>Кнопка «Собрать предложения банков» запускает запрос. Подпись: запрос бесплатный и уходит в 6 банков, ответ обычно за 1–2 минуты.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6. Новый прототип, широкий экран. Экран «Экономия»: цель, выбор кредитов и сравнение «сейчас / после».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621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62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7. Новый прототип, узкий экран. Тот же расчёт экономии.</w:t>
      </w:r>
    </w:p>
    <w:p>
      <w:pPr>
        <w:pStyle w:val="Heading3"/>
      </w:pPr>
      <w:r>
        <w:t>Предложения банков</w:t>
      </w:r>
    </w:p>
    <w:p>
      <w:r>
        <w:rPr>
          <w:b w:val="0"/>
        </w:rPr>
        <w:t>В сценарии «Есть предодобрения» здесь три карточки:</w:t>
      </w:r>
    </w:p>
    <w:p>
      <w:pPr>
        <w:pStyle w:val="ListBullet"/>
        <w:spacing w:after="40"/>
      </w:pPr>
      <w:r>
        <w:t>Совкомбанк — от 14,9 %, до 1,6 млн ₽, до 30 ноября.</w:t>
      </w:r>
    </w:p>
    <w:p>
      <w:pPr>
        <w:pStyle w:val="ListBullet"/>
        <w:spacing w:after="40"/>
      </w:pPr>
      <w:r>
        <w:t>СберБанк — от 15,9 %, до 1,2 млн ₽, до 15 ноября.</w:t>
      </w:r>
    </w:p>
    <w:p>
      <w:pPr>
        <w:pStyle w:val="ListBullet"/>
        <w:spacing w:after="40"/>
      </w:pPr>
      <w:r>
        <w:t>Альфа-Банк — от 17,9 %, до 1,0 млн ₽, до 31 октября. Карточка приглушается, если в объединение входит собственный кредит Альфа-Банка: банк его не рефинансирует.</w:t>
      </w:r>
    </w:p>
    <w:p>
      <w:r>
        <w:rPr>
          <w:b w:val="0"/>
        </w:rPr>
        <w:t>На подходящей карточке показана экономия под выбранную цель: минус к платежу, минус к переплате или сумма на руки. Если лимит банка меньше нужной суммы, карточка тоже приглушается и пишет, какой суммы не хватает.</w:t>
      </w:r>
    </w:p>
    <w:p>
      <w:r>
        <w:rPr>
          <w:b w:val="0"/>
        </w:rPr>
        <w:t>Если предодобрений нет, вместо карточек один блок: «Узнайте условия в 6 банках одним запросом». В списке Совкомбанк, СберБанк, Газпромбанк, ВТБ, Альфа-Банк и Т-Банк. Анкета, по тексту экрана, заполняется из Госуслуг.</w:t>
      </w:r>
    </w:p>
    <w:p>
      <w:pPr>
        <w:pStyle w:val="Heading3"/>
      </w:pPr>
      <w:r>
        <w:t>Мои кредиты</w:t>
      </w:r>
    </w:p>
    <w:p>
      <w:r>
        <w:rPr>
          <w:b w:val="0"/>
        </w:rPr>
        <w:t>Таблица действующих кредитов: продукт и банк, остаток и доля погашения, платёж, ставка, действие по рефинансированию. Сводка над таблицей: 5,26 млн ₽ и 139 тыс ₽ в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Кредит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Остаток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Ставка</w:t>
            </w:r>
          </w:p>
        </w:tc>
        <w:tc>
          <w:tcPr>
            <w:tcW w:type="dxa" w:w="1928"/>
            <w:shd w:fill="4C33E4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можно сделать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Потреб. кредит, Альфа-Банк, с 22.08.2024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720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55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23,5 %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Метка «− … ₽/мес · Посчитать». Ведёт в расчёт экономии только по этому кредиту</w:t>
            </w:r>
          </w:p>
        </w:tc>
      </w:tr>
      <w:tr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Потреб. кредит, Т-Банк, с 10.04.2024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430 тыс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32 тыс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20 %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Такая же точка входа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Автокредит, СберБанк, с 02.01.2024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397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17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12,9 %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Ставка ниже рыночной. Включать только чтобы объединить платежи</w:t>
            </w:r>
          </w:p>
        </w:tc>
      </w:tr>
      <w:tr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Ипотека, ВТБ, с 05.07.2023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3,72 млн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35 тыс ₽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8,5 %</w:t>
            </w:r>
          </w:p>
        </w:tc>
        <w:tc>
          <w:tcPr>
            <w:tcW w:type="dxa" w:w="1928"/>
            <w:shd w:fill="F4F2FC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 включается: ставка ниже любого предложения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Кредитная карта, Открытие, с 05.02.2025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 ₽, лимит 30 тыс ₽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 включается: долга нет</w:t>
            </w:r>
          </w:p>
        </w:tc>
      </w:tr>
    </w:tbl>
    <w:p/>
    <w:p>
      <w:r>
        <w:rPr>
          <w:b w:val="0"/>
        </w:rPr>
        <w:t>Ниже раскрывающийся список «Закрытые кредиты», 2 записи: Райффайзенбанк, 300 тыс ₽, закрыт в октябре 2024, и Газпромбанк, 1,1 млн ₽, закрыт в апреле 2023.</w:t>
      </w:r>
    </w:p>
    <w:p>
      <w:r>
        <w:rPr>
          <w:b w:val="0"/>
        </w:rPr>
        <w:t>Сводный долг, платёж и ПДН здесь те же, что в старом кабинете. Разбивка двух потребительских кредитов в новом прототипе своя: 720 тыс ₽ под 23,5 % и 430 тыс ₽ под 20 %. На экране предложений старого прототипа отдельно разобран другой срез того же портфеля — кредит Альфа-Банка на 557 тыс ₽ под 29,9 %.</w:t>
      </w:r>
    </w:p>
    <w:p>
      <w:pPr>
        <w:pStyle w:val="Heading3"/>
      </w:pPr>
      <w:r>
        <w:t>Нагрузка и рейтинг</w:t>
      </w:r>
    </w:p>
    <w:p>
      <w:r>
        <w:rPr>
          <w:b w:val="0"/>
        </w:rPr>
        <w:t>Три карточки: общий долг с долей погашения и остатком процентов, платежи в месяц со шкалой ПДН и бейджем зоны, кредитный рейтинг 948 из 999 со спарклайном за 5 лет и бейджем «Отличный».</w:t>
      </w:r>
    </w:p>
    <w:p>
      <w:r>
        <w:rPr>
          <w:b w:val="0"/>
        </w:rPr>
        <w:t>В «Подробнее о расчётах»: средняя ставка по кредитам рядом с ключевой ставкой ЦБ 14,5 %, переплата 5,82 млн ₽ (80 % суммы кредитов), уже выплачено процентов 2,29 млн ₽, доля процентов в текущем платеже 59 %, ПДН 29 % от дохода 480 тыс ₽ из Госуслуг. Доход, указанный самим клиентом, пустой, есть ссылка «Указать».</w:t>
      </w:r>
    </w:p>
    <w:p>
      <w:pPr>
        <w:pStyle w:val="Heading3"/>
      </w:pPr>
      <w:r>
        <w:t>Мои заявки и кто смотрел историю</w:t>
      </w:r>
    </w:p>
    <w:p>
      <w:r>
        <w:rPr>
          <w:b w:val="0"/>
        </w:rPr>
        <w:t>«Мои заявки» стоят слева в двухколоночной зоне. До запроса здесь одна заявка: Т-Банк, кредитная карта Platinum, отправлена 12.10.2026, статус «На рассмотрении», шаг «Банк проверяет», ответ ожидается до 17 октября. Рядом памятка: один запрос лучше пяти отдельных заявок, потому что каждую заявку видят другие банки.</w:t>
      </w:r>
    </w:p>
    <w:p>
      <w:r>
        <w:rPr>
          <w:b w:val="0"/>
        </w:rPr>
        <w:t>После отправки запроса на рефинансирование сверху появляется карточка этого запроса: сумма, сколько банков ответили, и кнопка «Открыть». Окно ожидания можно закрыть, статус остаётся в заявках.</w:t>
      </w:r>
    </w:p>
    <w:p>
      <w:r>
        <w:rPr>
          <w:b w:val="0"/>
        </w:rPr>
        <w:t>«Кто смотрел вашу историю» — те же 11 запросов, что в старом прототипе. Сверху вывод: в 2025 году было 3 отказа, тогда нагрузка была выше, сейчас ПДН 29 %. Фильтры: Все 11, Одобрено 8, Отказ 3. Сначала видны пять записей, кнопка «Показать все 11» раскрывает список.</w:t>
      </w:r>
    </w:p>
    <w:p>
      <w:pPr>
        <w:pStyle w:val="Heading3"/>
      </w:pPr>
      <w:r>
        <w:t>Запрос в банки</w:t>
      </w:r>
    </w:p>
    <w:p>
      <w:r>
        <w:rPr>
          <w:b w:val="0"/>
        </w:rPr>
        <w:t>Кнопка «Собрать предложения» открывает окно из четырёх шагов: Проверка, Ответы банков, Выбор, Оформление.</w:t>
      </w:r>
    </w:p>
    <w:p>
      <w:pPr>
        <w:pStyle w:val="ListBullet"/>
        <w:spacing w:after="40"/>
      </w:pPr>
      <w:r>
        <w:t>Проверка. Цель, выбранные кредиты, сумма и срок. Четыре проверки отмечены как пройденные: паспорт актуален, доход подтверждён, самозапрета нет, закрытые кредиты отмечены закрытыми. Кнопка «Отправить запрос» включается только после согласия. В тексте согласия сказано, что запросы банков будут видны в кредитной истории.</w:t>
      </w:r>
    </w:p>
    <w:p>
      <w:pPr>
        <w:pStyle w:val="ListBullet"/>
        <w:spacing w:after="40"/>
      </w:pPr>
      <w:r>
        <w:t>Ответы банков. Счётчик «Ответили N из 6». Банки отвечают по очереди. Окно можно закрыть: прогресс сохранится в «Моих заявках».</w:t>
      </w:r>
    </w:p>
    <w:p>
      <w:pPr>
        <w:pStyle w:val="ListBullet"/>
        <w:spacing w:after="40"/>
      </w:pPr>
      <w:r>
        <w:t>Выбор. Когда ответили все, одобренные предложения сортируются по выбранной цели. Лучшее помечено «Выгоднее всего». В стартовом сценарии это Совкомбанк: 14,9 %, 5 лет, платёж 27 тыс ₽, минус 60 тыс ₽ в месяц. Дальше СберБанк 15,9 % и Газпромбанк 16,4 %.</w:t>
      </w:r>
    </w:p>
    <w:p>
      <w:pPr>
        <w:pStyle w:val="ListBullet"/>
        <w:spacing w:after="40"/>
      </w:pPr>
      <w:r>
        <w:t>Оформление. Сумма, ставка, платёж и срок выбранного банка и три шага: перейти на сайт банка, подписать договор, дождаться погашения старых кредитов в течение 5 рабочих дней. Кнопка «Перейти на сайт банка» в прототипе ничего не открывает. Под ней показана будущая ссылка с метками utm_source=credistory, utm_medium=lk, utm_campaign и lead_id.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501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50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Рисунок 8. Новый прототип. Шаг «Выбор»: шесть банков ответили, лучшее предложение — Совкомбанк.</w:t>
      </w:r>
    </w:p>
    <w:p>
      <w:r>
        <w:rPr>
          <w:b w:val="0"/>
        </w:rPr>
        <w:t>В сценарии «Все банки отказали» вместо выбора открывается экран «Банки пока не одобрили». На нём причины отказа и четыре действия: посчитать один кредит вместо двух, проверить историю на ошибки, указать весь доход, повторить запрос через 30 дней. Напоминание на 14 ноября включено по умолчанию. ВТБ в обычном сценарии отказывает с причиной «Высокая долговая нагрузка». Банк не рефинансирует собственный кредит, если этот кредит выбран в объединение.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 xml:space="preserve">19 октября 2026  ·  страница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8"/>
      </w:rPr>
      <w:t>Прототипы личного кабинета · демо-клиент Арина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59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C33E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21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21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